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val="clear" w:color="auto" w:fill="1B3A4B"/>
          </w:tcPr>
          <w:p>
            <w:pPr>
              <w:pStyle w:val="Heading1"/>
              <w:spacing w:before="140" w:after="40"/>
            </w:pPr>
            <w:r>
              <w:rPr>
                <w:rFonts w:ascii="Calibri" w:hAnsi="Calibri"/>
                <w:b/>
                <w:color w:val="FFFFFF"/>
                <w:sz w:val="42"/>
              </w:rPr>
              <w:t>AI drafts, the academic decides</w:t>
            </w:r>
          </w:p>
          <w:p>
            <w:pPr>
              <w:spacing w:after="60"/>
            </w:pPr>
            <w:r>
              <w:rPr>
                <w:rFonts w:ascii="Calibri" w:hAnsi="Calibri"/>
                <w:color w:val="D8E4EA"/>
                <w:sz w:val="23"/>
              </w:rPr>
              <w:t>UDL Lens — auditing assessment against UDL 3.0, with a human holding the pen</w:t>
            </w:r>
          </w:p>
          <w:p>
            <w:pPr>
              <w:spacing w:after="140"/>
            </w:pPr>
            <w:r>
              <w:rPr>
                <w:rFonts w:ascii="Calibri" w:hAnsi="Calibri"/>
                <w:color w:val="D8E4EA"/>
                <w:sz w:val="22"/>
              </w:rPr>
              <w:t>Assessment 2030 Showcase · 20 August 2026 · Michael Borck &amp; Luke Butcher</w:t>
            </w:r>
          </w:p>
        </w:tc>
      </w:tr>
    </w:tbl>
    <w:p>
      <w:pPr>
        <w:pStyle w:val="Heading2"/>
        <w:spacing w:before="240" w:after="80"/>
      </w:pPr>
      <w:r>
        <w:rPr>
          <w:rFonts w:ascii="Calibri" w:hAnsi="Calibri"/>
          <w:b/>
          <w:color w:val="1B3A4B"/>
          <w:sz w:val="26"/>
        </w:rPr>
        <w:t>What it does</w:t>
      </w:r>
    </w:p>
    <w:p>
      <w:pPr>
        <w:spacing w:before="60" w:after="40"/>
      </w:pPr>
      <w:r>
        <w:rPr>
          <w:rFonts w:ascii="Calibri" w:hAnsi="Calibri"/>
          <w:b w:val="0"/>
          <w:i w:val="0"/>
          <w:color w:val="222222"/>
          <w:sz w:val="22"/>
        </w:rPr>
        <w:t>UDL Lens reads your brief, rubric and exemplar and proposes a rating against each relevant UDL 3.0 consideration, with its reasoning. You confirm or override every one. Out comes a radar across the nine UDL guidelines, quick wins, and a PDF. Framed around Assessment 2030's Lane 1 and Lane 2. No login, no database; briefs are analysed, never stored.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B3A4B"/>
          <w:sz w:val="26"/>
        </w:rPr>
        <w:t>The pattern — the bit that transfers</w:t>
      </w:r>
    </w:p>
    <w:p>
      <w:pPr>
        <w:pStyle w:val="ListParagraph"/>
        <w:spacing w:before="40" w:after="40"/>
        <w:ind w:left="360"/>
      </w:pPr>
      <w:r>
        <w:rPr>
          <w:rFonts w:ascii="Calibri" w:hAnsi="Calibri"/>
          <w:color w:val="222222"/>
          <w:sz w:val="22"/>
        </w:rPr>
        <w:t xml:space="preserve">•  </w:t>
      </w:r>
      <w:r>
        <w:rPr>
          <w:rFonts w:ascii="Calibri" w:hAnsi="Calibri"/>
          <w:b/>
          <w:color w:val="1B3A4B"/>
          <w:sz w:val="22"/>
        </w:rPr>
        <w:t xml:space="preserve">Let AI draft. </w:t>
      </w:r>
      <w:r>
        <w:rPr>
          <w:rFonts w:ascii="Calibri" w:hAnsi="Calibri"/>
          <w:color w:val="222222"/>
          <w:sz w:val="22"/>
        </w:rPr>
        <w:t>Let the model produce the first pass over a dense document. That is what it is genuinely good at.</w:t>
      </w:r>
    </w:p>
    <w:p>
      <w:pPr>
        <w:pStyle w:val="ListParagraph"/>
        <w:spacing w:before="40" w:after="40"/>
        <w:ind w:left="360"/>
      </w:pPr>
      <w:r>
        <w:rPr>
          <w:rFonts w:ascii="Calibri" w:hAnsi="Calibri"/>
          <w:color w:val="222222"/>
          <w:sz w:val="22"/>
        </w:rPr>
        <w:t xml:space="preserve">•  </w:t>
      </w:r>
      <w:r>
        <w:rPr>
          <w:rFonts w:ascii="Calibri" w:hAnsi="Calibri"/>
          <w:b/>
          <w:color w:val="1B3A4B"/>
          <w:sz w:val="22"/>
        </w:rPr>
        <w:t xml:space="preserve">Never let it decide. </w:t>
      </w:r>
      <w:r>
        <w:rPr>
          <w:rFonts w:ascii="Calibri" w:hAnsi="Calibri"/>
          <w:color w:val="222222"/>
          <w:sz w:val="22"/>
        </w:rPr>
        <w:t>The AI's rating and yours are separate fields. Only yours scores. The model has no path to the final value.</w:t>
      </w:r>
    </w:p>
    <w:p>
      <w:pPr>
        <w:pStyle w:val="ListParagraph"/>
        <w:spacing w:before="40" w:after="40"/>
        <w:ind w:left="360"/>
      </w:pPr>
      <w:r>
        <w:rPr>
          <w:rFonts w:ascii="Calibri" w:hAnsi="Calibri"/>
          <w:color w:val="222222"/>
          <w:sz w:val="22"/>
        </w:rPr>
        <w:t xml:space="preserve">•  </w:t>
      </w:r>
      <w:r>
        <w:rPr>
          <w:rFonts w:ascii="Calibri" w:hAnsi="Calibri"/>
          <w:b/>
          <w:color w:val="1B3A4B"/>
          <w:sz w:val="22"/>
        </w:rPr>
        <w:t xml:space="preserve">Make its claims checkable. </w:t>
      </w:r>
      <w:r>
        <w:rPr>
          <w:rFonts w:ascii="Calibri" w:hAnsi="Calibri"/>
          <w:color w:val="222222"/>
          <w:sz w:val="22"/>
        </w:rPr>
        <w:t>Every UDL code and title now validates against a canonical CAST table. A wrong one fails loudly rather than quietly.</w:t>
      </w:r>
    </w:p>
    <w:p>
      <w:pPr>
        <w:pStyle w:val="ListParagraph"/>
        <w:spacing w:before="40" w:after="40"/>
        <w:ind w:left="360"/>
      </w:pPr>
      <w:r>
        <w:rPr>
          <w:rFonts w:ascii="Calibri" w:hAnsi="Calibri"/>
          <w:color w:val="222222"/>
          <w:sz w:val="22"/>
        </w:rPr>
        <w:t xml:space="preserve">•  </w:t>
      </w:r>
      <w:r>
        <w:rPr>
          <w:rFonts w:ascii="Calibri" w:hAnsi="Calibri"/>
          <w:b/>
          <w:color w:val="1B3A4B"/>
          <w:sz w:val="22"/>
        </w:rPr>
        <w:t xml:space="preserve">Keep domain authorship human. </w:t>
      </w:r>
      <w:r>
        <w:rPr>
          <w:rFonts w:ascii="Calibri" w:hAnsi="Calibri"/>
          <w:color w:val="222222"/>
          <w:sz w:val="22"/>
        </w:rPr>
        <w:t>The harmful and helpful practices behind each consideration are written by someone who teaches. The model never authors them.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B3A4B"/>
          <w:sz w:val="26"/>
        </w:rPr>
        <w:t>What went wrong, and why it matters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222222"/>
          <w:sz w:val="22"/>
        </w:rPr>
        <w:t>An early build carried 21 checkpoints. Luke spotted that our “3.2 Explicit success criteria and rubric” is not what CAST’s 3.2 says. On audit, 16 of the 21 codes were wrong — UDL 2.2 leftovers, and codes the model appears to have invented.</w:t>
      </w:r>
    </w:p>
    <w:p>
      <w:pPr>
        <w:spacing w:before="120" w:after="40"/>
      </w:pPr>
      <w:r>
        <w:rPr>
          <w:rFonts w:ascii="Calibri" w:hAnsi="Calibri"/>
          <w:b w:val="0"/>
          <w:i w:val="0"/>
          <w:color w:val="222222"/>
          <w:sz w:val="22"/>
        </w:rPr>
        <w:t>The failure was not gibberish: plausible, well-formatted, correctly numbered, confident. One entry cited “4.3”. Guideline 4 stops at 4.2.</w:t>
      </w:r>
    </w:p>
    <w:p>
      <w:pPr>
        <w:spacing w:before="120" w:after="40"/>
      </w:pPr>
      <w:r>
        <w:rPr>
          <w:rFonts w:ascii="Calibri" w:hAnsi="Calibri"/>
          <w:b/>
          <w:i w:val="0"/>
          <w:color w:val="A85419"/>
          <w:sz w:val="22"/>
        </w:rPr>
        <w:t>You cannot catch that by reading carefully. Only by knowing the field. That is the whole argument for keeping a human in the loop — and for making the machine's claims checkable by another machine.</w:t>
      </w:r>
    </w:p>
    <w:p>
      <w:pPr>
        <w:spacing w:before="120" w:after="40"/>
      </w:pPr>
      <w:r>
        <w:rPr>
          <w:rFonts w:ascii="Calibri" w:hAnsi="Calibri"/>
          <w:b w:val="0"/>
          <w:i w:val="0"/>
          <w:color w:val="222222"/>
          <w:sz w:val="22"/>
        </w:rPr>
        <w:t>It recurred while we prepared this talk — a draft expansion carried 2.2-era names and two codes that had moved. Caught by the check we built the first time, not by anyone being careful. Not a bug you fix once.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B3A4B"/>
          <w:sz w:val="26"/>
        </w:rPr>
        <w:t>Try it</w:t>
      </w:r>
    </w:p>
    <w:p>
      <w:pPr>
        <w:spacing w:before="80" w:after="40"/>
      </w:pPr>
      <w:r>
        <w:rPr>
          <w:rFonts w:ascii="Calibri" w:hAnsi="Calibri"/>
          <w:b/>
          <w:i w:val="0"/>
          <w:color w:val="1B3A4B"/>
          <w:sz w:val="34"/>
        </w:rPr>
        <w:t>udllens.eduserver.au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222222"/>
          <w:sz w:val="22"/>
        </w:rPr>
        <w:t>Bring a real brief from a unit you coordinate. About twenty minutes, and you keep the PDF.</w:t>
      </w:r>
    </w:p>
    <w:p>
      <w:pPr>
        <w:spacing w:before="120" w:after="40"/>
      </w:pPr>
      <w:r>
        <w:rPr>
          <w:rFonts w:ascii="Calibri" w:hAnsi="Calibri"/>
          <w:b w:val="0"/>
          <w:i w:val="0"/>
          <w:color w:val="222222"/>
          <w:sz w:val="22"/>
        </w:rPr>
        <w:t>Fifteen assessment types, 57 UDL 3.0 considerations, all nine guidelines, every code machine-verified against CAST. Built inside SoMM, unfunded, by the two of us — rough edges included, and we would rather hear about them. If your assessment type isn’t covered yet, tell us what it needs; that is what we are building next.</w:t>
      </w:r>
    </w:p>
    <w:p>
      <w:pPr>
        <w:pStyle w:val="Heading2"/>
        <w:spacing w:before="200" w:after="80"/>
      </w:pPr>
      <w:r>
        <w:rPr>
          <w:b/>
          <w:color w:val="1B3A4B"/>
          <w:sz w:val="26"/>
        </w:rPr>
        <w:t>Get in touch</w:t>
      </w:r>
    </w:p>
    <w:p>
      <w:pPr>
        <w:spacing w:before="160" w:after="40"/>
      </w:pPr>
      <w:r>
        <w:rPr>
          <w:rFonts w:ascii="Calibri" w:hAnsi="Calibri"/>
          <w:b w:val="0"/>
          <w:i w:val="0"/>
          <w:color w:val="222222"/>
          <w:sz w:val="22"/>
        </w:rPr>
        <w:t>Michael Borck · michael.borck@curtin.edu.au — the build and the AI design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222222"/>
          <w:sz w:val="22"/>
        </w:rPr>
        <w:t>Luke Butcher · School of Management and Marketing — UDL, pedagogy, and Assessment 2030</w:t>
      </w:r>
    </w:p>
    <w:p>
      <w:pPr>
        <w:spacing w:before="200" w:after="40"/>
      </w:pPr>
      <w:r>
        <w:rPr>
          <w:rFonts w:ascii="Calibri" w:hAnsi="Calibri"/>
          <w:b w:val="0"/>
          <w:i w:val="0"/>
          <w:color w:val="5A5A5A"/>
          <w:sz w:val="22"/>
        </w:rPr>
        <w:t>UDL Guidelines 3.0 © CAST · udlguidelines.cast.org</w:t>
      </w:r>
    </w:p>
    <w:sectPr w:rsidR="00FC693F" w:rsidRPr="0006063C" w:rsidSect="00034616">
      <w:pgSz w:w="11909" w:h="16834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lang w:val="en-AU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drafts, the academic decides — UDL Lens</dc:title>
  <dc:subject>Assessment 2030 Showcase, 20 August 2026</dc:subject>
  <dc:creator>Michael Borck; Luke Butcher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