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val="clear" w:color="auto" w:fill="1B3A4B"/>
          </w:tcPr>
          <w:p>
            <w:pPr>
              <w:pStyle w:val="Heading1"/>
              <w:spacing w:before="120" w:after="40"/>
            </w:pPr>
            <w:r>
              <w:rPr>
                <w:rFonts w:ascii="Calibri" w:hAnsi="Calibri"/>
                <w:b/>
                <w:color w:val="FFFFFF"/>
                <w:sz w:val="38"/>
              </w:rPr>
              <w:t>Mark the brief, not the student</w:t>
            </w:r>
          </w:p>
          <w:p>
            <w:pPr>
              <w:spacing w:after="120"/>
            </w:pPr>
            <w:r>
              <w:rPr>
                <w:rFonts w:ascii="Calibri" w:hAnsi="Calibri"/>
                <w:color w:val="D8E4EA"/>
                <w:sz w:val="22"/>
              </w:rPr>
              <w:t>Interactive Oral (Collaborative) · Lane 1 — Secure · the UDL 3.0 considerations UDL Lens scores for this type</w:t>
            </w:r>
          </w:p>
        </w:tc>
      </w:tr>
    </w:tbl>
    <w:p>
      <w:pPr>
        <w:spacing w:before="200" w:after="60"/>
      </w:pPr>
      <w:r>
        <w:rPr>
          <w:rFonts w:ascii="Calibri" w:hAnsi="Calibri"/>
          <w:b w:val="0"/>
          <w:i w:val="0"/>
          <w:color w:val="222222"/>
          <w:sz w:val="22"/>
        </w:rPr>
        <w:t>Brief A. In threes, rate it on each consideration below, then note where you disagreed. Ten minutes.</w:t>
      </w:r>
    </w:p>
    <w:p>
      <w:pPr>
        <w:spacing w:before="80" w:after="60"/>
      </w:pPr>
      <w:r>
        <w:rPr>
          <w:rFonts w:ascii="Calibri" w:hAnsi="Calibri"/>
          <w:b w:val="0"/>
          <w:i/>
          <w:color w:val="5A5A5A"/>
          <w:sz w:val="22"/>
        </w:rPr>
        <w:t>UDL 3.0: 3 principles → 9 guidelines → considerations. (v2.2 called these “checkpoints” — the tool’s screen still does.)</w:t>
      </w:r>
    </w:p>
    <w:p>
      <w:pPr>
        <w:spacing w:before="160" w:after="60"/>
      </w:pPr>
      <w:r>
        <w:rPr>
          <w:rFonts w:ascii="Calibri" w:hAnsi="Calibri"/>
          <w:b/>
          <w:i w:val="0"/>
          <w:color w:val="222222"/>
          <w:sz w:val="22"/>
        </w:rPr>
        <w:t>Group members: ________________________________________________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val="clear" w:color="auto" w:fill="EFF3F5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B3A4B"/>
                <w:sz w:val="24"/>
              </w:rPr>
              <w:t>4.1  Vary and honor the methods for response, navigation, and movement</w:t>
            </w:r>
          </w:p>
          <w:p>
            <w:pPr>
              <w:spacing w:after="60"/>
            </w:pPr>
            <w:r>
              <w:rPr>
                <w:rFonts w:ascii="Calibri" w:hAnsi="Calibri"/>
                <w:color w:val="5A5A5A"/>
                <w:sz w:val="22"/>
              </w:rPr>
              <w:t>Action &amp; Expression  ›  Interaction</w:t>
            </w:r>
          </w:p>
          <w:p>
            <w:pPr>
              <w:spacing w:after="100"/>
            </w:pPr>
            <w:r>
              <w:rPr>
                <w:rFonts w:ascii="Calibri" w:hAnsi="Calibri"/>
                <w:color w:val="222222"/>
                <w:sz w:val="22"/>
              </w:rPr>
              <w:t>Do you allow students to adjust their physical environment (seating, position, lighting) and provide flexibility in pace and timing — including extra time for students with Curriculum Adjustment Plans?</w:t>
            </w:r>
          </w:p>
        </w:tc>
      </w:tr>
      <w:tr>
        <w:tc>
          <w:tcPr>
            <w:tcW w:type="dxa" w:w="10037"/>
          </w:tcPr>
          <w:p>
            <w:pPr>
              <w:spacing w:before="120" w:after="120"/>
            </w:pPr>
            <w:r>
              <w:rPr>
                <w:rFonts w:ascii="Calibri" w:hAnsi="Calibri"/>
                <w:color w:val="222222"/>
                <w:sz w:val="22"/>
              </w:rPr>
              <w:t>Not yet   ☐        Partially   ☐        Met   ☐        Because: ____________________________________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val="clear" w:color="auto" w:fill="EFF3F5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B3A4B"/>
                <w:sz w:val="24"/>
              </w:rPr>
              <w:t>2.4  Address biases in the use of language and symbols</w:t>
            </w:r>
          </w:p>
          <w:p>
            <w:pPr>
              <w:spacing w:after="60"/>
            </w:pPr>
            <w:r>
              <w:rPr>
                <w:rFonts w:ascii="Calibri" w:hAnsi="Calibri"/>
                <w:color w:val="5A5A5A"/>
                <w:sz w:val="22"/>
              </w:rPr>
              <w:t>Representation  ›  Language &amp; Symbols</w:t>
            </w:r>
          </w:p>
          <w:p>
            <w:pPr>
              <w:spacing w:after="100"/>
            </w:pPr>
            <w:r>
              <w:rPr>
                <w:rFonts w:ascii="Calibri" w:hAnsi="Calibri"/>
                <w:color w:val="222222"/>
                <w:sz w:val="22"/>
              </w:rPr>
              <w:t>Do you actively acknowledge cultural and language differences in delivery — recognising students presenting in a second or additional language, enabling closed captioning, and avoiding ableist language?</w:t>
            </w:r>
          </w:p>
        </w:tc>
      </w:tr>
      <w:tr>
        <w:tc>
          <w:tcPr>
            <w:tcW w:type="dxa" w:w="10037"/>
          </w:tcPr>
          <w:p>
            <w:pPr>
              <w:spacing w:before="120" w:after="120"/>
            </w:pPr>
            <w:r>
              <w:rPr>
                <w:rFonts w:ascii="Calibri" w:hAnsi="Calibri"/>
                <w:color w:val="222222"/>
                <w:sz w:val="22"/>
              </w:rPr>
              <w:t>Not yet   ☐        Partially   ☐        Met   ☐        Because: ____________________________________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val="clear" w:color="auto" w:fill="EFF3F5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B3A4B"/>
                <w:sz w:val="24"/>
              </w:rPr>
              <w:t>8.3  Foster collaboration, interdependence, and collective learning</w:t>
            </w:r>
          </w:p>
          <w:p>
            <w:pPr>
              <w:spacing w:after="60"/>
            </w:pPr>
            <w:r>
              <w:rPr>
                <w:rFonts w:ascii="Calibri" w:hAnsi="Calibri"/>
                <w:color w:val="5A5A5A"/>
                <w:sz w:val="22"/>
              </w:rPr>
              <w:t>Engagement  ›  Sustaining Effort &amp; Persistence</w:t>
            </w:r>
          </w:p>
          <w:p>
            <w:pPr>
              <w:spacing w:after="100"/>
            </w:pPr>
            <w:r>
              <w:rPr>
                <w:rFonts w:ascii="Calibri" w:hAnsi="Calibri"/>
                <w:color w:val="222222"/>
                <w:sz w:val="22"/>
              </w:rPr>
              <w:t>Do you establish group agreements, team roles, and structured collaborative learning goals — and explicitly tell students how they can ask for help?</w:t>
            </w:r>
          </w:p>
        </w:tc>
      </w:tr>
      <w:tr>
        <w:tc>
          <w:tcPr>
            <w:tcW w:type="dxa" w:w="10037"/>
          </w:tcPr>
          <w:p>
            <w:pPr>
              <w:spacing w:before="120" w:after="120"/>
            </w:pPr>
            <w:r>
              <w:rPr>
                <w:rFonts w:ascii="Calibri" w:hAnsi="Calibri"/>
                <w:color w:val="222222"/>
                <w:sz w:val="22"/>
              </w:rPr>
              <w:t>Not yet   ☐        Partially   ☐        Met   ☐        Because: ____________________________________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Calibri" w:hAnsi="Calibri"/>
          <w:b/>
          <w:color w:val="1B3A4B"/>
          <w:sz w:val="26"/>
        </w:rPr>
        <w:t>Where did your group disagree?</w:t>
      </w:r>
    </w:p>
    <w:p>
      <w:pPr>
        <w:spacing w:before="0" w:after="60"/>
      </w:pPr>
      <w:r>
        <w:rPr>
          <w:rFonts w:ascii="Calibri" w:hAnsi="Calibri"/>
          <w:b w:val="0"/>
          <w:i/>
          <w:color w:val="5A5A5A"/>
          <w:sz w:val="22"/>
        </w:rPr>
        <w:t>This is the bit we want. If everyone ticked the same box, you probably read it as its author.</w:t>
      </w:r>
    </w:p>
    <w:p>
      <w:pPr>
        <w:spacing w:before="160" w:after="0"/>
      </w:pPr>
      <w:r>
        <w:rPr>
          <w:rFonts w:ascii="Calibri" w:hAnsi="Calibri"/>
          <w:b w:val="0"/>
          <w:i w:val="0"/>
          <w:color w:val="5A5A5A"/>
          <w:sz w:val="22"/>
        </w:rPr>
        <w:t>________________________________________________________________________________________________________</w:t>
      </w:r>
    </w:p>
    <w:p>
      <w:pPr>
        <w:spacing w:before="160" w:after="0"/>
      </w:pPr>
      <w:r>
        <w:rPr>
          <w:rFonts w:ascii="Calibri" w:hAnsi="Calibri"/>
          <w:b w:val="0"/>
          <w:i w:val="0"/>
          <w:color w:val="5A5A5A"/>
          <w:sz w:val="22"/>
        </w:rPr>
        <w:t>________________________________________________________________________________________________________</w:t>
      </w:r>
    </w:p>
    <w:p>
      <w:pPr>
        <w:spacing w:before="240" w:after="60"/>
      </w:pPr>
      <w:r>
        <w:rPr>
          <w:rFonts w:ascii="Calibri" w:hAnsi="Calibri"/>
          <w:b/>
          <w:i w:val="0"/>
          <w:color w:val="222222"/>
          <w:sz w:val="22"/>
        </w:rPr>
        <w:t>One change you would make to this brief on Monday:</w:t>
      </w:r>
    </w:p>
    <w:p>
      <w:pPr>
        <w:spacing w:before="160" w:after="0"/>
      </w:pPr>
      <w:r>
        <w:rPr>
          <w:rFonts w:ascii="Calibri" w:hAnsi="Calibri"/>
          <w:b w:val="0"/>
          <w:i w:val="0"/>
          <w:color w:val="5A5A5A"/>
          <w:sz w:val="22"/>
        </w:rPr>
        <w:t>________________________________________________________________________________________________________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val="clear" w:color="auto" w:fill="1B3A4B"/>
          </w:tcPr>
          <w:p>
            <w:pPr>
              <w:pStyle w:val="Heading1"/>
              <w:spacing w:before="120" w:after="40"/>
            </w:pPr>
            <w:r>
              <w:rPr>
                <w:rFonts w:ascii="Calibri" w:hAnsi="Calibri"/>
                <w:b/>
                <w:color w:val="FFFFFF"/>
                <w:sz w:val="38"/>
              </w:rPr>
              <w:t>Mark the brief, not the student</w:t>
            </w:r>
          </w:p>
          <w:p>
            <w:pPr>
              <w:spacing w:after="120"/>
            </w:pPr>
            <w:r>
              <w:rPr>
                <w:rFonts w:ascii="Calibri" w:hAnsi="Calibri"/>
                <w:color w:val="D8E4EA"/>
                <w:sz w:val="22"/>
              </w:rPr>
              <w:t>Field Journal with Media Analysis · Lane 2 — Non-secure · the UDL 3.0 considerations UDL Lens scores for this type</w:t>
            </w:r>
          </w:p>
        </w:tc>
      </w:tr>
    </w:tbl>
    <w:p>
      <w:pPr>
        <w:spacing w:before="200" w:after="60"/>
      </w:pPr>
      <w:r>
        <w:rPr>
          <w:rFonts w:ascii="Calibri" w:hAnsi="Calibri"/>
          <w:b w:val="0"/>
          <w:i w:val="0"/>
          <w:color w:val="222222"/>
          <w:sz w:val="22"/>
        </w:rPr>
        <w:t>Brief B. In threes, rate it on each consideration below, then note where you disagreed. Ten minutes.</w:t>
      </w:r>
    </w:p>
    <w:p>
      <w:pPr>
        <w:spacing w:before="80" w:after="60"/>
      </w:pPr>
      <w:r>
        <w:rPr>
          <w:rFonts w:ascii="Calibri" w:hAnsi="Calibri"/>
          <w:b w:val="0"/>
          <w:i/>
          <w:color w:val="5A5A5A"/>
          <w:sz w:val="22"/>
        </w:rPr>
        <w:t>UDL 3.0: 3 principles → 9 guidelines → considerations. (v2.2 called these “checkpoints” — the tool’s screen still does.)</w:t>
      </w:r>
    </w:p>
    <w:p>
      <w:pPr>
        <w:spacing w:before="160" w:after="60"/>
      </w:pPr>
      <w:r>
        <w:rPr>
          <w:rFonts w:ascii="Calibri" w:hAnsi="Calibri"/>
          <w:b/>
          <w:i w:val="0"/>
          <w:color w:val="222222"/>
          <w:sz w:val="22"/>
        </w:rPr>
        <w:t>Group members: ________________________________________________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val="clear" w:color="auto" w:fill="EFF3F5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B3A4B"/>
                <w:sz w:val="24"/>
              </w:rPr>
              <w:t>3.3  Cultivate multiple ways of knowing and making meaning</w:t>
            </w:r>
          </w:p>
          <w:p>
            <w:pPr>
              <w:spacing w:after="60"/>
            </w:pPr>
            <w:r>
              <w:rPr>
                <w:rFonts w:ascii="Calibri" w:hAnsi="Calibri"/>
                <w:color w:val="5A5A5A"/>
                <w:sz w:val="22"/>
              </w:rPr>
              <w:t>Representation  ›  Building Knowledge</w:t>
            </w:r>
          </w:p>
          <w:p>
            <w:pPr>
              <w:spacing w:after="100"/>
            </w:pPr>
            <w:r>
              <w:rPr>
                <w:rFonts w:ascii="Calibri" w:hAnsi="Calibri"/>
                <w:color w:val="222222"/>
                <w:sz w:val="22"/>
              </w:rPr>
              <w:t>Do you make scaffolding explicit (chunked information, progressive disclosure) and integrate Indigenous and other holistic knowledge systems where relevant?</w:t>
            </w:r>
          </w:p>
        </w:tc>
      </w:tr>
      <w:tr>
        <w:tc>
          <w:tcPr>
            <w:tcW w:type="dxa" w:w="10037"/>
          </w:tcPr>
          <w:p>
            <w:pPr>
              <w:spacing w:before="120" w:after="120"/>
            </w:pPr>
            <w:r>
              <w:rPr>
                <w:rFonts w:ascii="Calibri" w:hAnsi="Calibri"/>
                <w:color w:val="222222"/>
                <w:sz w:val="22"/>
              </w:rPr>
              <w:t>Not yet   ☐        Partially   ☐        Met   ☐        Because: ____________________________________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val="clear" w:color="auto" w:fill="EFF3F5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B3A4B"/>
                <w:sz w:val="24"/>
              </w:rPr>
              <w:t>5.2  Use multiple tools for construction, composition, and creativity</w:t>
            </w:r>
          </w:p>
          <w:p>
            <w:pPr>
              <w:spacing w:after="60"/>
            </w:pPr>
            <w:r>
              <w:rPr>
                <w:rFonts w:ascii="Calibri" w:hAnsi="Calibri"/>
                <w:color w:val="5A5A5A"/>
                <w:sz w:val="22"/>
              </w:rPr>
              <w:t>Action &amp; Expression  ›  Expression &amp; Communication</w:t>
            </w:r>
          </w:p>
          <w:p>
            <w:pPr>
              <w:spacing w:after="100"/>
            </w:pPr>
            <w:r>
              <w:rPr>
                <w:rFonts w:ascii="Calibri" w:hAnsi="Calibri"/>
                <w:color w:val="222222"/>
                <w:sz w:val="22"/>
              </w:rPr>
              <w:t>Are students free to use a diversity of analytical and reflective tools, including generative AI with explicit responsible-use guidance?</w:t>
            </w:r>
          </w:p>
        </w:tc>
      </w:tr>
      <w:tr>
        <w:tc>
          <w:tcPr>
            <w:tcW w:type="dxa" w:w="10037"/>
          </w:tcPr>
          <w:p>
            <w:pPr>
              <w:spacing w:before="120" w:after="120"/>
            </w:pPr>
            <w:r>
              <w:rPr>
                <w:rFonts w:ascii="Calibri" w:hAnsi="Calibri"/>
                <w:color w:val="222222"/>
                <w:sz w:val="22"/>
              </w:rPr>
              <w:t>Not yet   ☐        Partially   ☐        Met   ☐        Because: ____________________________________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val="clear" w:color="auto" w:fill="EFF3F5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B3A4B"/>
                <w:sz w:val="24"/>
              </w:rPr>
              <w:t>7.3  Nurture joy and play</w:t>
            </w:r>
          </w:p>
          <w:p>
            <w:pPr>
              <w:spacing w:after="60"/>
            </w:pPr>
            <w:r>
              <w:rPr>
                <w:rFonts w:ascii="Calibri" w:hAnsi="Calibri"/>
                <w:color w:val="5A5A5A"/>
                <w:sz w:val="22"/>
              </w:rPr>
              <w:t>Engagement  ›  Welcoming Interests &amp; Identities</w:t>
            </w:r>
          </w:p>
          <w:p>
            <w:pPr>
              <w:spacing w:after="100"/>
            </w:pPr>
            <w:r>
              <w:rPr>
                <w:rFonts w:ascii="Calibri" w:hAnsi="Calibri"/>
                <w:color w:val="222222"/>
                <w:sz w:val="22"/>
              </w:rPr>
              <w:t>Do you build in time for imagination, experimentation and play — and accept a diverse range of artistic and media expressions (music, film, visual, digital, AI-generated)?</w:t>
            </w:r>
          </w:p>
        </w:tc>
      </w:tr>
      <w:tr>
        <w:tc>
          <w:tcPr>
            <w:tcW w:type="dxa" w:w="10037"/>
          </w:tcPr>
          <w:p>
            <w:pPr>
              <w:spacing w:before="120" w:after="120"/>
            </w:pPr>
            <w:r>
              <w:rPr>
                <w:rFonts w:ascii="Calibri" w:hAnsi="Calibri"/>
                <w:color w:val="222222"/>
                <w:sz w:val="22"/>
              </w:rPr>
              <w:t>Not yet   ☐        Partially   ☐        Met   ☐        Because: ____________________________________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Calibri" w:hAnsi="Calibri"/>
          <w:b/>
          <w:color w:val="1B3A4B"/>
          <w:sz w:val="26"/>
        </w:rPr>
        <w:t>Where did your group disagree?</w:t>
      </w:r>
    </w:p>
    <w:p>
      <w:pPr>
        <w:spacing w:before="0" w:after="60"/>
      </w:pPr>
      <w:r>
        <w:rPr>
          <w:rFonts w:ascii="Calibri" w:hAnsi="Calibri"/>
          <w:b w:val="0"/>
          <w:i/>
          <w:color w:val="5A5A5A"/>
          <w:sz w:val="22"/>
        </w:rPr>
        <w:t>This is the bit we want. If everyone ticked the same box, you probably read it as its author.</w:t>
      </w:r>
    </w:p>
    <w:p>
      <w:pPr>
        <w:spacing w:before="160" w:after="0"/>
      </w:pPr>
      <w:r>
        <w:rPr>
          <w:rFonts w:ascii="Calibri" w:hAnsi="Calibri"/>
          <w:b w:val="0"/>
          <w:i w:val="0"/>
          <w:color w:val="5A5A5A"/>
          <w:sz w:val="22"/>
        </w:rPr>
        <w:t>________________________________________________________________________________________________________</w:t>
      </w:r>
    </w:p>
    <w:p>
      <w:pPr>
        <w:spacing w:before="160" w:after="0"/>
      </w:pPr>
      <w:r>
        <w:rPr>
          <w:rFonts w:ascii="Calibri" w:hAnsi="Calibri"/>
          <w:b w:val="0"/>
          <w:i w:val="0"/>
          <w:color w:val="5A5A5A"/>
          <w:sz w:val="22"/>
        </w:rPr>
        <w:t>________________________________________________________________________________________________________</w:t>
      </w:r>
    </w:p>
    <w:p>
      <w:pPr>
        <w:spacing w:before="240" w:after="60"/>
      </w:pPr>
      <w:r>
        <w:rPr>
          <w:rFonts w:ascii="Calibri" w:hAnsi="Calibri"/>
          <w:b/>
          <w:i w:val="0"/>
          <w:color w:val="222222"/>
          <w:sz w:val="22"/>
        </w:rPr>
        <w:t>One change you would make to this brief on Monday:</w:t>
      </w:r>
    </w:p>
    <w:p>
      <w:pPr>
        <w:spacing w:before="160" w:after="0"/>
      </w:pPr>
      <w:r>
        <w:rPr>
          <w:rFonts w:ascii="Calibri" w:hAnsi="Calibri"/>
          <w:b w:val="0"/>
          <w:i w:val="0"/>
          <w:color w:val="5A5A5A"/>
          <w:sz w:val="22"/>
        </w:rPr>
        <w:t>________________________________________________________________________________________________________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val="clear" w:color="auto" w:fill="1B3A4B"/>
          </w:tcPr>
          <w:p>
            <w:pPr>
              <w:pStyle w:val="Heading1"/>
              <w:spacing w:before="120" w:after="40"/>
            </w:pPr>
            <w:r>
              <w:rPr>
                <w:rFonts w:ascii="Calibri" w:hAnsi="Calibri"/>
                <w:b/>
                <w:color w:val="FFFFFF"/>
                <w:sz w:val="38"/>
              </w:rPr>
              <w:t>BRIEF A — Interactive Oral: Client Strategy Defence</w:t>
            </w:r>
          </w:p>
          <w:p>
            <w:pPr>
              <w:spacing w:after="120"/>
            </w:pPr>
            <w:r>
              <w:rPr>
                <w:rFonts w:ascii="Calibri" w:hAnsi="Calibri"/>
                <w:color w:val="D8E4EA"/>
                <w:sz w:val="22"/>
              </w:rPr>
              <w:t>Lane 1 · 30% · 15 minutes in pairs · Week 9</w:t>
            </w:r>
          </w:p>
        </w:tc>
      </w:tr>
    </w:tbl>
    <w:p>
      <w:pPr>
        <w:spacing w:before="160" w:after="60"/>
      </w:pPr>
      <w:r>
        <w:rPr>
          <w:rFonts w:ascii="Calibri" w:hAnsi="Calibri"/>
          <w:b w:val="0"/>
          <w:i/>
          <w:color w:val="5A5A5A"/>
          <w:sz w:val="22"/>
        </w:rPr>
        <w:t>Constructed teaching example. Matches the Interactive Oral type UDL Lens supports, so the tool's ratings can be compared directly against yours.</w:t>
      </w:r>
    </w:p>
    <w:p>
      <w:pPr>
        <w:spacing w:before="140" w:after="60"/>
      </w:pPr>
      <w:r>
        <w:rPr>
          <w:rFonts w:ascii="Calibri" w:hAnsi="Calibri"/>
          <w:b w:val="0"/>
          <w:i w:val="0"/>
          <w:color w:val="222222"/>
          <w:sz w:val="22"/>
        </w:rPr>
        <w:t>In pairs, you will attend a 15-minute interactive oral in which you defend the strategic recommendation your team submitted in Assessment 1. The assessor will ask unscripted follow-up questions.</w:t>
      </w:r>
    </w:p>
    <w:p>
      <w:pPr>
        <w:spacing w:before="140" w:after="60"/>
      </w:pPr>
      <w:r>
        <w:rPr>
          <w:rFonts w:ascii="Calibri" w:hAnsi="Calibri"/>
          <w:b w:val="0"/>
          <w:i w:val="0"/>
          <w:color w:val="222222"/>
          <w:sz w:val="22"/>
        </w:rPr>
        <w:t>Sessions run in the Week 9 workshop slot. Attendance is compulsory and times are allocated alphabetically; swaps must be arranged between students and notified 48 hours in advance.</w:t>
      </w:r>
    </w:p>
    <w:p>
      <w:pPr>
        <w:spacing w:before="140" w:after="60"/>
      </w:pPr>
      <w:r>
        <w:rPr>
          <w:rFonts w:ascii="Calibri" w:hAnsi="Calibri"/>
          <w:b w:val="0"/>
          <w:i w:val="0"/>
          <w:color w:val="222222"/>
          <w:sz w:val="22"/>
        </w:rPr>
        <w:t>You may bring a single printed page of notes. Slides, scripts and devices are not permitted. Both partners must speak; the assessor will direct questions to each of you individually.</w:t>
      </w:r>
    </w:p>
    <w:p>
      <w:pPr>
        <w:spacing w:before="140" w:after="60"/>
      </w:pPr>
      <w:r>
        <w:rPr>
          <w:rFonts w:ascii="Calibri" w:hAnsi="Calibri"/>
          <w:b w:val="0"/>
          <w:i w:val="0"/>
          <w:color w:val="222222"/>
          <w:sz w:val="22"/>
        </w:rPr>
        <w:t>You will be assessed on the defensibility of your reasoning, your grasp of the underlying frameworks, and your ability to respond to challenge. Presentation polish is not assessed.</w:t>
      </w:r>
    </w:p>
    <w:p>
      <w:pPr>
        <w:spacing w:before="140" w:after="60"/>
      </w:pPr>
      <w:r>
        <w:rPr>
          <w:rFonts w:ascii="Calibri" w:hAnsi="Calibri"/>
          <w:b w:val="0"/>
          <w:i w:val="0"/>
          <w:color w:val="222222"/>
          <w:sz w:val="22"/>
        </w:rPr>
        <w:t>Students with a Curriculum Adjustment Plan should contact the unit coordinator before Week 7.</w:t>
      </w:r>
    </w:p>
    <w:p>
      <w:pPr>
        <w:spacing w:before="240" w:after="60"/>
        <w:jc w:val="center"/>
      </w:pPr>
      <w:r>
        <w:rPr>
          <w:rFonts w:ascii="Calibri" w:hAnsi="Calibri"/>
          <w:b w:val="0"/>
          <w:i/>
          <w:color w:val="5A5A5A"/>
          <w:sz w:val="22"/>
        </w:rPr>
        <w:t>— end of brief —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val="clear" w:color="auto" w:fill="1B3A4B"/>
          </w:tcPr>
          <w:p>
            <w:pPr>
              <w:pStyle w:val="Heading1"/>
              <w:spacing w:before="120" w:after="40"/>
            </w:pPr>
            <w:r>
              <w:rPr>
                <w:rFonts w:ascii="Calibri" w:hAnsi="Calibri"/>
                <w:b/>
                <w:color w:val="FFFFFF"/>
                <w:sz w:val="38"/>
              </w:rPr>
              <w:t>BRIEF B — Field Journal: Consumer Environments</w:t>
            </w:r>
          </w:p>
          <w:p>
            <w:pPr>
              <w:spacing w:after="120"/>
            </w:pPr>
            <w:r>
              <w:rPr>
                <w:rFonts w:ascii="Calibri" w:hAnsi="Calibri"/>
                <w:color w:val="D8E4EA"/>
                <w:sz w:val="22"/>
              </w:rPr>
              <w:t>Lane 2 · 40% · Six entries across the study period</w:t>
            </w:r>
          </w:p>
        </w:tc>
      </w:tr>
    </w:tbl>
    <w:p>
      <w:pPr>
        <w:spacing w:before="160" w:after="60"/>
      </w:pPr>
      <w:r>
        <w:rPr>
          <w:rFonts w:ascii="Calibri" w:hAnsi="Calibri"/>
          <w:b w:val="0"/>
          <w:i/>
          <w:color w:val="5A5A5A"/>
          <w:sz w:val="22"/>
        </w:rPr>
        <w:t>Constructed teaching example. Matches the Field Journal type UDL Lens supports.</w:t>
      </w:r>
    </w:p>
    <w:p>
      <w:pPr>
        <w:spacing w:before="140" w:after="60"/>
      </w:pPr>
      <w:r>
        <w:rPr>
          <w:rFonts w:ascii="Calibri" w:hAnsi="Calibri"/>
          <w:b w:val="0"/>
          <w:i w:val="0"/>
          <w:color w:val="222222"/>
          <w:sz w:val="22"/>
        </w:rPr>
        <w:t>Across the study period you will keep a field journal documenting six observations of consumer behaviour in real retail or service environments of your choosing.</w:t>
      </w:r>
    </w:p>
    <w:p>
      <w:pPr>
        <w:spacing w:before="140" w:after="60"/>
      </w:pPr>
      <w:r>
        <w:rPr>
          <w:rFonts w:ascii="Calibri" w:hAnsi="Calibri"/>
          <w:b w:val="0"/>
          <w:i w:val="0"/>
          <w:color w:val="222222"/>
          <w:sz w:val="22"/>
        </w:rPr>
        <w:t>Each entry is roughly 400 words and must include: what you observed, the theory you are reading it through, and one thing the observation complicates or contradicts.</w:t>
      </w:r>
    </w:p>
    <w:p>
      <w:pPr>
        <w:spacing w:before="140" w:after="60"/>
      </w:pPr>
      <w:r>
        <w:rPr>
          <w:rFonts w:ascii="Calibri" w:hAnsi="Calibri"/>
          <w:b w:val="0"/>
          <w:i w:val="0"/>
          <w:color w:val="222222"/>
          <w:sz w:val="22"/>
        </w:rPr>
        <w:t>Entries may include photographs, sketches, audio notes or short video, provided any people are unidentifiable and you have not recorded in a venue that prohibits it.</w:t>
      </w:r>
    </w:p>
    <w:p>
      <w:pPr>
        <w:spacing w:before="140" w:after="60"/>
      </w:pPr>
      <w:r>
        <w:rPr>
          <w:rFonts w:ascii="Calibri" w:hAnsi="Calibri"/>
          <w:b w:val="0"/>
          <w:i w:val="0"/>
          <w:color w:val="222222"/>
          <w:sz w:val="22"/>
        </w:rPr>
        <w:t>You may use generative AI to help analyse or structure your entries. If you do, include a short note in each affected entry saying what you used it for. Undisclosed use is an academic integrity matter.</w:t>
      </w:r>
    </w:p>
    <w:p>
      <w:pPr>
        <w:spacing w:before="140" w:after="60"/>
      </w:pPr>
      <w:r>
        <w:rPr>
          <w:rFonts w:ascii="Calibri" w:hAnsi="Calibri"/>
          <w:b w:val="0"/>
          <w:i w:val="0"/>
          <w:color w:val="222222"/>
          <w:sz w:val="22"/>
        </w:rPr>
        <w:t>The final entry is reflective: what changed in how you see these environments, and what you would observe next.</w:t>
      </w:r>
    </w:p>
    <w:p>
      <w:pPr>
        <w:spacing w:before="240" w:after="60"/>
        <w:jc w:val="center"/>
      </w:pPr>
      <w:r>
        <w:rPr>
          <w:rFonts w:ascii="Calibri" w:hAnsi="Calibri"/>
          <w:b w:val="0"/>
          <w:i/>
          <w:color w:val="5A5A5A"/>
          <w:sz w:val="22"/>
        </w:rPr>
        <w:t>— end of brief —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val="clear" w:color="auto" w:fill="1B3A4B"/>
          </w:tcPr>
          <w:p>
            <w:pPr>
              <w:pStyle w:val="Heading1"/>
              <w:spacing w:before="120" w:after="40"/>
            </w:pPr>
            <w:r>
              <w:rPr>
                <w:rFonts w:ascii="Calibri" w:hAnsi="Calibri"/>
                <w:b/>
                <w:color w:val="FFFFFF"/>
                <w:sz w:val="38"/>
              </w:rPr>
              <w:t>BRIEF C — Individual Report: IMC Plan</w:t>
            </w:r>
          </w:p>
          <w:p>
            <w:pPr>
              <w:spacing w:after="120"/>
            </w:pPr>
            <w:r>
              <w:rPr>
                <w:rFonts w:ascii="Calibri" w:hAnsi="Calibri"/>
                <w:color w:val="D8E4EA"/>
                <w:sz w:val="22"/>
              </w:rPr>
              <w:t>2,500 words · 40% · Week 10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i/>
          <w:color w:val="A85419"/>
          <w:sz w:val="22"/>
        </w:rPr>
        <w:t>Constructed teaching example. UDL Lens does NOT currently support this assessment type — that is the point of this brief. Use the blank card on the next page.</w:t>
      </w:r>
    </w:p>
    <w:p>
      <w:pPr>
        <w:spacing w:before="140" w:after="60"/>
      </w:pPr>
      <w:r>
        <w:rPr>
          <w:rFonts w:ascii="Calibri" w:hAnsi="Calibri"/>
          <w:b w:val="0"/>
          <w:i w:val="0"/>
          <w:color w:val="222222"/>
          <w:sz w:val="22"/>
        </w:rPr>
        <w:t>You are to prepare an individual report presenting an integrated marketing communications plan for the client organisation allocated to you in Week 3.</w:t>
      </w:r>
    </w:p>
    <w:p>
      <w:pPr>
        <w:spacing w:before="140" w:after="60"/>
      </w:pPr>
      <w:r>
        <w:rPr>
          <w:rFonts w:ascii="Calibri" w:hAnsi="Calibri"/>
          <w:b w:val="0"/>
          <w:i w:val="0"/>
          <w:color w:val="222222"/>
          <w:sz w:val="22"/>
        </w:rPr>
        <w:t>The report must be 2,500 words (±10%), submitted as a single PDF via Turnitin. Reports outside the word limit will be penalised 10% per 250 words.</w:t>
      </w:r>
    </w:p>
    <w:p>
      <w:pPr>
        <w:spacing w:before="140" w:after="60"/>
      </w:pPr>
      <w:r>
        <w:rPr>
          <w:rFonts w:ascii="Calibri" w:hAnsi="Calibri"/>
          <w:b w:val="0"/>
          <w:i w:val="0"/>
          <w:color w:val="222222"/>
          <w:sz w:val="22"/>
        </w:rPr>
        <w:t>Your report must include: situation analysis; SWOT; STP rationale; IMC objectives in SMART form; the promotional mix with justification; media schedule; budget; and evaluation metrics.</w:t>
      </w:r>
    </w:p>
    <w:p>
      <w:pPr>
        <w:spacing w:before="140" w:after="60"/>
      </w:pPr>
      <w:r>
        <w:rPr>
          <w:rFonts w:ascii="Calibri" w:hAnsi="Calibri"/>
          <w:b w:val="0"/>
          <w:i w:val="0"/>
          <w:color w:val="222222"/>
          <w:sz w:val="22"/>
        </w:rPr>
        <w:t>You must apply the frameworks covered in Modules 4–7 and cite a minimum of 12 peer-reviewed sources in APA 7th.</w:t>
      </w:r>
    </w:p>
    <w:p>
      <w:pPr>
        <w:spacing w:before="140" w:after="60"/>
      </w:pPr>
      <w:r>
        <w:rPr>
          <w:rFonts w:ascii="Calibri" w:hAnsi="Calibri"/>
          <w:b w:val="0"/>
          <w:i w:val="0"/>
          <w:color w:val="222222"/>
          <w:sz w:val="22"/>
        </w:rPr>
        <w:t>No extensions will be granted except in line with the University's assessment policy.</w:t>
      </w:r>
    </w:p>
    <w:p>
      <w:pPr>
        <w:spacing w:before="240" w:after="60"/>
        <w:jc w:val="center"/>
      </w:pPr>
      <w:r>
        <w:rPr>
          <w:rFonts w:ascii="Calibri" w:hAnsi="Calibri"/>
          <w:b w:val="0"/>
          <w:i/>
          <w:color w:val="5A5A5A"/>
          <w:sz w:val="22"/>
        </w:rPr>
        <w:t>— end of brief —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val="clear" w:color="auto" w:fill="1B3A4B"/>
          </w:tcPr>
          <w:p>
            <w:pPr>
              <w:pStyle w:val="Heading1"/>
              <w:spacing w:before="120" w:after="40"/>
            </w:pPr>
            <w:r>
              <w:rPr>
                <w:rFonts w:ascii="Calibri" w:hAnsi="Calibri"/>
                <w:b/>
                <w:color w:val="FFFFFF"/>
                <w:sz w:val="38"/>
              </w:rPr>
              <w:t>What does YOUR assessment type need?</w:t>
            </w:r>
          </w:p>
          <w:p>
            <w:pPr>
              <w:spacing w:after="120"/>
            </w:pPr>
            <w:r>
              <w:rPr>
                <w:rFonts w:ascii="Calibri" w:hAnsi="Calibri"/>
                <w:color w:val="D8E4EA"/>
                <w:sz w:val="22"/>
              </w:rPr>
              <w:t>UDL Lens covers two assessment types today. Help us decide the next ten.</w:t>
            </w:r>
          </w:p>
        </w:tc>
      </w:tr>
    </w:tbl>
    <w:p>
      <w:pPr>
        <w:spacing w:before="200" w:after="60"/>
      </w:pPr>
      <w:r>
        <w:rPr>
          <w:rFonts w:ascii="Calibri" w:hAnsi="Calibri"/>
          <w:b w:val="0"/>
          <w:i w:val="0"/>
          <w:color w:val="222222"/>
          <w:sz w:val="22"/>
        </w:rPr>
        <w:t>UDL Lens currently supports Interactive Oral (Lane 1) and Field Journal (Lane 2) — six UDL 3.0 considerations, curated by Luke. The framework is built to extend; what it needs is exactly the expertise in this room.</w:t>
      </w:r>
    </w:p>
    <w:p>
      <w:pPr>
        <w:spacing w:before="160" w:after="60"/>
      </w:pPr>
      <w:r>
        <w:rPr>
          <w:rFonts w:ascii="Calibri" w:hAnsi="Calibri"/>
          <w:b/>
          <w:i w:val="0"/>
          <w:color w:val="A85419"/>
          <w:sz w:val="22"/>
        </w:rPr>
        <w:t>Pick one assessment you actually set. Don't pick the easy one.</w:t>
      </w:r>
    </w:p>
    <w:p>
      <w:pPr>
        <w:spacing w:before="200" w:after="60"/>
      </w:pPr>
      <w:r>
        <w:rPr>
          <w:rFonts w:ascii="Calibri" w:hAnsi="Calibri"/>
          <w:b/>
          <w:i w:val="0"/>
          <w:color w:val="222222"/>
          <w:sz w:val="22"/>
        </w:rPr>
        <w:t>The assessment type: ______________________________________   Lane 1 (secure) ☐   Lane 2 (non-secure) ☐</w:t>
      </w:r>
    </w:p>
    <w:p>
      <w:pPr>
        <w:spacing w:before="240" w:after="60"/>
      </w:pPr>
      <w:r>
        <w:rPr>
          <w:rFonts w:ascii="Calibri" w:hAnsi="Calibri"/>
          <w:b/>
          <w:i w:val="0"/>
          <w:color w:val="222222"/>
          <w:sz w:val="22"/>
        </w:rPr>
        <w:t>What do students actually have to DO or SUBMIT? (Not the title — the action.)</w:t>
      </w:r>
    </w:p>
    <w:p>
      <w:pPr>
        <w:spacing w:before="160" w:after="0"/>
      </w:pPr>
      <w:r>
        <w:rPr>
          <w:rFonts w:ascii="Calibri" w:hAnsi="Calibri"/>
          <w:b w:val="0"/>
          <w:i w:val="0"/>
          <w:color w:val="5A5A5A"/>
          <w:sz w:val="22"/>
        </w:rPr>
        <w:t>________________________________________________________________________________________________________</w:t>
      </w:r>
    </w:p>
    <w:p>
      <w:pPr>
        <w:spacing w:before="160" w:after="0"/>
      </w:pPr>
      <w:r>
        <w:rPr>
          <w:rFonts w:ascii="Calibri" w:hAnsi="Calibri"/>
          <w:b w:val="0"/>
          <w:i w:val="0"/>
          <w:color w:val="5A5A5A"/>
          <w:sz w:val="22"/>
        </w:rPr>
        <w:t>________________________________________________________________________________________________________</w:t>
      </w:r>
    </w:p>
    <w:p>
      <w:pPr>
        <w:pStyle w:val="Heading2"/>
        <w:spacing w:before="320" w:after="80"/>
      </w:pPr>
      <w:r>
        <w:rPr>
          <w:rFonts w:ascii="Calibri" w:hAnsi="Calibri"/>
          <w:b/>
          <w:color w:val="1B3A4B"/>
          <w:sz w:val="26"/>
        </w:rPr>
        <w:t>Now the part only you can write</w:t>
      </w:r>
    </w:p>
    <w:p>
      <w:pPr>
        <w:spacing w:before="80" w:after="60"/>
      </w:pPr>
      <w:r>
        <w:rPr>
          <w:rFonts w:ascii="Calibri" w:hAnsi="Calibri"/>
          <w:b w:val="0"/>
          <w:i w:val="0"/>
          <w:color w:val="222222"/>
          <w:sz w:val="22"/>
        </w:rPr>
        <w:t>For this assessment type, name up to three things a colleague might do that would work AGAINST all learners — and the better practice that replaces each. (These become the harmful/helpful pairs behind each consideration.)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5018"/>
            <w:shd w:val="clear" w:color="auto" w:fill="1B3A4B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>Harmful practice</w:t>
            </w:r>
          </w:p>
        </w:tc>
        <w:tc>
          <w:tcPr>
            <w:tcW w:type="dxa" w:w="5018"/>
            <w:shd w:val="clear" w:color="auto" w:fill="1B3A4B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>Helpful practice instead</w:t>
            </w:r>
          </w:p>
        </w:tc>
      </w:tr>
      <w:tr>
        <w:tc>
          <w:tcPr>
            <w:tcW w:type="dxa" w:w="4896"/>
          </w:tcPr>
          <w:p>
            <w:pPr>
              <w:spacing w:before="300" w:after="300"/>
            </w:pPr>
          </w:p>
        </w:tc>
        <w:tc>
          <w:tcPr>
            <w:tcW w:type="dxa" w:w="4896"/>
          </w:tcPr>
          <w:p>
            <w:pPr>
              <w:spacing w:before="300" w:after="300"/>
            </w:pPr>
          </w:p>
        </w:tc>
      </w:tr>
      <w:tr>
        <w:tc>
          <w:tcPr>
            <w:tcW w:type="dxa" w:w="4896"/>
          </w:tcPr>
          <w:p>
            <w:pPr>
              <w:spacing w:before="300" w:after="300"/>
            </w:pPr>
          </w:p>
        </w:tc>
        <w:tc>
          <w:tcPr>
            <w:tcW w:type="dxa" w:w="4896"/>
          </w:tcPr>
          <w:p>
            <w:pPr>
              <w:spacing w:before="300" w:after="300"/>
            </w:pPr>
          </w:p>
        </w:tc>
      </w:tr>
      <w:tr>
        <w:tc>
          <w:tcPr>
            <w:tcW w:type="dxa" w:w="4896"/>
          </w:tcPr>
          <w:p>
            <w:pPr>
              <w:spacing w:before="300" w:after="300"/>
            </w:pPr>
          </w:p>
        </w:tc>
        <w:tc>
          <w:tcPr>
            <w:tcW w:type="dxa" w:w="4896"/>
          </w:tcPr>
          <w:p>
            <w:pPr>
              <w:spacing w:before="300" w:after="300"/>
            </w:pPr>
          </w:p>
        </w:tc>
      </w:tr>
    </w:tbl>
    <w:p>
      <w:pPr>
        <w:spacing w:before="280" w:after="60"/>
      </w:pPr>
      <w:r>
        <w:rPr>
          <w:rFonts w:ascii="Calibri" w:hAnsi="Calibri"/>
          <w:b/>
          <w:i w:val="0"/>
          <w:color w:val="222222"/>
          <w:sz w:val="22"/>
        </w:rPr>
        <w:t>Your name (so we can credit you, and come back with questions): ______________________________</w:t>
      </w:r>
    </w:p>
    <w:p>
      <w:pPr>
        <w:spacing w:before="160" w:after="60"/>
      </w:pPr>
      <w:r>
        <w:rPr>
          <w:rFonts w:ascii="Calibri" w:hAnsi="Calibri"/>
          <w:b w:val="0"/>
          <w:i/>
          <w:color w:val="5A5A5A"/>
          <w:sz w:val="22"/>
        </w:rPr>
        <w:t>This sheet is the input we need to extend the tool — and it is exactly what the grant funds.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val="clear" w:color="auto" w:fill="1B3A4B"/>
          </w:tcPr>
          <w:p>
            <w:pPr>
              <w:pStyle w:val="Heading1"/>
              <w:spacing w:before="120" w:after="40"/>
            </w:pPr>
            <w:r>
              <w:rPr>
                <w:rFonts w:ascii="Calibri" w:hAnsi="Calibri"/>
                <w:b/>
                <w:color w:val="FFFFFF"/>
                <w:sz w:val="38"/>
              </w:rPr>
              <w:t>Work with us</w:t>
            </w:r>
          </w:p>
          <w:p>
            <w:pPr>
              <w:spacing w:after="120"/>
            </w:pPr>
            <w:r>
              <w:rPr>
                <w:rFonts w:ascii="Calibri" w:hAnsi="Calibri"/>
                <w:color w:val="D8E4EA"/>
                <w:sz w:val="22"/>
              </w:rPr>
              <w:t>FBL iSoLT Small Grant · applications close 31 August 2026</w:t>
            </w:r>
          </w:p>
        </w:tc>
      </w:tr>
    </w:tbl>
    <w:p>
      <w:pPr>
        <w:spacing w:before="200" w:after="60"/>
      </w:pPr>
      <w:r>
        <w:rPr>
          <w:rFonts w:ascii="Calibri" w:hAnsi="Calibri"/>
          <w:b w:val="0"/>
          <w:i w:val="0"/>
          <w:color w:val="222222"/>
          <w:sz w:val="22"/>
        </w:rPr>
        <w:t>We are applying for a Faculty of Business and Law iSoLT Small Grant ($5,000–$10,000, one year) to take UDL Lens from a two-type prototype to something that covers the assessments SoMM actually sets.</w:t>
      </w:r>
    </w:p>
    <w:p>
      <w:pPr>
        <w:pStyle w:val="ListParagraph"/>
        <w:spacing w:before="40" w:after="40"/>
        <w:ind w:left="360"/>
      </w:pPr>
      <w:r>
        <w:rPr>
          <w:rFonts w:ascii="Calibri" w:hAnsi="Calibri"/>
          <w:color w:val="222222"/>
          <w:sz w:val="22"/>
        </w:rPr>
        <w:t>•  An Early Career Researcher — mandatory. No PhD, or within five years of conferral (relative to opportunity).</w:t>
      </w:r>
    </w:p>
    <w:p>
      <w:pPr>
        <w:pStyle w:val="ListParagraph"/>
        <w:spacing w:before="40" w:after="40"/>
        <w:ind w:left="360"/>
      </w:pPr>
      <w:r>
        <w:rPr>
          <w:rFonts w:ascii="Calibri" w:hAnsi="Calibri"/>
          <w:color w:val="222222"/>
          <w:sz w:val="22"/>
        </w:rPr>
        <w:t>•  A colleague at a global campus — strongly encouraged by the scheme.</w:t>
      </w:r>
    </w:p>
    <w:p>
      <w:pPr>
        <w:pStyle w:val="ListParagraph"/>
        <w:spacing w:before="40" w:after="40"/>
        <w:ind w:left="360"/>
      </w:pPr>
      <w:r>
        <w:rPr>
          <w:rFonts w:ascii="Calibri" w:hAnsi="Calibri"/>
          <w:color w:val="222222"/>
          <w:sz w:val="22"/>
        </w:rPr>
        <w:t>•  A project mentor from outside the team.</w:t>
      </w:r>
    </w:p>
    <w:p>
      <w:pPr>
        <w:pStyle w:val="ListParagraph"/>
        <w:spacing w:before="40" w:after="40"/>
        <w:ind w:left="360"/>
      </w:pPr>
      <w:r>
        <w:rPr>
          <w:rFonts w:ascii="Calibri" w:hAnsi="Calibri"/>
          <w:color w:val="222222"/>
          <w:sz w:val="22"/>
        </w:rPr>
        <w:t>•  Assessment-type curators — the sheet you just filled in is the work.</w:t>
      </w:r>
    </w:p>
    <w:p>
      <w:pPr>
        <w:spacing w:before="200" w:after="60"/>
      </w:pPr>
      <w:r>
        <w:rPr>
          <w:rFonts w:ascii="Calibri" w:hAnsi="Calibri"/>
          <w:b/>
          <w:i w:val="0"/>
          <w:color w:val="A85419"/>
          <w:sz w:val="22"/>
        </w:rPr>
        <w:t>Adding your name is not a commitment. It means we will come and have a conversation with you.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872"/>
            <w:shd w:val="clear" w:color="auto" w:fill="1B3A4B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>Name</w:t>
            </w:r>
          </w:p>
        </w:tc>
        <w:tc>
          <w:tcPr>
            <w:tcW w:type="dxa" w:w="2304"/>
            <w:shd w:val="clear" w:color="auto" w:fill="1B3A4B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>Discipline / campus</w:t>
            </w:r>
          </w:p>
        </w:tc>
        <w:tc>
          <w:tcPr>
            <w:tcW w:type="dxa" w:w="3024"/>
            <w:shd w:val="clear" w:color="auto" w:fill="1B3A4B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>Email</w:t>
            </w:r>
          </w:p>
        </w:tc>
        <w:tc>
          <w:tcPr>
            <w:tcW w:type="dxa" w:w="2880"/>
            <w:shd w:val="clear" w:color="auto" w:fill="1B3A4B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>I could be… (ECR / offshore / mentor / curator)</w:t>
            </w:r>
          </w:p>
        </w:tc>
      </w:tr>
      <w:tr>
        <w:tc>
          <w:tcPr>
            <w:tcW w:type="dxa" w:w="1872"/>
          </w:tcPr>
          <w:p>
            <w:pPr>
              <w:spacing w:before="220" w:after="220"/>
            </w:pPr>
          </w:p>
        </w:tc>
        <w:tc>
          <w:tcPr>
            <w:tcW w:type="dxa" w:w="2304"/>
          </w:tcPr>
          <w:p>
            <w:pPr>
              <w:spacing w:before="220" w:after="220"/>
            </w:pPr>
          </w:p>
        </w:tc>
        <w:tc>
          <w:tcPr>
            <w:tcW w:type="dxa" w:w="3024"/>
          </w:tcPr>
          <w:p>
            <w:pPr>
              <w:spacing w:before="220" w:after="220"/>
            </w:pPr>
          </w:p>
        </w:tc>
        <w:tc>
          <w:tcPr>
            <w:tcW w:type="dxa" w:w="2880"/>
          </w:tcPr>
          <w:p>
            <w:pPr>
              <w:spacing w:before="220" w:after="220"/>
            </w:pPr>
          </w:p>
        </w:tc>
      </w:tr>
      <w:tr>
        <w:tc>
          <w:tcPr>
            <w:tcW w:type="dxa" w:w="1872"/>
          </w:tcPr>
          <w:p>
            <w:pPr>
              <w:spacing w:before="220" w:after="220"/>
            </w:pPr>
          </w:p>
        </w:tc>
        <w:tc>
          <w:tcPr>
            <w:tcW w:type="dxa" w:w="2304"/>
          </w:tcPr>
          <w:p>
            <w:pPr>
              <w:spacing w:before="220" w:after="220"/>
            </w:pPr>
          </w:p>
        </w:tc>
        <w:tc>
          <w:tcPr>
            <w:tcW w:type="dxa" w:w="3024"/>
          </w:tcPr>
          <w:p>
            <w:pPr>
              <w:spacing w:before="220" w:after="220"/>
            </w:pPr>
          </w:p>
        </w:tc>
        <w:tc>
          <w:tcPr>
            <w:tcW w:type="dxa" w:w="2880"/>
          </w:tcPr>
          <w:p>
            <w:pPr>
              <w:spacing w:before="220" w:after="220"/>
            </w:pPr>
          </w:p>
        </w:tc>
      </w:tr>
      <w:tr>
        <w:tc>
          <w:tcPr>
            <w:tcW w:type="dxa" w:w="1872"/>
          </w:tcPr>
          <w:p>
            <w:pPr>
              <w:spacing w:before="220" w:after="220"/>
            </w:pPr>
          </w:p>
        </w:tc>
        <w:tc>
          <w:tcPr>
            <w:tcW w:type="dxa" w:w="2304"/>
          </w:tcPr>
          <w:p>
            <w:pPr>
              <w:spacing w:before="220" w:after="220"/>
            </w:pPr>
          </w:p>
        </w:tc>
        <w:tc>
          <w:tcPr>
            <w:tcW w:type="dxa" w:w="3024"/>
          </w:tcPr>
          <w:p>
            <w:pPr>
              <w:spacing w:before="220" w:after="220"/>
            </w:pPr>
          </w:p>
        </w:tc>
        <w:tc>
          <w:tcPr>
            <w:tcW w:type="dxa" w:w="2880"/>
          </w:tcPr>
          <w:p>
            <w:pPr>
              <w:spacing w:before="220" w:after="220"/>
            </w:pPr>
          </w:p>
        </w:tc>
      </w:tr>
      <w:tr>
        <w:tc>
          <w:tcPr>
            <w:tcW w:type="dxa" w:w="1872"/>
          </w:tcPr>
          <w:p>
            <w:pPr>
              <w:spacing w:before="220" w:after="220"/>
            </w:pPr>
          </w:p>
        </w:tc>
        <w:tc>
          <w:tcPr>
            <w:tcW w:type="dxa" w:w="2304"/>
          </w:tcPr>
          <w:p>
            <w:pPr>
              <w:spacing w:before="220" w:after="220"/>
            </w:pPr>
          </w:p>
        </w:tc>
        <w:tc>
          <w:tcPr>
            <w:tcW w:type="dxa" w:w="3024"/>
          </w:tcPr>
          <w:p>
            <w:pPr>
              <w:spacing w:before="220" w:after="220"/>
            </w:pPr>
          </w:p>
        </w:tc>
        <w:tc>
          <w:tcPr>
            <w:tcW w:type="dxa" w:w="2880"/>
          </w:tcPr>
          <w:p>
            <w:pPr>
              <w:spacing w:before="220" w:after="220"/>
            </w:pPr>
          </w:p>
        </w:tc>
      </w:tr>
      <w:tr>
        <w:tc>
          <w:tcPr>
            <w:tcW w:type="dxa" w:w="1872"/>
          </w:tcPr>
          <w:p>
            <w:pPr>
              <w:spacing w:before="220" w:after="220"/>
            </w:pPr>
          </w:p>
        </w:tc>
        <w:tc>
          <w:tcPr>
            <w:tcW w:type="dxa" w:w="2304"/>
          </w:tcPr>
          <w:p>
            <w:pPr>
              <w:spacing w:before="220" w:after="220"/>
            </w:pPr>
          </w:p>
        </w:tc>
        <w:tc>
          <w:tcPr>
            <w:tcW w:type="dxa" w:w="3024"/>
          </w:tcPr>
          <w:p>
            <w:pPr>
              <w:spacing w:before="220" w:after="220"/>
            </w:pPr>
          </w:p>
        </w:tc>
        <w:tc>
          <w:tcPr>
            <w:tcW w:type="dxa" w:w="2880"/>
          </w:tcPr>
          <w:p>
            <w:pPr>
              <w:spacing w:before="220" w:after="220"/>
            </w:pPr>
          </w:p>
        </w:tc>
      </w:tr>
      <w:tr>
        <w:tc>
          <w:tcPr>
            <w:tcW w:type="dxa" w:w="1872"/>
          </w:tcPr>
          <w:p>
            <w:pPr>
              <w:spacing w:before="220" w:after="220"/>
            </w:pPr>
          </w:p>
        </w:tc>
        <w:tc>
          <w:tcPr>
            <w:tcW w:type="dxa" w:w="2304"/>
          </w:tcPr>
          <w:p>
            <w:pPr>
              <w:spacing w:before="220" w:after="220"/>
            </w:pPr>
          </w:p>
        </w:tc>
        <w:tc>
          <w:tcPr>
            <w:tcW w:type="dxa" w:w="3024"/>
          </w:tcPr>
          <w:p>
            <w:pPr>
              <w:spacing w:before="220" w:after="220"/>
            </w:pPr>
          </w:p>
        </w:tc>
        <w:tc>
          <w:tcPr>
            <w:tcW w:type="dxa" w:w="2880"/>
          </w:tcPr>
          <w:p>
            <w:pPr>
              <w:spacing w:before="220" w:after="220"/>
            </w:pPr>
          </w:p>
        </w:tc>
      </w:tr>
      <w:tr>
        <w:tc>
          <w:tcPr>
            <w:tcW w:type="dxa" w:w="1872"/>
          </w:tcPr>
          <w:p>
            <w:pPr>
              <w:spacing w:before="220" w:after="220"/>
            </w:pPr>
          </w:p>
        </w:tc>
        <w:tc>
          <w:tcPr>
            <w:tcW w:type="dxa" w:w="2304"/>
          </w:tcPr>
          <w:p>
            <w:pPr>
              <w:spacing w:before="220" w:after="220"/>
            </w:pPr>
          </w:p>
        </w:tc>
        <w:tc>
          <w:tcPr>
            <w:tcW w:type="dxa" w:w="3024"/>
          </w:tcPr>
          <w:p>
            <w:pPr>
              <w:spacing w:before="220" w:after="220"/>
            </w:pPr>
          </w:p>
        </w:tc>
        <w:tc>
          <w:tcPr>
            <w:tcW w:type="dxa" w:w="2880"/>
          </w:tcPr>
          <w:p>
            <w:pPr>
              <w:spacing w:before="220" w:after="220"/>
            </w:pPr>
          </w:p>
        </w:tc>
      </w:tr>
      <w:tr>
        <w:tc>
          <w:tcPr>
            <w:tcW w:type="dxa" w:w="1872"/>
          </w:tcPr>
          <w:p>
            <w:pPr>
              <w:spacing w:before="220" w:after="220"/>
            </w:pPr>
          </w:p>
        </w:tc>
        <w:tc>
          <w:tcPr>
            <w:tcW w:type="dxa" w:w="2304"/>
          </w:tcPr>
          <w:p>
            <w:pPr>
              <w:spacing w:before="220" w:after="220"/>
            </w:pPr>
          </w:p>
        </w:tc>
        <w:tc>
          <w:tcPr>
            <w:tcW w:type="dxa" w:w="3024"/>
          </w:tcPr>
          <w:p>
            <w:pPr>
              <w:spacing w:before="220" w:after="220"/>
            </w:pPr>
          </w:p>
        </w:tc>
        <w:tc>
          <w:tcPr>
            <w:tcW w:type="dxa" w:w="2880"/>
          </w:tcPr>
          <w:p>
            <w:pPr>
              <w:spacing w:before="220" w:after="220"/>
            </w:pPr>
          </w:p>
        </w:tc>
      </w:tr>
    </w:tbl>
    <w:p>
      <w:pPr>
        <w:spacing w:before="280" w:after="60"/>
      </w:pPr>
      <w:r>
        <w:rPr>
          <w:rFonts w:ascii="Calibri" w:hAnsi="Calibri"/>
          <w:b w:val="0"/>
          <w:i w:val="0"/>
          <w:color w:val="5A5A5A"/>
          <w:sz w:val="22"/>
        </w:rPr>
        <w:t>Michael Borck · michael.borck@curtin.edu.au        Luke Butcher · School of Management and Marketing</w:t>
      </w:r>
    </w:p>
    <w:sectPr w:rsidR="00FC693F" w:rsidRPr="0006063C" w:rsidSect="00034616">
      <w:pgSz w:w="11909" w:h="16834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UDL Lens — Zoo Day print materials</dc:title>
  <dc:subject/>
  <dc:creator>Michael Borck; Luke Butcher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