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280"/>
        <w:gridCol w:w="1300"/>
      </w:tblGrid>
      <w:tr>
        <w:tc>
          <w:tcPr>
            <w:tcW w:type="dxa" w:w="1058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4B"/>
                <w:sz w:val="44"/>
                <w:szCs w:val="44"/>
              </w:rPr>
              <w:t xml:space="preserve">UDL Lens × iSoLT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A85419"/>
                <w:sz w:val="22"/>
                <w:szCs w:val="23"/>
              </w:rPr>
              <w:t xml:space="preserve">Turning better assessment design into evidence for promotion, awards and fellowship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5A"/>
                <w:sz w:val="22"/>
                <w:szCs w:val="20"/>
              </w:rPr>
              <w:t xml:space="preserve">SoMM Retreat · Michael Borck &amp; Luke Butcher · </w:t>
            </w:r>
            <w:r>
              <w:rPr>
                <w:rFonts w:ascii="Calibri" w:cs="Calibri" w:eastAsia="Calibri" w:hAnsi="Calibri"/>
                <w:b/>
                <w:bCs/>
                <w:color w:val="1B3A4B"/>
                <w:sz w:val="22"/>
                <w:szCs w:val="20"/>
              </w:rPr>
              <w:t xml:space="preserve">udllens.eduserver.au</w:t>
            </w:r>
            <w:r>
              <w:rPr>
                <w:rFonts w:ascii="Calibri" w:cs="Calibri" w:eastAsia="Calibri" w:hAnsi="Calibri"/>
                <w:color w:val="5A5A5A"/>
                <w:sz w:val="22"/>
                <w:szCs w:val="20"/>
              </w:rPr>
              <w:t xml:space="preserve"> (no login; files analysed, never stored)</w:t>
            </w:r>
          </w:p>
          <w:p>
            <w:pPr>
              <w:spacing w:after="0"/>
              <w:jc w:val="right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B3A4B"/>
          <w:sz w:val="26"/>
          <w:szCs w:val="24"/>
        </w:rPr>
        <w:t xml:space="preserve">The evidence cycle — one unit, one semester at a time</w:t>
      </w:r>
    </w:p>
    <w:p>
      <w:pPr>
        <w:spacing w:after="60" w:line="252" w:lineRule="auto"/>
      </w:pPr>
      <w:r>
        <w:rPr>
          <w:rFonts w:ascii="Calibri" w:cs="Calibri" w:eastAsia="Calibri" w:hAnsi="Calibri"/>
          <w:b/>
          <w:bCs/>
          <w:color w:val="A85419"/>
          <w:sz w:val="22"/>
          <w:szCs w:val="20"/>
        </w:rPr>
        <w:t>Audit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 (run your unit’s assessments through UDL Lens; AI suggests a rating per UDL 3.0 consideration, you confirm or override) → </w:t>
      </w:r>
      <w:r>
        <w:rPr>
          <w:rFonts w:ascii="Calibri" w:cs="Calibri" w:eastAsia="Calibri" w:hAnsi="Calibri"/>
          <w:b/>
          <w:bCs/>
          <w:color w:val="A85419"/>
          <w:sz w:val="22"/>
          <w:szCs w:val="20"/>
        </w:rPr>
        <w:t>Act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 (implement the report’s quick wins) → </w:t>
      </w:r>
      <w:r>
        <w:rPr>
          <w:rFonts w:ascii="Calibri" w:cs="Calibri" w:eastAsia="Calibri" w:hAnsi="Calibri"/>
          <w:b/>
          <w:bCs/>
          <w:color w:val="A85419"/>
          <w:sz w:val="22"/>
          <w:szCs w:val="20"/>
        </w:rPr>
        <w:t>Re-audit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 (next study period) → </w:t>
      </w:r>
      <w:r>
        <w:rPr>
          <w:rFonts w:ascii="Calibri" w:cs="Calibri" w:eastAsia="Calibri" w:hAnsi="Calibri"/>
          <w:b/>
          <w:bCs/>
          <w:color w:val="A85419"/>
          <w:sz w:val="22"/>
          <w:szCs w:val="20"/>
        </w:rPr>
        <w:t>Document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 (before/after PDF reports go into your portfolio, PES conversation, or application). Each cycle is dated, structured, literature-grounded evidence — not a retrospective anecdote.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B3A4B"/>
          <w:sz w:val="26"/>
          <w:szCs w:val="24"/>
        </w:rPr>
        <w:t xml:space="preserve">Where it maps to the ACF Teaching Excellence benchmarks</w:t>
      </w:r>
    </w:p>
    <w:p>
      <w:pPr>
        <w:pStyle w:val="ListParagraph"/>
        <w:numPr>
          <w:ilvl w:val="0"/>
          <w:numId w:val="2"/>
        </w:numPr>
        <w:spacing w:after="40" w:line="252" w:lineRule="auto"/>
      </w:pPr>
      <w:r>
        <w:rPr>
          <w:rFonts w:ascii="Calibri" w:cs="Calibri" w:eastAsia="Calibri" w:hAnsi="Calibri"/>
          <w:b/>
          <w:bCs/>
          <w:color w:val="1B3A4B"/>
          <w:sz w:val="22"/>
          <w:szCs w:val="20"/>
        </w:rPr>
        <w:t xml:space="preserve">High-quality curricula and assessment — 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the ACF asks that curriculum development “follow the principles of universal design”. A UDL Lens report evidences this benchmark almost verbatim.</w:t>
      </w:r>
    </w:p>
    <w:p>
      <w:pPr>
        <w:pStyle w:val="ListParagraph"/>
        <w:numPr>
          <w:ilvl w:val="0"/>
          <w:numId w:val="2"/>
        </w:numPr>
        <w:spacing w:after="40" w:line="252" w:lineRule="auto"/>
      </w:pPr>
      <w:r>
        <w:rPr>
          <w:rFonts w:ascii="Calibri" w:cs="Calibri" w:eastAsia="Calibri" w:hAnsi="Calibri"/>
          <w:b/>
          <w:bCs/>
          <w:color w:val="1B3A4B"/>
          <w:sz w:val="22"/>
          <w:szCs w:val="20"/>
        </w:rPr>
        <w:t xml:space="preserve">Excellent teaching and student support — 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demonstrates strategies that account for diversity, equity and inclusion: online, global-campus, Enabling and equity-group students.</w:t>
      </w:r>
    </w:p>
    <w:p>
      <w:pPr>
        <w:pStyle w:val="ListParagraph"/>
        <w:numPr>
          <w:ilvl w:val="0"/>
          <w:numId w:val="2"/>
        </w:numPr>
        <w:spacing w:after="40" w:line="252" w:lineRule="auto"/>
      </w:pPr>
      <w:r>
        <w:rPr>
          <w:rFonts w:ascii="Calibri" w:cs="Calibri" w:eastAsia="Calibri" w:hAnsi="Calibri"/>
          <w:b/>
          <w:bCs/>
          <w:color w:val="1B3A4B"/>
          <w:sz w:val="22"/>
          <w:szCs w:val="20"/>
        </w:rPr>
        <w:t xml:space="preserve">Building teaching capability — 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run an audit with a colleague or tutor team; mentoring others through one is capability-building you can name.</w:t>
      </w:r>
    </w:p>
    <w:p>
      <w:pPr>
        <w:pStyle w:val="ListParagraph"/>
        <w:numPr>
          <w:ilvl w:val="0"/>
          <w:numId w:val="2"/>
        </w:numPr>
        <w:spacing w:after="40" w:line="252" w:lineRule="auto"/>
      </w:pPr>
      <w:r>
        <w:rPr>
          <w:rFonts w:ascii="Calibri" w:cs="Calibri" w:eastAsia="Calibri" w:hAnsi="Calibri"/>
          <w:b/>
          <w:bCs/>
          <w:color w:val="1B3A4B"/>
          <w:sz w:val="22"/>
          <w:szCs w:val="20"/>
        </w:rPr>
        <w:t xml:space="preserve">Scholarship and innovation (iSoLT) — 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before/after audit data is a ready-made SoTL dataset: conference talk, journal article, or grant pilot data.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B3A4B"/>
          <w:sz w:val="26"/>
          <w:szCs w:val="24"/>
        </w:rPr>
        <w:t xml:space="preserve">Where it counts against the SoMM iSoLT baseline targets (#6 L&amp;T Portfolio · #10 Teaching Practice &amp; Innovation)</w:t>
      </w:r>
    </w:p>
    <w:tbl>
      <w:tblPr>
        <w:tblW w:type="dxa" w:w="10580"/>
        <w:tblBorders>
          <w:top w:val="single" w:color="CFC8BB" w:sz="4"/>
          <w:left w:val="single" w:color="CFC8BB" w:sz="4"/>
          <w:bottom w:val="single" w:color="CFC8BB" w:sz="4"/>
          <w:right w:val="single" w:color="CFC8BB" w:sz="4"/>
          <w:insideH w:val="single" w:color="CFC8BB" w:sz="4"/>
          <w:insideV w:val="single" w:color="CFC8BB" w:sz="4"/>
        </w:tblBorders>
      </w:tblPr>
      <w:tblGrid>
        <w:gridCol w:w="1150"/>
        <w:gridCol w:w="4900"/>
        <w:gridCol w:w="4530"/>
      </w:tblGrid>
      <w:tr>
        <w:trPr>
          <w:tblHeader w:val="true"/>
        </w:trPr>
        <w:tc>
          <w:tcPr>
            <w:tcW w:type="dxa" w:w="1150"/>
            <w:shd w:fill="1B3A4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18"/>
              </w:rPr>
              <w:t xml:space="preserve">Level</w:t>
            </w:r>
          </w:p>
        </w:tc>
        <w:tc>
          <w:tcPr>
            <w:tcW w:type="dxa" w:w="4900"/>
            <w:shd w:fill="1B3A4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18"/>
              </w:rPr>
              <w:t xml:space="preserve">SoMM baseline target (abridged)</w:t>
            </w:r>
          </w:p>
        </w:tc>
        <w:tc>
          <w:tcPr>
            <w:tcW w:type="dxa" w:w="4530"/>
            <w:shd w:fill="1B3A4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18"/>
              </w:rPr>
              <w:t xml:space="preserve">What UDL Lens gives you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18"/>
              </w:rPr>
              <w:t>ALA (Enhance)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18"/>
              </w:rPr>
              <w:t>#10: Has become familiar with learning pedagogy and innovative practices in curriculum design and teaching practice (0.5 pt); reviews and improves upon teaching practice to enhance the student experience (0.5 pt).  #6: Start to build your L&amp;T portfolio; become familiar with the literature (0.5 pt).</w:t>
            </w:r>
          </w:p>
        </w:tc>
        <w:tc>
          <w:tcPr>
            <w:tcW w:type="dxa" w:w="4530"/>
            <w:shd w:fill="F3EE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18"/>
              </w:rPr>
              <w:t>Your first audit: a structured, literature-based (UDL 3.0) review of your unit, with a report for your portfolio.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18"/>
              </w:rPr>
              <w:t>ALB (Enhance)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18"/>
              </w:rPr>
              <w:t>#10: Individual/team iSoLT project has led to demonstrated improvement in student retention, learning and/or engagement (1 pt); curriculum review results in engaging, inclusive curriculum, supported by evidence of improvement (0.5 pt).  #6: Build your L&amp;T portfolio; identify your teaching approach (0.5 pt).</w:t>
            </w:r>
          </w:p>
        </w:tc>
        <w:tc>
          <w:tcPr>
            <w:tcW w:type="dxa" w:w="4530"/>
            <w:shd w:fill="F3EE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18"/>
              </w:rPr>
              <w:t>Audit → implement quick wins → re-audit next study period. The before/after reports are the evidence of improvement.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18"/>
              </w:rPr>
              <w:t>ALC (Enrich)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18"/>
              </w:rPr>
              <w:t>#10: Develops and implements innovative practices and/or technology in teaching, supported by evidence of improvement (1 pt).  #6: Mentor at least one colleague in compiling their teaching portfolio, at an AFHEA level (1 pt).</w:t>
            </w:r>
          </w:p>
        </w:tc>
        <w:tc>
          <w:tcPr>
            <w:tcW w:type="dxa" w:w="4530"/>
            <w:shd w:fill="F3EE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18"/>
              </w:rPr>
              <w:t>An AI-assisted UDL audit is itself an innovative practice. Mentor a colleague through their first audit and into their AFHEA claim.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18"/>
              </w:rPr>
              <w:t>ALD–ALE (Expand)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18"/>
              </w:rPr>
              <w:t>#10: Individual/team iSoLT project has led to national/international implications for HE teaching practice (1.5 pts).</w:t>
            </w:r>
          </w:p>
        </w:tc>
        <w:tc>
          <w:tcPr>
            <w:tcW w:type="dxa" w:w="4530"/>
            <w:shd w:fill="F3EE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18"/>
              </w:rPr>
              <w:t>Publish the approach and results (SoTL), present at a L&amp;T conference, extend across courses and campuses.</w:t>
            </w:r>
          </w:p>
        </w:tc>
      </w:tr>
    </w:tbl>
    <w:p>
      <w:pPr>
        <w:spacing w:after="0" w:before="50"/>
      </w:pPr>
      <w:r>
        <w:rPr>
          <w:rFonts w:ascii="Calibri" w:cs="Calibri" w:eastAsia="Calibri" w:hAnsi="Calibri"/>
          <w:i w:val="0"/>
          <w:iCs/>
          <w:color w:val="222222"/>
          <w:sz w:val="22"/>
          <w:szCs w:val="20"/>
        </w:rPr>
        <w:t>Targets are per activity area over a three-year period, based on a full-time position: 10% iSoLT allocation = 1 point per area, 20% = 2 points, 30% = 3 points.</w:t>
      </w:r>
    </w:p>
    <w:p>
      <w:r>
        <w:rPr>
          <w:i/>
          <w:color w:val="5A5A5A"/>
          <w:sz w:val="22"/>
        </w:rPr>
        <w:t>Abridged from the SoMM baseline target tables — confirm against the current iSoLT Activity Planner before relying on these values in an application.</w:t>
      </w:r>
    </w:p>
    <w:p>
      <w:r>
        <w:br w:type="page"/>
      </w:r>
    </w:p>
    <w:p>
      <w:pPr>
        <w:pStyle w:val="Heading2"/>
        <w:spacing w:before="0" w:after="60"/>
      </w:pPr>
      <w:r>
        <w:rPr>
          <w:b/>
          <w:i w:val="0"/>
          <w:color w:val="1B3A4B"/>
          <w:sz w:val="26"/>
        </w:rPr>
        <w:t>Getting started — about 20 minutes</w:t>
      </w:r>
    </w:p>
    <w:p>
      <w:pPr>
        <w:spacing w:before="40" w:after="60"/>
      </w:pPr>
      <w:r>
        <w:rPr>
          <w:b w:val="0"/>
          <w:i w:val="0"/>
          <w:color w:val="222222"/>
          <w:sz w:val="22"/>
        </w:rPr>
        <w:t>1.  Go to udllens.eduserver.au. No login, nothing to install.</w:t>
      </w:r>
    </w:p>
    <w:p>
      <w:pPr>
        <w:spacing w:before="40" w:after="60"/>
      </w:pPr>
      <w:r>
        <w:rPr>
          <w:b w:val="0"/>
          <w:i w:val="0"/>
          <w:color w:val="222222"/>
          <w:sz w:val="22"/>
        </w:rPr>
        <w:t>2.  Add your assessment — upload the brief (PDF or DOCX), or just describe it in a few lines.</w:t>
      </w:r>
    </w:p>
    <w:p>
      <w:pPr>
        <w:spacing w:before="40" w:after="60"/>
      </w:pPr>
      <w:r>
        <w:rPr>
          <w:b w:val="0"/>
          <w:i w:val="0"/>
          <w:color w:val="222222"/>
          <w:sz w:val="22"/>
        </w:rPr>
        <w:t>3.  Answer the short self-report questions. Some UDL considerations live in how you teach, not in the brief.</w:t>
      </w:r>
    </w:p>
    <w:p>
      <w:pPr>
        <w:spacing w:before="40" w:after="60"/>
      </w:pPr>
      <w:r>
        <w:rPr>
          <w:b w:val="0"/>
          <w:i w:val="0"/>
          <w:color w:val="222222"/>
          <w:sz w:val="22"/>
        </w:rPr>
        <w:t>4.  Confirm or override every rating. The AI proposes; you decide. You know the unit.</w:t>
      </w:r>
    </w:p>
    <w:p>
      <w:pPr>
        <w:spacing w:before="40" w:after="60"/>
      </w:pPr>
      <w:r>
        <w:rPr>
          <w:b w:val="0"/>
          <w:i w:val="0"/>
          <w:color w:val="222222"/>
          <w:sz w:val="22"/>
        </w:rPr>
        <w:t>5.  Download the PDF before you close the tab — nothing is stored.</w:t>
      </w:r>
    </w:p>
    <w:p>
      <w:pPr>
        <w:pStyle w:val="Heading2"/>
        <w:spacing w:before="240" w:after="60"/>
      </w:pPr>
      <w:r>
        <w:rPr>
          <w:b/>
          <w:i w:val="0"/>
          <w:color w:val="1B3A4B"/>
          <w:sz w:val="26"/>
        </w:rPr>
        <w:t>What the report gives you</w:t>
      </w:r>
    </w:p>
    <w:p>
      <w:pPr>
        <w:pStyle w:val="ListParagraph"/>
        <w:spacing w:before="40" w:after="60"/>
      </w:pPr>
      <w:r>
        <w:rPr>
          <w:b w:val="0"/>
          <w:i w:val="0"/>
          <w:color w:val="222222"/>
          <w:sz w:val="22"/>
        </w:rPr>
        <w:t>•  A radar of your coverage across the nine UDL 3.0 guidelines.</w:t>
      </w:r>
    </w:p>
    <w:p>
      <w:pPr>
        <w:pStyle w:val="ListParagraph"/>
        <w:spacing w:before="40" w:after="60"/>
      </w:pPr>
      <w:r>
        <w:rPr>
          <w:b w:val="0"/>
          <w:i w:val="0"/>
          <w:color w:val="222222"/>
          <w:sz w:val="22"/>
        </w:rPr>
        <w:t>•  Quick wins you can act on this study period, plus longer-term changes.</w:t>
      </w:r>
    </w:p>
    <w:p>
      <w:pPr>
        <w:pStyle w:val="ListParagraph"/>
        <w:spacing w:before="40" w:after="60"/>
      </w:pPr>
      <w:r>
        <w:rPr>
          <w:b w:val="0"/>
          <w:i w:val="0"/>
          <w:color w:val="222222"/>
          <w:sz w:val="22"/>
        </w:rPr>
        <w:t>•  Every rating with the reasoning behind it — dated, and citable in a portfolio.</w:t>
      </w:r>
    </w:p>
    <w:p>
      <w:pPr>
        <w:pStyle w:val="Heading2"/>
        <w:spacing w:before="240" w:after="60"/>
      </w:pPr>
      <w:r>
        <w:rPr>
          <w:b/>
          <w:i w:val="0"/>
          <w:color w:val="1B3A4B"/>
          <w:sz w:val="26"/>
        </w:rPr>
        <w:t>What UDL 3.0 actually asks</w:t>
      </w:r>
    </w:p>
    <w:p>
      <w:pPr>
        <w:spacing w:before="40" w:after="60"/>
      </w:pPr>
      <w:r>
        <w:rPr>
          <w:b w:val="0"/>
          <w:i w:val="0"/>
          <w:color w:val="222222"/>
          <w:sz w:val="22"/>
        </w:rPr>
        <w:t>The nine guidelines, grouped by principle:</w:t>
      </w:r>
    </w:p>
    <w:p>
      <w:pPr>
        <w:pStyle w:val="ListParagraph"/>
        <w:spacing w:before="40" w:after="40"/>
      </w:pPr>
      <w:r>
        <w:rPr>
          <w:b/>
          <w:color w:val="1B3A4B"/>
          <w:sz w:val="22"/>
        </w:rPr>
        <w:t xml:space="preserve">•  Engagement — </w:t>
      </w:r>
      <w:r>
        <w:rPr>
          <w:color w:val="222222"/>
          <w:sz w:val="22"/>
        </w:rPr>
        <w:t>Welcoming Interests &amp; Identities (7) · Sustaining Effort &amp; Persistence (8) · Emotional Capacity (9)</w:t>
      </w:r>
    </w:p>
    <w:p>
      <w:pPr>
        <w:pStyle w:val="ListParagraph"/>
        <w:spacing w:before="40" w:after="40"/>
      </w:pPr>
      <w:r>
        <w:rPr>
          <w:b/>
          <w:color w:val="1B3A4B"/>
          <w:sz w:val="22"/>
        </w:rPr>
        <w:t xml:space="preserve">•  Representation — </w:t>
      </w:r>
      <w:r>
        <w:rPr>
          <w:color w:val="222222"/>
          <w:sz w:val="22"/>
        </w:rPr>
        <w:t>Perception (1) · Language &amp; Symbols (2) · Building Knowledge (3)</w:t>
      </w:r>
    </w:p>
    <w:p>
      <w:pPr>
        <w:pStyle w:val="ListParagraph"/>
        <w:spacing w:before="40" w:after="40"/>
      </w:pPr>
      <w:r>
        <w:rPr>
          <w:b/>
          <w:color w:val="1B3A4B"/>
          <w:sz w:val="22"/>
        </w:rPr>
        <w:t xml:space="preserve">•  Action &amp; Expression — </w:t>
      </w:r>
      <w:r>
        <w:rPr>
          <w:color w:val="222222"/>
          <w:sz w:val="22"/>
        </w:rPr>
        <w:t>Interaction (4) · Expression &amp; Communication (5) · Strategy Development (6)</w:t>
      </w:r>
    </w:p>
    <w:p>
      <w:pPr>
        <w:spacing w:before="60" w:after="60"/>
      </w:pPr>
      <w:r>
        <w:rPr>
          <w:b w:val="0"/>
          <w:i/>
          <w:color w:val="5A5A5A"/>
          <w:sz w:val="22"/>
        </w:rPr>
        <w:t>Version 2.2 called considerations “checkpoints”, and the tool’s screen still does — same thing.</w:t>
      </w:r>
    </w:p>
    <w:p>
      <w:pPr>
        <w:spacing w:after="0"/>
      </w:pPr>
      <w:r>
        <w:br w:type="page"/>
      </w:r>
    </w:p>
    <w:p>
      <w:pPr>
        <w:pStyle w:val="Heading2"/>
        <w:spacing w:before="240" w:after="60"/>
      </w:pPr>
      <w:r>
        <w:rPr>
          <w:b/>
          <w:i w:val="0"/>
          <w:color w:val="1B3A4B"/>
          <w:sz w:val="26"/>
        </w:rPr>
        <w:t>What version 3.0 added</w:t>
      </w:r>
    </w:p>
    <w:p>
      <w:pPr>
        <w:spacing w:before="40" w:after="60"/>
      </w:pPr>
      <w:r>
        <w:rPr>
          <w:b w:val="0"/>
          <w:i w:val="0"/>
          <w:color w:val="222222"/>
          <w:sz w:val="22"/>
        </w:rPr>
        <w:t>New or substantially expanded in 3.0 — the ones most likely to change a brief: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1.3  </w:t>
      </w:r>
      <w:r>
        <w:rPr>
          <w:color w:val="222222"/>
          <w:sz w:val="22"/>
        </w:rPr>
        <w:t>Represent a diversity of perspectives and identities in authentic ways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2.3  </w:t>
      </w:r>
      <w:r>
        <w:rPr>
          <w:color w:val="222222"/>
          <w:sz w:val="22"/>
        </w:rPr>
        <w:t>Cultivate understanding and respect across languages and dialects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2.4  </w:t>
      </w:r>
      <w:r>
        <w:rPr>
          <w:color w:val="222222"/>
          <w:sz w:val="22"/>
        </w:rPr>
        <w:t>Address biases in the use of language and symbols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5.4  </w:t>
      </w:r>
      <w:r>
        <w:rPr>
          <w:color w:val="222222"/>
          <w:sz w:val="22"/>
        </w:rPr>
        <w:t>Address biases related to modes of expression and communication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6.5  </w:t>
      </w:r>
      <w:r>
        <w:rPr>
          <w:color w:val="222222"/>
          <w:sz w:val="22"/>
        </w:rPr>
        <w:t>Challenge exclusionary practices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7.3  </w:t>
      </w:r>
      <w:r>
        <w:rPr>
          <w:color w:val="222222"/>
          <w:sz w:val="22"/>
        </w:rPr>
        <w:t>Nurture joy and play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8.4  </w:t>
      </w:r>
      <w:r>
        <w:rPr>
          <w:color w:val="222222"/>
          <w:sz w:val="22"/>
        </w:rPr>
        <w:t>Foster belonging and community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9.2  </w:t>
      </w:r>
      <w:r>
        <w:rPr>
          <w:color w:val="222222"/>
          <w:sz w:val="22"/>
        </w:rPr>
        <w:t>Develop awareness of self and others</w:t>
      </w:r>
    </w:p>
    <w:p>
      <w:pPr>
        <w:pStyle w:val="ListParagraph"/>
        <w:spacing w:before="20" w:after="20"/>
        <w:ind w:left="360"/>
      </w:pPr>
      <w:r>
        <w:rPr>
          <w:b/>
          <w:color w:val="1B3A4B"/>
          <w:sz w:val="22"/>
        </w:rPr>
        <w:t xml:space="preserve">9.4  </w:t>
      </w:r>
      <w:r>
        <w:rPr>
          <w:color w:val="222222"/>
          <w:sz w:val="22"/>
        </w:rPr>
        <w:t>Cultivate empathy and restorative practices</w:t>
      </w:r>
    </w:p>
    <w:p>
      <w:pPr>
        <w:spacing w:before="100" w:after="60"/>
      </w:pPr>
      <w:r>
        <w:rPr>
          <w:i/>
          <w:color w:val="5A5A5A"/>
          <w:sz w:val="22"/>
        </w:rPr>
        <w:t>In short: belonging, bias and joy now sit alongside access.</w:t>
      </w:r>
    </w:p>
    <w:p>
      <w:pPr>
        <w:pStyle w:val="Heading2"/>
        <w:spacing w:before="240" w:after="60"/>
      </w:pPr>
      <w:r>
        <w:rPr>
          <w:b/>
          <w:i w:val="0"/>
          <w:color w:val="1B3A4B"/>
          <w:sz w:val="26"/>
        </w:rPr>
        <w:t>Where the tool is up to</w:t>
      </w:r>
    </w:p>
    <w:p>
      <w:pPr>
        <w:spacing w:before="40" w:after="60"/>
      </w:pPr>
      <w:r>
        <w:rPr>
          <w:b w:val="0"/>
          <w:i w:val="0"/>
          <w:color w:val="222222"/>
          <w:sz w:val="22"/>
        </w:rPr>
        <w:t>UDL Lens is a working prototype. Two assessment types are built end to end; others are being curated now, and each needs its considerations and practices written by someone who teaches it. If yours isn't there yet, tell us what it needs.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4"/>
        </w:rPr>
        <w:t xml:space="preserve">Beyond points</w:t>
      </w:r>
    </w:p>
    <w:p>
      <w:pPr>
        <w:spacing w:after="60" w:line="252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0"/>
        </w:rPr>
        <w:t>Promotion narrative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 — a repeated audit–improve–re-audit cycle is “sustained effort” in ACF language. </w:t>
      </w:r>
      <w:r>
        <w:rPr>
          <w:rFonts w:ascii="Calibri" w:cs="Calibri" w:eastAsia="Calibri" w:hAnsi="Calibri"/>
          <w:b/>
          <w:bCs/>
          <w:color w:val="222222"/>
          <w:sz w:val="22"/>
          <w:szCs w:val="20"/>
        </w:rPr>
        <w:t>Teaching awards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 — citations need evidence of impact on diverse learners; radar charts and quick-win deltas photograph well. </w:t>
      </w:r>
      <w:r>
        <w:rPr>
          <w:rFonts w:ascii="Calibri" w:cs="Calibri" w:eastAsia="Calibri" w:hAnsi="Calibri"/>
          <w:b/>
          <w:bCs/>
          <w:color w:val="222222"/>
          <w:sz w:val="22"/>
          <w:szCs w:val="20"/>
        </w:rPr>
        <w:t>Advance HE fellowship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 — audits map to A1/A5 (design, CPD) for AFHEA; mentoring colleagues’ audits supports SFHEA. </w:t>
      </w:r>
      <w:r>
        <w:rPr>
          <w:rFonts w:ascii="Calibri" w:cs="Calibri" w:eastAsia="Calibri" w:hAnsi="Calibri"/>
          <w:b/>
          <w:bCs/>
          <w:color w:val="222222"/>
          <w:sz w:val="22"/>
          <w:szCs w:val="20"/>
        </w:rPr>
        <w:t>Publication &amp; grants</w:t>
      </w:r>
      <w:r>
        <w:rPr>
          <w:rFonts w:ascii="Calibri" w:cs="Calibri" w:eastAsia="Calibri" w:hAnsi="Calibri"/>
          <w:color w:val="222222"/>
          <w:sz w:val="22"/>
          <w:szCs w:val="20"/>
        </w:rPr>
        <w:t xml:space="preserve"> — the tool itself is an iSoLT prototype; school-wide adoption data is a natural grant or paper.</w:t>
      </w:r>
    </w:p>
    <w:p>
      <w:pPr>
        <w:pStyle w:val="Heading2"/>
      </w:pPr>
      <w:r>
        <w:rPr>
          <w:b/>
          <w:color w:val="1B3A4B"/>
          <w:sz w:val="26"/>
        </w:rPr>
        <w:t>Links</w:t>
      </w:r>
    </w:p>
    <w:p>
      <w:pPr>
        <w:pBdr>
          <w:top w:val="single" w:color="CFC8BB" w:sz="4"/>
        </w:pBdr>
        <w:spacing w:after="0" w:before="90"/>
      </w:pPr>
      <w:r>
        <w:rPr>
          <w:rFonts w:ascii="Calibri" w:cs="Calibri" w:eastAsia="Calibri" w:hAnsi="Calibri"/>
          <w:b/>
          <w:bCs/>
          <w:color w:val="222222"/>
          <w:sz w:val="22"/>
          <w:szCs w:val="20"/>
        </w:rPr>
        <w:t>udllens.eduserver.au  ·  UDL Guidelines 3.0: udlguidelines.cast.org  ·  iSoLT Activity Planner: staffportal.curtin.edu.au (search “iSoLT Activity Planner”)</w:t>
      </w:r>
      <w:r>
        <w:rPr>
          <w:color w:val="222222"/>
          <w:sz w:val="22"/>
        </w:rPr>
        <w:t xml:space="preserve">  ·  Accessibility dos and don'ts posters: accessibility.blog.gov.uk (GOV.UK, CC BY-NC-SA 4.0)</w:t>
      </w:r>
    </w:p>
    <w:sectPr>
      <w:pgSz w:w="11906" w:h="16838" w:orient="portrait"/>
      <w:pgMar w:top="864" w:right="864" w:bottom="792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3a614235aec93fa165ddb6747fbf445eb63c6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Borck; Luke Butcher</dc:creator>
  <cp:lastModifiedBy>Un-named</cp:lastModifiedBy>
  <cp:revision>1</cp:revision>
  <dcterms:created xsi:type="dcterms:W3CDTF">2026-07-24T08:15:43.321Z</dcterms:created>
  <dcterms:modified xsi:type="dcterms:W3CDTF">2026-07-24T08:15:43.321Z</dcterms:modified>
  <dc:title>UDL Lens × iSoLT — turning assessment design into evidence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