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Classification Policy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149"/>
        <w:gridCol w:w="577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Data Classification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Doc#</w:t>
            </w:r>
          </w:p>
        </w:tc>
        <w:tc>
          <w:tcPr/>
          <w:p>
            <w:pPr>
              <w:pStyle w:val="Compact"/>
            </w:pPr>
            <w:r>
              <w:t xml:space="preserve">POL-DATA-001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1.2 (DRAFT)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12-04-2024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Supersedes</w:t>
            </w:r>
          </w:p>
        </w:tc>
        <w:tc>
          <w:tcPr/>
          <w:p>
            <w:pPr>
              <w:pStyle w:val="Compact"/>
            </w:pPr>
            <w:r>
              <w:t xml:space="preserve">POL-DATA-001 v1.1 (15-01-2024)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 Review</w:t>
            </w:r>
          </w:p>
        </w:tc>
        <w:tc>
          <w:tcPr/>
          <w:p>
            <w:pPr>
              <w:pStyle w:val="Compact"/>
            </w:pPr>
            <w:r>
              <w:t xml:space="preserve">12-10-2024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CISO — I. Ferreira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 By</w:t>
            </w:r>
          </w:p>
        </w:tc>
        <w:tc>
          <w:tcPr/>
          <w:p>
            <w:pPr>
              <w:pStyle w:val="Compact"/>
            </w:pPr>
            <w:r>
              <w:t xml:space="preserve">[Pending — Head of Compliance, M. Dubois]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27001:2022</w:t>
            </w:r>
          </w:p>
        </w:tc>
        <w:tc>
          <w:tcPr/>
          <w:p>
            <w:pPr>
              <w:pStyle w:val="Compact"/>
            </w:pPr>
            <w:r>
              <w:t xml:space="preserve">A.5.12 Classification of information; A.5.13 Labelling of information; A.5.14 Information transfer</w:t>
            </w:r>
          </w:p>
        </w:tc>
      </w:tr>
    </w:tbl>
    <w:p>
      <w:pPr>
        <w:pStyle w:val="BlockText"/>
      </w:pPr>
      <w:r>
        <w:rPr>
          <w:i/>
          <w:iCs/>
        </w:rPr>
        <w:t xml:space="preserve">Status:</w:t>
      </w:r>
      <w:r>
        <w:t xml:space="preserve"> </w:t>
      </w:r>
      <w:r>
        <w:rPr>
          <w:b/>
          <w:bCs/>
        </w:rPr>
        <w:t xml:space="preserve">DRAFT v1.2 — pending Head of Compliance sign-off.</w:t>
      </w:r>
      <w:r>
        <w:t xml:space="preserve"> </w:t>
      </w:r>
      <w:r>
        <w:t xml:space="preserve">Until this</w:t>
      </w:r>
      <w:r>
        <w:t xml:space="preserve"> </w:t>
      </w:r>
      <w:r>
        <w:t xml:space="preserve">version is endorsed, handling follows the legacy Data Handling Guidelines</w:t>
      </w:r>
      <w:r>
        <w:t xml:space="preserve"> </w:t>
      </w:r>
      <w:r>
        <w:t xml:space="preserve">(POL-DH-002) where they do not conflict with the principles set out below.</w:t>
      </w:r>
      <w:r>
        <w:t xml:space="preserve"> </w:t>
      </w:r>
      <w:r>
        <w:rPr>
          <w:i/>
          <w:iCs/>
        </w:rPr>
        <w:t xml:space="preserve">(M. Dubois: the POL-DH-002 reference is stale — that document was rolled into</w:t>
      </w:r>
      <w:r>
        <w:rPr>
          <w:i/>
          <w:iCs/>
        </w:rPr>
        <w:t xml:space="preserve"> </w:t>
      </w:r>
      <w:r>
        <w:rPr>
          <w:i/>
          <w:iCs/>
        </w:rPr>
        <w:t xml:space="preserve">this policy in the 2024 Q3 tidy-up. Strike it before sign-off, and check the</w:t>
      </w:r>
      <w:r>
        <w:rPr>
          <w:i/>
          <w:iCs/>
        </w:rPr>
        <w:t xml:space="preserve"> </w:t>
      </w:r>
      <w:r>
        <w:rPr>
          <w:i/>
          <w:iCs/>
        </w:rPr>
        <w:t xml:space="preserve">date in the control table: my working draft carries 14-03-2025, not the April</w:t>
      </w:r>
      <w:r>
        <w:rPr>
          <w:i/>
          <w:iCs/>
        </w:rPr>
        <w:t xml:space="preserve"> </w:t>
      </w:r>
      <w:r>
        <w:rPr>
          <w:i/>
          <w:iCs/>
        </w:rPr>
        <w:t xml:space="preserve">2024 date shown above.)</w:t>
      </w:r>
    </w:p>
    <w:p>
      <w:pPr>
        <w:pStyle w:val="BlockText"/>
      </w:pPr>
      <w:r>
        <w:rPr>
          <w:i/>
          <w:iCs/>
        </w:rPr>
        <w:t xml:space="preserve">Related policies:</w:t>
      </w:r>
      <w:r>
        <w:t xml:space="preserve"> </w:t>
      </w:r>
      <w:r>
        <w:t xml:space="preserve">Access Control (POL-SECU-021), Data Management</w:t>
      </w:r>
      <w:r>
        <w:t xml:space="preserve"> </w:t>
      </w:r>
      <w:r>
        <w:t xml:space="preserve">(POL-DATA-015), Data Protection (POL-DATA-004), Incident Response</w:t>
      </w:r>
      <w:r>
        <w:t xml:space="preserve"> </w:t>
      </w:r>
      <w:r>
        <w:t xml:space="preserve">(POL-SECU-010), Privacy (POL-DATA-022).</w:t>
      </w:r>
      <w:r>
        <w:t xml:space="preserve"> </w:t>
      </w:r>
      <w:r>
        <w:rPr>
          <w:i/>
          <w:iCs/>
        </w:rPr>
        <w:t xml:space="preserve">(Cross-reference list refreshed</w:t>
      </w:r>
      <w:r>
        <w:rPr>
          <w:i/>
          <w:iCs/>
        </w:rPr>
        <w:t xml:space="preserve"> </w:t>
      </w:r>
      <w:r>
        <w:rPr>
          <w:i/>
          <w:iCs/>
        </w:rPr>
        <w:t xml:space="preserve">2025-03; one entry may still point at a retired number — verify against the</w:t>
      </w:r>
      <w:r>
        <w:rPr>
          <w:i/>
          <w:iCs/>
        </w:rPr>
        <w:t xml:space="preserve"> </w:t>
      </w:r>
      <w:r>
        <w:rPr>
          <w:i/>
          <w:iCs/>
        </w:rPr>
        <w:t xml:space="preserve">document register before circulating.)</w: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policy sets out how Tessera classifies the information it creates, receives,</w:t>
      </w:r>
      <w:r>
        <w:t xml:space="preserve"> </w:t>
      </w:r>
      <w:r>
        <w:t xml:space="preserve">and processes — across the SaaS platform, the internal corporate estate, and the</w:t>
      </w:r>
      <w:r>
        <w:t xml:space="preserve"> </w:t>
      </w:r>
      <w:r>
        <w:t xml:space="preserve">managed-cloud environments we run for tenants — so that each asset receives</w:t>
      </w:r>
      <w:r>
        <w:t xml:space="preserve"> </w:t>
      </w:r>
      <w:r>
        <w:t xml:space="preserve">protection proportionate to the harm its disclosure, alteration, or loss would</w:t>
      </w:r>
      <w:r>
        <w:t xml:space="preserve"> </w:t>
      </w:r>
      <w:r>
        <w:t xml:space="preserve">cause. Classification is the first link in the chain: it tells Data Owners what</w:t>
      </w:r>
      <w:r>
        <w:t xml:space="preserve"> </w:t>
      </w:r>
      <w:r>
        <w:t xml:space="preserve">to protect, tells Engineering how to build, and tells the Security team where to</w:t>
      </w:r>
      <w:r>
        <w:t xml:space="preserve"> </w:t>
      </w:r>
      <w:r>
        <w:t xml:space="preserve">look.</w:t>
      </w:r>
    </w:p>
    <w:p>
      <w:pPr>
        <w:pStyle w:val="BodyText"/>
      </w:pPr>
      <w:r>
        <w:t xml:space="preserve">Classification decisions made under this policy must satisfy Tessera’s</w:t>
      </w:r>
      <w:r>
        <w:t xml:space="preserve"> </w:t>
      </w:r>
      <w:r>
        <w:t xml:space="preserve">obligations under the</w:t>
      </w:r>
      <w:r>
        <w:t xml:space="preserve"> </w:t>
      </w:r>
      <w:r>
        <w:rPr>
          <w:i/>
          <w:iCs/>
        </w:rPr>
        <w:t xml:space="preserve">Privacy Act 1988</w:t>
      </w:r>
      <w:r>
        <w:t xml:space="preserve"> </w:t>
      </w:r>
      <w:r>
        <w:t xml:space="preserve">(Cth) — in particular</w:t>
      </w:r>
      <w:r>
        <w:t xml:space="preserve"> </w:t>
      </w:r>
      <w:r>
        <w:rPr>
          <w:b/>
          <w:bCs/>
        </w:rPr>
        <w:t xml:space="preserve">APP 11</w:t>
      </w:r>
      <w:r>
        <w:t xml:space="preserve">, which</w:t>
      </w:r>
      <w:r>
        <w:t xml:space="preserve"> </w:t>
      </w:r>
      <w:r>
        <w:t xml:space="preserve">requires Tessera to take such steps as are reasonable to protect the personal</w:t>
      </w:r>
      <w:r>
        <w:t xml:space="preserve"> </w:t>
      </w:r>
      <w:r>
        <w:t xml:space="preserve">information it holds — together with the information classification, labelling,</w:t>
      </w:r>
      <w:r>
        <w:t xml:space="preserve"> </w:t>
      </w:r>
      <w:r>
        <w:t xml:space="preserve">and transfer controls of</w:t>
      </w:r>
      <w:r>
        <w:t xml:space="preserve"> </w:t>
      </w:r>
      <w:r>
        <w:rPr>
          <w:b/>
          <w:bCs/>
        </w:rPr>
        <w:t xml:space="preserve">ISO/IEC 27001:2022</w:t>
      </w:r>
      <w:r>
        <w:t xml:space="preserve"> </w:t>
      </w:r>
      <w:r>
        <w:t xml:space="preserve">(Annex A</w:t>
      </w:r>
      <w:r>
        <w:t xml:space="preserve"> </w:t>
      </w:r>
      <w:r>
        <w:rPr>
          <w:b/>
          <w:bCs/>
        </w:rPr>
        <w:t xml:space="preserve">A.5.12</w:t>
      </w:r>
      <w:r>
        <w:t xml:space="preserve">,</w:t>
      </w:r>
      <w:r>
        <w:t xml:space="preserve"> </w:t>
      </w:r>
      <w:r>
        <w:rPr>
          <w:b/>
          <w:bCs/>
        </w:rPr>
        <w:t xml:space="preserve">A.5.13</w:t>
      </w:r>
      <w:r>
        <w:t xml:space="preserve">,</w:t>
      </w:r>
      <w:r>
        <w:t xml:space="preserve"> </w:t>
      </w:r>
      <w:r>
        <w:rPr>
          <w:b/>
          <w:bCs/>
        </w:rPr>
        <w:t xml:space="preserve">A.5.14</w:t>
      </w:r>
      <w:r>
        <w:t xml:space="preserve">). Where a dataset attracts a stronger regime by contract —</w:t>
      </w:r>
      <w:r>
        <w:t xml:space="preserve"> </w:t>
      </w:r>
      <w:r>
        <w:rPr>
          <w:b/>
          <w:bCs/>
        </w:rPr>
        <w:t xml:space="preserve">PCI DSS</w:t>
      </w:r>
      <w:r>
        <w:t xml:space="preserve"> </w:t>
      </w:r>
      <w:r>
        <w:t xml:space="preserve">for payment-card data we process on a tenant’s behalf, or a tenant’s own</w:t>
      </w:r>
      <w:r>
        <w:t xml:space="preserve"> </w:t>
      </w:r>
      <w:r>
        <w:t xml:space="preserve">healthcare obligations for US providers we host — the higher requirement</w:t>
      </w:r>
      <w:r>
        <w:t xml:space="preserve"> </w:t>
      </w:r>
      <w:r>
        <w:t xml:space="preserve">applies. Tessera is not itself a US covered entity and no classification decision</w:t>
      </w:r>
      <w:r>
        <w:t xml:space="preserve"> </w:t>
      </w:r>
      <w:r>
        <w:t xml:space="preserve">should assume HIPAA as the default frame.</w:t>
      </w:r>
    </w:p>
    <w:bookmarkEnd w:id="9"/>
    <w:bookmarkStart w:id="10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policy applies to all information assets held by Tessera or on its tenants’</w:t>
      </w:r>
      <w:r>
        <w:t xml:space="preserve"> </w:t>
      </w:r>
      <w:r>
        <w:t xml:space="preserve">behalf, in whatever form and on whatever medium — production tenant data, source</w:t>
      </w:r>
      <w:r>
        <w:t xml:space="preserve"> </w:t>
      </w:r>
      <w:r>
        <w:t xml:space="preserve">code, corporate records, email, and physical documents — and to everyone who</w:t>
      </w:r>
      <w:r>
        <w:t xml:space="preserve"> </w:t>
      </w:r>
      <w:r>
        <w:t xml:space="preserve">handles them: employees, contractors, and vendors operating under a data</w:t>
      </w:r>
      <w:r>
        <w:t xml:space="preserve"> </w:t>
      </w:r>
      <w:r>
        <w:t xml:space="preserve">processing arrangement.</w:t>
      </w:r>
    </w:p>
    <w:p>
      <w:pPr>
        <w:pStyle w:val="BodyText"/>
      </w:pPr>
      <w:r>
        <w:t xml:space="preserve">The policy does not attempt to enumerate every system. Where a new service is</w:t>
      </w:r>
      <w:r>
        <w:t xml:space="preserve"> </w:t>
      </w:r>
      <w:r>
        <w:t xml:space="preserve">introduced, its default classification is</w:t>
      </w:r>
      <w:r>
        <w:t xml:space="preserve"> </w:t>
      </w:r>
      <w:r>
        <w:rPr>
          <w:b/>
          <w:bCs/>
        </w:rPr>
        <w:t xml:space="preserve">Internal</w:t>
      </w:r>
      <w:r>
        <w:t xml:space="preserve"> </w:t>
      </w:r>
      <w:r>
        <w:t xml:space="preserve">pending a formal decision</w:t>
      </w:r>
      <w:r>
        <w:t xml:space="preserve"> </w:t>
      </w:r>
      <w:r>
        <w:t xml:space="preserve">by the Data Owner.</w:t>
      </w:r>
    </w:p>
    <w:bookmarkEnd w:id="10"/>
    <w:bookmarkStart w:id="11" w:name="policy-statements"/>
    <w:p>
      <w:pPr>
        <w:pStyle w:val="Heading2"/>
      </w:pPr>
      <w:r>
        <w:t xml:space="preserve">3. Policy statements</w:t>
      </w:r>
    </w:p>
    <w:p>
      <w:pPr>
        <w:pStyle w:val="FirstParagraph"/>
      </w:pPr>
      <w:r>
        <w:t xml:space="preserve">Tessera requires that:</w:t>
      </w:r>
    </w:p>
    <w:p>
      <w:pPr>
        <w:numPr>
          <w:ilvl w:val="0"/>
          <w:numId w:val="1001"/>
        </w:numPr>
      </w:pPr>
      <w:r>
        <w:t xml:space="preserve">every information asset carries a classification of</w:t>
      </w:r>
      <w:r>
        <w:t xml:space="preserve"> </w:t>
      </w:r>
      <w:r>
        <w:rPr>
          <w:b/>
          <w:bCs/>
        </w:rPr>
        <w:t xml:space="preserve">Public</w:t>
      </w:r>
      <w:r>
        <w:t xml:space="preserve">,</w:t>
      </w:r>
      <w:r>
        <w:t xml:space="preserve"> </w:t>
      </w:r>
      <w:r>
        <w:rPr>
          <w:b/>
          <w:bCs/>
        </w:rPr>
        <w:t xml:space="preserve">Internal</w:t>
      </w:r>
      <w:r>
        <w:t xml:space="preserve">,</w:t>
      </w:r>
      <w:r>
        <w:t xml:space="preserve"> </w:t>
      </w:r>
      <w:r>
        <w:rPr>
          <w:b/>
          <w:bCs/>
        </w:rPr>
        <w:t xml:space="preserve">Confidential</w:t>
      </w:r>
      <w:r>
        <w:t xml:space="preserve">, or</w:t>
      </w:r>
      <w:r>
        <w:t xml:space="preserve"> </w:t>
      </w:r>
      <w:r>
        <w:rPr>
          <w:b/>
          <w:bCs/>
        </w:rPr>
        <w:t xml:space="preserve">Restricted</w:t>
      </w:r>
      <w:r>
        <w:t xml:space="preserve">, assigned at creation or acquisition;</w:t>
      </w:r>
    </w:p>
    <w:p>
      <w:pPr>
        <w:numPr>
          <w:ilvl w:val="0"/>
          <w:numId w:val="1001"/>
        </w:numPr>
      </w:pPr>
      <w:r>
        <w:t xml:space="preserve">classification is applied before an asset is shared, placed in a shared</w:t>
      </w:r>
      <w:r>
        <w:t xml:space="preserve"> </w:t>
      </w:r>
      <w:r>
        <w:t xml:space="preserve">system, or transmitted off-platform;</w:t>
      </w:r>
    </w:p>
    <w:p>
      <w:pPr>
        <w:numPr>
          <w:ilvl w:val="0"/>
          <w:numId w:val="1001"/>
        </w:numPr>
      </w:pPr>
      <w:r>
        <w:t xml:space="preserve">the controls in §7 are applied according to the assigned level, and where</w:t>
      </w:r>
      <w:r>
        <w:t xml:space="preserve"> </w:t>
      </w:r>
      <w:r>
        <w:t xml:space="preserve">data of different classifications is mixed the highest level governs;</w:t>
      </w:r>
    </w:p>
    <w:p>
      <w:pPr>
        <w:numPr>
          <w:ilvl w:val="0"/>
          <w:numId w:val="1001"/>
        </w:numPr>
      </w:pPr>
      <w:r>
        <w:t xml:space="preserve">classification is reviewed at least annually, and whenever the business or</w:t>
      </w:r>
      <w:r>
        <w:t xml:space="preserve"> </w:t>
      </w:r>
      <w:r>
        <w:t xml:space="preserve">regulatory context changes; and</w:t>
      </w:r>
    </w:p>
    <w:p>
      <w:pPr>
        <w:numPr>
          <w:ilvl w:val="0"/>
          <w:numId w:val="1001"/>
        </w:numPr>
      </w:pPr>
      <w:r>
        <w:t xml:space="preserve">classification decisions and their rationale are recorded so they can be</w:t>
      </w:r>
      <w:r>
        <w:t xml:space="preserve"> </w:t>
      </w:r>
      <w:r>
        <w:t xml:space="preserve">audited.</w:t>
      </w:r>
    </w:p>
    <w:bookmarkEnd w:id="11"/>
    <w:bookmarkStart w:id="16" w:name="classification-levels"/>
    <w:p>
      <w:pPr>
        <w:pStyle w:val="Heading2"/>
      </w:pPr>
      <w:r>
        <w:t xml:space="preserve">4. Classification levels</w:t>
      </w:r>
    </w:p>
    <w:p>
      <w:pPr>
        <w:pStyle w:val="FirstParagraph"/>
      </w:pPr>
      <w:r>
        <w:t xml:space="preserve">Tessera uses a four-tier scheme. The tiers are ordered; each inherits the</w:t>
      </w:r>
      <w:r>
        <w:t xml:space="preserve"> </w:t>
      </w:r>
      <w:r>
        <w:t xml:space="preserve">obligations of the tier below it.</w:t>
      </w:r>
    </w:p>
    <w:bookmarkStart w:id="12" w:name="public"/>
    <w:p>
      <w:pPr>
        <w:pStyle w:val="Heading3"/>
      </w:pPr>
      <w:r>
        <w:t xml:space="preserve">4.1 Public</w:t>
      </w:r>
    </w:p>
    <w:p>
      <w:pPr>
        <w:pStyle w:val="FirstParagraph"/>
      </w:pPr>
      <w:r>
        <w:t xml:space="preserve">Information cleared for release outside Tessera.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Examples:</w:t>
      </w:r>
      <w:r>
        <w:t xml:space="preserve"> </w:t>
      </w:r>
      <w:r>
        <w:t xml:space="preserve">published marketing material, the tessera.com.au website, issued</w:t>
      </w:r>
      <w:r>
        <w:t xml:space="preserve"> </w:t>
      </w:r>
      <w:r>
        <w:t xml:space="preserve">press releases, public product documentation.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Protections:</w:t>
      </w:r>
      <w:r>
        <w:t xml:space="preserve"> </w:t>
      </w:r>
      <w:r>
        <w:t xml:space="preserve">standard availability and integrity controls; no confidentiality</w:t>
      </w:r>
      <w:r>
        <w:t xml:space="preserve"> </w:t>
      </w:r>
      <w:r>
        <w:t xml:space="preserve">restriction, though release still follows the communications process.</w:t>
      </w:r>
    </w:p>
    <w:bookmarkEnd w:id="12"/>
    <w:bookmarkStart w:id="13" w:name="internal"/>
    <w:p>
      <w:pPr>
        <w:pStyle w:val="Heading3"/>
      </w:pPr>
      <w:r>
        <w:t xml:space="preserve">4.2 Internal</w:t>
      </w:r>
    </w:p>
    <w:p>
      <w:pPr>
        <w:pStyle w:val="FirstParagraph"/>
      </w:pPr>
      <w:r>
        <w:t xml:space="preserve">Information for use within Tessera that is not sensitive enough to warrant</w:t>
      </w:r>
      <w:r>
        <w:t xml:space="preserve"> </w:t>
      </w:r>
      <w:r>
        <w:t xml:space="preserve">stronger controls, but is not intended for publication.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Examples:</w:t>
      </w:r>
      <w:r>
        <w:t xml:space="preserve"> </w:t>
      </w:r>
      <w:r>
        <w:t xml:space="preserve">internal procedures and runbooks, the staff directory, internal</w:t>
      </w:r>
      <w:r>
        <w:t xml:space="preserve"> </w:t>
      </w:r>
      <w:r>
        <w:t xml:space="preserve">project trackers, draft documentation, most source code held in Tessera</w:t>
      </w:r>
      <w:r>
        <w:t xml:space="preserve"> </w:t>
      </w:r>
      <w:r>
        <w:t xml:space="preserve">repositories.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Protections:</w:t>
      </w:r>
      <w:r>
        <w:t xml:space="preserve"> </w:t>
      </w:r>
      <w:r>
        <w:t xml:space="preserve">valid Tessera credentials required; encrypted in transit; no</w:t>
      </w:r>
      <w:r>
        <w:t xml:space="preserve"> </w:t>
      </w:r>
      <w:r>
        <w:t xml:space="preserve">storage on unmanaged personal accounts.</w:t>
      </w:r>
    </w:p>
    <w:p>
      <w:pPr>
        <w:pStyle w:val="BlockText"/>
      </w:pPr>
      <w:r>
        <w:rPr>
          <w:i/>
          <w:iCs/>
        </w:rPr>
        <w:t xml:space="preserve">[Reviewer, 2025-04-03: §4.2 says</w:t>
      </w:r>
      <w:r>
        <w:rPr>
          <w:i/>
          <w:iCs/>
        </w:rPr>
        <w:t xml:space="preserve"> </w:t>
      </w:r>
      <w:r>
        <w:rPr>
          <w:i/>
          <w:iCs/>
        </w:rPr>
        <w:t xml:space="preserve">“valid Tessera credentials”</w:t>
      </w:r>
      <w:r>
        <w:rPr>
          <w:i/>
          <w:iCs/>
        </w:rPr>
        <w:t xml:space="preserve"> </w:t>
      </w:r>
      <w:r>
        <w:rPr>
          <w:i/>
          <w:iCs/>
        </w:rPr>
        <w:t xml:space="preserve">but contractors</w:t>
      </w:r>
      <w:r>
        <w:rPr>
          <w:i/>
          <w:iCs/>
        </w:rPr>
        <w:t xml:space="preserve"> </w:t>
      </w:r>
      <w:r>
        <w:rPr>
          <w:i/>
          <w:iCs/>
        </w:rPr>
        <w:t xml:space="preserve">and several vendors legitimately reach Internal systems via federated SSO.</w:t>
      </w:r>
      <w:r>
        <w:rPr>
          <w:i/>
          <w:iCs/>
        </w:rPr>
        <w:t xml:space="preserve"> </w:t>
      </w:r>
      <w:r>
        <w:rPr>
          <w:i/>
          <w:iCs/>
        </w:rPr>
        <w:t xml:space="preserve">Tighten the wording to</w:t>
      </w:r>
      <w:r>
        <w:rPr>
          <w:i/>
          <w:iCs/>
        </w:rPr>
        <w:t xml:space="preserve"> </w:t>
      </w:r>
      <w:r>
        <w:rPr>
          <w:i/>
          <w:iCs/>
        </w:rPr>
        <w:t xml:space="preserve">“authenticated Tessera or federated identity”</w:t>
      </w:r>
      <w:r>
        <w:rPr>
          <w:i/>
          <w:iCs/>
        </w:rPr>
        <w:t xml:space="preserve"> </w:t>
      </w:r>
      <w:r>
        <w:rPr>
          <w:i/>
          <w:iCs/>
        </w:rPr>
        <w:t xml:space="preserve">before</w:t>
      </w:r>
      <w:r>
        <w:rPr>
          <w:i/>
          <w:iCs/>
        </w:rPr>
        <w:t xml:space="preserve"> </w:t>
      </w:r>
      <w:r>
        <w:rPr>
          <w:i/>
          <w:iCs/>
        </w:rPr>
        <w:t xml:space="preserve">this goes out.]</w:t>
      </w:r>
    </w:p>
    <w:bookmarkEnd w:id="13"/>
    <w:bookmarkStart w:id="14" w:name="confidential"/>
    <w:p>
      <w:pPr>
        <w:pStyle w:val="Heading3"/>
      </w:pPr>
      <w:r>
        <w:t xml:space="preserve">4.3 Confidential</w:t>
      </w:r>
    </w:p>
    <w:p>
      <w:pPr>
        <w:pStyle w:val="FirstParagraph"/>
      </w:pPr>
      <w:r>
        <w:t xml:space="preserve">Sensitive information whose unauthorised disclosure would cause significant harm</w:t>
      </w:r>
      <w:r>
        <w:t xml:space="preserve"> </w:t>
      </w:r>
      <w:r>
        <w:t xml:space="preserve">to Tessera, its people, or its tenants — commercially, legally, or</w:t>
      </w:r>
      <w:r>
        <w:t xml:space="preserve"> </w:t>
      </w:r>
      <w:r>
        <w:t xml:space="preserve">reputationally.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Examples:</w:t>
      </w:r>
      <w:r>
        <w:t xml:space="preserve"> </w:t>
      </w:r>
      <w:r>
        <w:t xml:space="preserve">tenant contracts and commercial terms, board and executive papers,</w:t>
      </w:r>
      <w:r>
        <w:t xml:space="preserve"> </w:t>
      </w:r>
      <w:r>
        <w:t xml:space="preserve">unpublished financial results, employee personal information held by HR,</w:t>
      </w:r>
      <w:r>
        <w:t xml:space="preserve"> </w:t>
      </w:r>
      <w:r>
        <w:t xml:space="preserve">pre-announcement strategic plans.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Protections:</w:t>
      </w:r>
      <w:r>
        <w:t xml:space="preserve"> </w:t>
      </w:r>
      <w:r>
        <w:t xml:space="preserve">role-based access with manager approval; encryption at rest and</w:t>
      </w:r>
      <w:r>
        <w:t xml:space="preserve"> </w:t>
      </w:r>
      <w:r>
        <w:t xml:space="preserve">in transit; secure disposal on retirement.</w:t>
      </w:r>
    </w:p>
    <w:bookmarkEnd w:id="14"/>
    <w:bookmarkStart w:id="15" w:name="restricted"/>
    <w:p>
      <w:pPr>
        <w:pStyle w:val="Heading3"/>
      </w:pPr>
      <w:r>
        <w:t xml:space="preserve">4.4 Restricted</w:t>
      </w:r>
    </w:p>
    <w:p>
      <w:pPr>
        <w:pStyle w:val="FirstParagraph"/>
      </w:pPr>
      <w:r>
        <w:t xml:space="preserve">The most sensitive category: information whose disclosure could cause severe</w:t>
      </w:r>
      <w:r>
        <w:t xml:space="preserve"> </w:t>
      </w:r>
      <w:r>
        <w:t xml:space="preserve">harm, enable fraud or identity theft, or place Tessera in breach of its</w:t>
      </w:r>
      <w:r>
        <w:t xml:space="preserve"> </w:t>
      </w:r>
      <w:r>
        <w:t xml:space="preserve">regulatory obligations.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Examples:</w:t>
      </w:r>
      <w:r>
        <w:t xml:space="preserve"> </w:t>
      </w:r>
      <w:r>
        <w:t xml:space="preserve">tenant records and tenant personal information held on the</w:t>
      </w:r>
      <w:r>
        <w:t xml:space="preserve"> </w:t>
      </w:r>
      <w:r>
        <w:t xml:space="preserve">platform, production secrets (access keys, certificates, passwords), security</w:t>
      </w:r>
      <w:r>
        <w:t xml:space="preserve"> </w:t>
      </w:r>
      <w:r>
        <w:t xml:space="preserve">incident records and audit trails, payment-card data covered by PCI DSS, the</w:t>
      </w:r>
      <w:r>
        <w:t xml:space="preserve"> </w:t>
      </w:r>
      <w:r>
        <w:t xml:space="preserve">Statement of Applicability (DOC-SEC-003) and the supporting risk registers.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Protections:</w:t>
      </w:r>
      <w:r>
        <w:t xml:space="preserve"> </w:t>
      </w:r>
      <w:r>
        <w:t xml:space="preserve">multi-factor authentication; encryption at rest with managed</w:t>
      </w:r>
      <w:r>
        <w:t xml:space="preserve"> </w:t>
      </w:r>
      <w:r>
        <w:t xml:space="preserve">keys; strict need-to-know access; detailed audit logging; segregated storage.</w:t>
      </w:r>
    </w:p>
    <w:p>
      <w:pPr>
        <w:pStyle w:val="BlockText"/>
      </w:pPr>
      <w:r>
        <w:rPr>
          <w:i/>
          <w:iCs/>
        </w:rPr>
        <w:t xml:space="preserve">[I. Ferreira, margin note: the line between Confidential and Restricted still</w:t>
      </w:r>
      <w:r>
        <w:rPr>
          <w:i/>
          <w:iCs/>
        </w:rPr>
        <w:t xml:space="preserve"> </w:t>
      </w:r>
      <w:r>
        <w:rPr>
          <w:i/>
          <w:iCs/>
        </w:rPr>
        <w:t xml:space="preserve">turns on</w:t>
      </w:r>
      <w:r>
        <w:rPr>
          <w:i/>
          <w:iCs/>
        </w:rPr>
        <w:t xml:space="preserve"> </w:t>
      </w:r>
      <w:r>
        <w:rPr>
          <w:i/>
          <w:iCs/>
        </w:rPr>
        <w:t xml:space="preserve">“significant harm”</w:t>
      </w:r>
      <w:r>
        <w:rPr>
          <w:i/>
          <w:iCs/>
        </w:rPr>
        <w:t xml:space="preserve"> </w:t>
      </w:r>
      <w:r>
        <w:rPr>
          <w:i/>
          <w:iCs/>
        </w:rPr>
        <w:t xml:space="preserve">versus</w:t>
      </w:r>
      <w:r>
        <w:rPr>
          <w:i/>
          <w:iCs/>
        </w:rPr>
        <w:t xml:space="preserve"> </w:t>
      </w:r>
      <w:r>
        <w:rPr>
          <w:i/>
          <w:iCs/>
        </w:rPr>
        <w:t xml:space="preserve">“severe harm.”</w:t>
      </w:r>
      <w:r>
        <w:rPr>
          <w:i/>
          <w:iCs/>
        </w:rPr>
        <w:t xml:space="preserve"> </w:t>
      </w:r>
      <w:r>
        <w:rPr>
          <w:i/>
          <w:iCs/>
        </w:rPr>
        <w:t xml:space="preserve">We keep promising the team a</w:t>
      </w:r>
      <w:r>
        <w:rPr>
          <w:i/>
          <w:iCs/>
        </w:rPr>
        <w:t xml:space="preserve"> </w:t>
      </w:r>
      <w:r>
        <w:rPr>
          <w:i/>
          <w:iCs/>
        </w:rPr>
        <w:t xml:space="preserve">worked example — a borderline tenant dataset — and never deliver one. Add it</w:t>
      </w:r>
      <w:r>
        <w:rPr>
          <w:i/>
          <w:iCs/>
        </w:rPr>
        <w:t xml:space="preserve"> </w:t>
      </w:r>
      <w:r>
        <w:rPr>
          <w:i/>
          <w:iCs/>
        </w:rPr>
        <w:t xml:space="preserve">to Appendix A before the Stage 1 audit, or reviewers will read the two</w:t>
      </w:r>
      <w:r>
        <w:rPr>
          <w:i/>
          <w:iCs/>
        </w:rPr>
        <w:t xml:space="preserve"> </w:t>
      </w:r>
      <w:r>
        <w:rPr>
          <w:i/>
          <w:iCs/>
        </w:rPr>
        <w:t xml:space="preserve">definitions as interchangeable.]</w:t>
      </w:r>
    </w:p>
    <w:bookmarkEnd w:id="15"/>
    <w:bookmarkEnd w:id="16"/>
    <w:bookmarkStart w:id="18" w:name="classification-criteria"/>
    <w:p>
      <w:pPr>
        <w:pStyle w:val="Heading2"/>
      </w:pPr>
      <w:r>
        <w:t xml:space="preserve">5. Classification criteria</w:t>
      </w:r>
    </w:p>
    <w:p>
      <w:pPr>
        <w:pStyle w:val="FirstParagraph"/>
      </w:pPr>
      <w:r>
        <w:t xml:space="preserve">A Data Owner assigning a classification weighs, in order: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Legal and regulatory exposure.</w:t>
      </w:r>
      <w:r>
        <w:t xml:space="preserve"> </w:t>
      </w:r>
      <w:r>
        <w:t xml:space="preserve">Does the data attract a statutory</w:t>
      </w:r>
      <w:r>
        <w:t xml:space="preserve"> </w:t>
      </w:r>
      <w:r>
        <w:t xml:space="preserve">protection? Personal information triggers APP 11 and the Notifiable Data</w:t>
      </w:r>
      <w:r>
        <w:t xml:space="preserve"> </w:t>
      </w:r>
      <w:r>
        <w:t xml:space="preserve">Breaches scheme; payment data triggers PCI DSS; tenant records attract</w:t>
      </w:r>
      <w:r>
        <w:t xml:space="preserve"> </w:t>
      </w:r>
      <w:r>
        <w:t xml:space="preserve">contractual data-processing terms.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Contractual obligations.</w:t>
      </w:r>
      <w:r>
        <w:t xml:space="preserve"> </w:t>
      </w:r>
      <w:r>
        <w:t xml:space="preserve">What has Tessera promised the tenant, or a vendor</w:t>
      </w:r>
      <w:r>
        <w:t xml:space="preserve"> </w:t>
      </w:r>
      <w:r>
        <w:t xml:space="preserve">promised Tessera, about handling and retention?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Business impact of disclosure.</w:t>
      </w:r>
      <w:r>
        <w:t xml:space="preserve"> </w:t>
      </w:r>
      <w:r>
        <w:t xml:space="preserve">The confidentiality, integrity, and</w:t>
      </w:r>
      <w:r>
        <w:t xml:space="preserve"> </w:t>
      </w:r>
      <w:r>
        <w:t xml:space="preserve">availability consequences, scored against the four levels above.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Aggregation effect.</w:t>
      </w:r>
      <w:r>
        <w:t xml:space="preserve"> </w:t>
      </w:r>
      <w:r>
        <w:t xml:space="preserve">Individually low-sensitivity records can become</w:t>
      </w:r>
      <w:r>
        <w:t xml:space="preserve"> </w:t>
      </w:r>
      <w:r>
        <w:t xml:space="preserve">Restricted in aggregate — a single tenant record is Restricted; a tenant</w:t>
      </w:r>
      <w:r>
        <w:t xml:space="preserve"> </w:t>
      </w:r>
      <w:r>
        <w:t xml:space="preserve">roster is no less so.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Retention and cross-border considerations.</w:t>
      </w:r>
      <w:r>
        <w:t xml:space="preserve"> </w:t>
      </w:r>
      <w:r>
        <w:t xml:space="preserve">Where the data must be held,</w:t>
      </w:r>
      <w:r>
        <w:t xml:space="preserve"> </w:t>
      </w:r>
      <w:r>
        <w:t xml:space="preserve">for how long, and whether it may leave Australian soil.</w:t>
      </w:r>
      <w:r>
        <w:t xml:space="preserve"> </w:t>
      </w:r>
      <w:r>
        <w:rPr>
          <w:i/>
          <w:iCs/>
        </w:rPr>
        <w:t xml:space="preserve">(Data that must</w:t>
      </w:r>
      <w:r>
        <w:rPr>
          <w:i/>
          <w:iCs/>
        </w:rPr>
        <w:t xml:space="preserve"> </w:t>
      </w:r>
      <w:r>
        <w:rPr>
          <w:i/>
          <w:iCs/>
        </w:rPr>
        <w:t xml:space="preserve">remain in-country is flagged at classification time so the Sydney-primary</w:t>
      </w:r>
      <w:r>
        <w:rPr>
          <w:i/>
          <w:iCs/>
        </w:rPr>
        <w:t xml:space="preserve"> </w:t>
      </w:r>
      <w:r>
        <w:rPr>
          <w:i/>
          <w:iCs/>
        </w:rPr>
        <w:t xml:space="preserve">region preference in POL-DATA-004 can be enforced.)</w:t>
      </w:r>
    </w:p>
    <w:p>
      <w:pPr>
        <w:pStyle w:val="BlockText"/>
      </w:pPr>
      <w:r>
        <w:rPr>
          <w:i/>
          <w:iCs/>
        </w:rPr>
        <w:t xml:space="preserve">[Reviewer, 2025-03-19: criterion 5 says</w:t>
      </w:r>
      <w:r>
        <w:rPr>
          <w:i/>
          <w:iCs/>
        </w:rPr>
        <w:t xml:space="preserve"> </w:t>
      </w:r>
      <w:r>
        <w:rPr>
          <w:i/>
          <w:iCs/>
        </w:rPr>
        <w:t xml:space="preserve">“Sydney-primary,”</w:t>
      </w:r>
      <w:r>
        <w:rPr>
          <w:i/>
          <w:iCs/>
        </w:rPr>
        <w:t xml:space="preserve"> </w:t>
      </w:r>
      <w:r>
        <w:rPr>
          <w:i/>
          <w:iCs/>
        </w:rPr>
        <w:t xml:space="preserve">but POL-DATA-004</w:t>
      </w:r>
      <w:r>
        <w:rPr>
          <w:i/>
          <w:iCs/>
        </w:rPr>
        <w:t xml:space="preserve"> </w:t>
      </w:r>
      <w:r>
        <w:rPr>
          <w:i/>
          <w:iCs/>
        </w:rPr>
        <w:t xml:space="preserve">names ap-southeast-2 as primary with a cross-region standby rather than</w:t>
      </w:r>
      <w:r>
        <w:rPr>
          <w:i/>
          <w:iCs/>
        </w:rPr>
        <w:t xml:space="preserve"> </w:t>
      </w:r>
      <w:r>
        <w:rPr>
          <w:i/>
          <w:iCs/>
        </w:rPr>
        <w:t xml:space="preserve">in-country-only. Confirm whether we are committing to data-sovereignty</w:t>
      </w:r>
      <w:r>
        <w:rPr>
          <w:i/>
          <w:iCs/>
        </w:rPr>
        <w:t xml:space="preserve"> </w:t>
      </w:r>
      <w:r>
        <w:rPr>
          <w:i/>
          <w:iCs/>
        </w:rPr>
        <w:t xml:space="preserve">confinement before this wording is quoted in a tenant DPA.]</w:t>
      </w:r>
    </w:p>
    <w:bookmarkStart w:id="17" w:name="impact-scale"/>
    <w:p>
      <w:pPr>
        <w:pStyle w:val="Heading3"/>
      </w:pPr>
      <w:r>
        <w:t xml:space="preserve">5.1 Impact scale</w:t>
      </w:r>
    </w:p>
    <w:p>
      <w:pPr>
        <w:pStyle w:val="FirstParagraph"/>
      </w:pPr>
      <w:r>
        <w:t xml:space="preserve">For impact scoring only — it does not replace the four tiers — consequences are</w:t>
      </w:r>
      <w:r>
        <w:t xml:space="preserve"> </w:t>
      </w:r>
      <w:r>
        <w:t xml:space="preserve">rated: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Low</w:t>
      </w:r>
      <w:r>
        <w:t xml:space="preserve"> </w:t>
      </w:r>
      <w:r>
        <w:t xml:space="preserve">— negligible operational, reputational, or compliance effect.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Moderate</w:t>
      </w:r>
      <w:r>
        <w:t xml:space="preserve"> </w:t>
      </w:r>
      <w:r>
        <w:t xml:space="preserve">— manageable with management attention.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— material effect requiring executive involvement.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Severe</w:t>
      </w:r>
      <w:r>
        <w:t xml:space="preserve"> </w:t>
      </w:r>
      <w:r>
        <w:t xml:space="preserve">— threatens continuity, a regulatory position, or tenant trust.</w:t>
      </w:r>
    </w:p>
    <w:p>
      <w:pPr>
        <w:pStyle w:val="FirstParagraph"/>
      </w:pPr>
      <w:r>
        <w:t xml:space="preserve">The four-tier classification remains the authoritative control trigger; the</w:t>
      </w:r>
      <w:r>
        <w:t xml:space="preserve"> </w:t>
      </w:r>
      <w:r>
        <w:t xml:space="preserve">impact scale informs the Data Owner’s judgement and the severity rating of any</w:t>
      </w:r>
      <w:r>
        <w:t xml:space="preserve"> </w:t>
      </w:r>
      <w:r>
        <w:t xml:space="preserve">incident touching the data.</w:t>
      </w:r>
    </w:p>
    <w:bookmarkEnd w:id="17"/>
    <w:bookmarkEnd w:id="18"/>
    <w:bookmarkStart w:id="23" w:name="responsibilities"/>
    <w:p>
      <w:pPr>
        <w:pStyle w:val="Heading2"/>
      </w:pPr>
      <w:r>
        <w:t xml:space="preserve">6. Responsibilities</w:t>
      </w:r>
    </w:p>
    <w:bookmarkStart w:id="19" w:name="data-owners"/>
    <w:p>
      <w:pPr>
        <w:pStyle w:val="Heading3"/>
      </w:pPr>
      <w:r>
        <w:t xml:space="preserve">6.1 Data Owners</w:t>
      </w:r>
    </w:p>
    <w:p>
      <w:pPr>
        <w:pStyle w:val="FirstParagraph"/>
      </w:pPr>
      <w:r>
        <w:t xml:space="preserve">Data Owners are the senior staff accountable for a given information domain —</w:t>
      </w:r>
      <w:r>
        <w:t xml:space="preserve"> </w:t>
      </w:r>
      <w:r>
        <w:t xml:space="preserve">for example, the CTO (Dr S. Qureshi) for platform architecture artefacts, the CFO</w:t>
      </w:r>
      <w:r>
        <w:t xml:space="preserve"> </w:t>
      </w:r>
      <w:r>
        <w:t xml:space="preserve">(P. Nair) for financial records, the Head of People (A. Desai) for HR data. A</w:t>
      </w:r>
      <w:r>
        <w:t xml:space="preserve"> </w:t>
      </w:r>
      <w:r>
        <w:t xml:space="preserve">Data Owner:</w:t>
      </w:r>
    </w:p>
    <w:p>
      <w:pPr>
        <w:pStyle w:val="Compact"/>
        <w:numPr>
          <w:ilvl w:val="0"/>
          <w:numId w:val="1008"/>
        </w:numPr>
      </w:pPr>
      <w:r>
        <w:t xml:space="preserve">assigns and signs off the initial classification for assets in their domain;</w:t>
      </w:r>
    </w:p>
    <w:p>
      <w:pPr>
        <w:pStyle w:val="Compact"/>
        <w:numPr>
          <w:ilvl w:val="0"/>
          <w:numId w:val="1008"/>
        </w:numPr>
      </w:pPr>
      <w:r>
        <w:t xml:space="preserve">authorises access within their domain on a need-to-know basis;</w:t>
      </w:r>
    </w:p>
    <w:p>
      <w:pPr>
        <w:pStyle w:val="Compact"/>
        <w:numPr>
          <w:ilvl w:val="0"/>
          <w:numId w:val="1008"/>
        </w:numPr>
      </w:pPr>
      <w:r>
        <w:t xml:space="preserve">reviews classifications at least annually and on material change;</w:t>
      </w:r>
    </w:p>
    <w:p>
      <w:pPr>
        <w:pStyle w:val="Compact"/>
        <w:numPr>
          <w:ilvl w:val="0"/>
          <w:numId w:val="1008"/>
        </w:numPr>
      </w:pPr>
      <w:r>
        <w:t xml:space="preserve">is accountable for the control gaps their classification implies.</w:t>
      </w:r>
    </w:p>
    <w:p>
      <w:pPr>
        <w:pStyle w:val="FirstParagraph"/>
      </w:pPr>
      <w:r>
        <w:t xml:space="preserve">Ownership of shared or cross-domain datasets is agreed between the relevant Data</w:t>
      </w:r>
      <w:r>
        <w:t xml:space="preserve"> </w:t>
      </w:r>
      <w:r>
        <w:t xml:space="preserve">Owners and recorded in the data inventory maintained under POL-DATA-015.</w:t>
      </w:r>
    </w:p>
    <w:bookmarkEnd w:id="19"/>
    <w:bookmarkStart w:id="20" w:name="data-custodians-cloud-infrastructure"/>
    <w:p>
      <w:pPr>
        <w:pStyle w:val="Heading3"/>
      </w:pPr>
      <w:r>
        <w:t xml:space="preserve">6.2 Data Custodians — Cloud Infrastructure</w:t>
      </w:r>
    </w:p>
    <w:p>
      <w:pPr>
        <w:pStyle w:val="FirstParagraph"/>
      </w:pPr>
      <w:r>
        <w:t xml:space="preserve">Day-to-day custody of classified data sits with</w:t>
      </w:r>
      <w:r>
        <w:t xml:space="preserve"> </w:t>
      </w:r>
      <w:r>
        <w:rPr>
          <w:b/>
          <w:bCs/>
        </w:rPr>
        <w:t xml:space="preserve">Cloud Infrastructure</w:t>
      </w:r>
      <w:r>
        <w:t xml:space="preserve">, led by</w:t>
      </w:r>
      <w:r>
        <w:t xml:space="preserve"> </w:t>
      </w:r>
      <w:r>
        <w:t xml:space="preserve">C. Hayes (Cloud Infrastructure Architect) under the</w:t>
      </w:r>
      <w:r>
        <w:t xml:space="preserve"> </w:t>
      </w:r>
      <w:r>
        <w:rPr>
          <w:b/>
          <w:bCs/>
        </w:rPr>
        <w:t xml:space="preserve">Head of IT</w:t>
      </w:r>
      <w:r>
        <w:t xml:space="preserve">, H. Boyd. Data</w:t>
      </w:r>
      <w:r>
        <w:t xml:space="preserve"> </w:t>
      </w:r>
      <w:r>
        <w:t xml:space="preserve">Custodians:</w:t>
      </w:r>
    </w:p>
    <w:p>
      <w:pPr>
        <w:pStyle w:val="Compact"/>
        <w:numPr>
          <w:ilvl w:val="0"/>
          <w:numId w:val="1009"/>
        </w:numPr>
      </w:pPr>
      <w:r>
        <w:t xml:space="preserve">implement the technical controls a classification requires — encryption, key</w:t>
      </w:r>
      <w:r>
        <w:t xml:space="preserve"> </w:t>
      </w:r>
      <w:r>
        <w:t xml:space="preserve">management, access enforcement, segregation;</w:t>
      </w:r>
    </w:p>
    <w:p>
      <w:pPr>
        <w:pStyle w:val="Compact"/>
        <w:numPr>
          <w:ilvl w:val="0"/>
          <w:numId w:val="1009"/>
        </w:numPr>
      </w:pPr>
      <w:r>
        <w:t xml:space="preserve">monitor compliance with classification-specific controls and report</w:t>
      </w:r>
      <w:r>
        <w:t xml:space="preserve"> </w:t>
      </w:r>
      <w:r>
        <w:t xml:space="preserve">exceptions;</w:t>
      </w:r>
    </w:p>
    <w:p>
      <w:pPr>
        <w:pStyle w:val="Compact"/>
        <w:numPr>
          <w:ilvl w:val="0"/>
          <w:numId w:val="1009"/>
        </w:numPr>
      </w:pPr>
      <w:r>
        <w:t xml:space="preserve">manage encryption keys and access control systems in line with POL-DATA-004;</w:t>
      </w:r>
    </w:p>
    <w:p>
      <w:pPr>
        <w:pStyle w:val="Compact"/>
        <w:numPr>
          <w:ilvl w:val="0"/>
          <w:numId w:val="1009"/>
        </w:numPr>
      </w:pPr>
      <w:r>
        <w:t xml:space="preserve">escalate suspected misclassification or mishandling to the CISO’s office.</w:t>
      </w:r>
    </w:p>
    <w:bookmarkEnd w:id="20"/>
    <w:bookmarkStart w:id="21" w:name="cisos-office-data-protection-function"/>
    <w:p>
      <w:pPr>
        <w:pStyle w:val="Heading3"/>
      </w:pPr>
      <w:r>
        <w:t xml:space="preserve">6.3 CISO’s office (Data Protection function)</w:t>
      </w:r>
    </w:p>
    <w:p>
      <w:pPr>
        <w:pStyle w:val="FirstParagraph"/>
      </w:pPr>
      <w:r>
        <w:t xml:space="preserve">The classification scheme itself is owned by the</w:t>
      </w:r>
      <w:r>
        <w:t xml:space="preserve"> </w:t>
      </w:r>
      <w:r>
        <w:rPr>
          <w:b/>
          <w:bCs/>
        </w:rPr>
        <w:t xml:space="preserve">CISO, I. Ferreira</w:t>
      </w:r>
      <w:r>
        <w:t xml:space="preserve">, whose</w:t>
      </w:r>
      <w:r>
        <w:t xml:space="preserve"> </w:t>
      </w:r>
      <w:r>
        <w:t xml:space="preserve">office:</w:t>
      </w:r>
    </w:p>
    <w:p>
      <w:pPr>
        <w:pStyle w:val="Compact"/>
        <w:numPr>
          <w:ilvl w:val="0"/>
          <w:numId w:val="1010"/>
        </w:numPr>
      </w:pPr>
      <w:r>
        <w:t xml:space="preserve">maintains this policy and the supporting handling guidance;</w:t>
      </w:r>
    </w:p>
    <w:p>
      <w:pPr>
        <w:pStyle w:val="Compact"/>
        <w:numPr>
          <w:ilvl w:val="0"/>
          <w:numId w:val="1010"/>
        </w:numPr>
      </w:pPr>
      <w:r>
        <w:t xml:space="preserve">runs periodic classification audits and spot checks;</w:t>
      </w:r>
    </w:p>
    <w:p>
      <w:pPr>
        <w:pStyle w:val="Compact"/>
        <w:numPr>
          <w:ilvl w:val="0"/>
          <w:numId w:val="1010"/>
        </w:numPr>
      </w:pPr>
      <w:r>
        <w:t xml:space="preserve">investigates classification violations and recommends corrective action; and</w:t>
      </w:r>
    </w:p>
    <w:p>
      <w:pPr>
        <w:pStyle w:val="Compact"/>
        <w:numPr>
          <w:ilvl w:val="0"/>
          <w:numId w:val="1010"/>
        </w:numPr>
      </w:pPr>
      <w:r>
        <w:t xml:space="preserve">coordinates with Legal and Compliance on regulatory exposure.</w:t>
      </w:r>
    </w:p>
    <w:bookmarkEnd w:id="21"/>
    <w:bookmarkStart w:id="22" w:name="all-personnel"/>
    <w:p>
      <w:pPr>
        <w:pStyle w:val="Heading3"/>
      </w:pPr>
      <w:r>
        <w:t xml:space="preserve">6.4 All personnel</w:t>
      </w:r>
    </w:p>
    <w:p>
      <w:pPr>
        <w:pStyle w:val="FirstParagraph"/>
      </w:pPr>
      <w:r>
        <w:t xml:space="preserve">Everyone who handles Tessera information applies the correct classification to</w:t>
      </w:r>
      <w:r>
        <w:t xml:space="preserve"> </w:t>
      </w:r>
      <w:r>
        <w:t xml:space="preserve">what they create, handles information at its marked level, completes</w:t>
      </w:r>
      <w:r>
        <w:t xml:space="preserve"> </w:t>
      </w:r>
      <w:r>
        <w:t xml:space="preserve">classification training during onboarding and at each annual refresher, and</w:t>
      </w:r>
      <w:r>
        <w:t xml:space="preserve"> </w:t>
      </w:r>
      <w:r>
        <w:t xml:space="preserve">reports suspected misclassification or mishandling to the Security team without</w:t>
      </w:r>
      <w:r>
        <w:t xml:space="preserve"> </w:t>
      </w:r>
      <w:r>
        <w:t xml:space="preserve">delay.</w:t>
      </w:r>
    </w:p>
    <w:bookmarkEnd w:id="22"/>
    <w:bookmarkEnd w:id="23"/>
    <w:bookmarkStart w:id="24" w:name="control-requirements-by-classification"/>
    <w:p>
      <w:pPr>
        <w:pStyle w:val="Heading2"/>
      </w:pPr>
      <w:r>
        <w:t xml:space="preserve">7. Control requirements by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913"/>
        <w:gridCol w:w="1871"/>
        <w:gridCol w:w="1697"/>
        <w:gridCol w:w="25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 area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Restricted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Any approved system</w:t>
            </w:r>
          </w:p>
        </w:tc>
        <w:tc>
          <w:tcPr/>
          <w:p>
            <w:pPr>
              <w:pStyle w:val="Compact"/>
            </w:pPr>
            <w:r>
              <w:t xml:space="preserve">Tessera-approved systems</w:t>
            </w:r>
          </w:p>
        </w:tc>
        <w:tc>
          <w:tcPr/>
          <w:p>
            <w:pPr>
              <w:pStyle w:val="Compact"/>
            </w:pPr>
            <w:r>
              <w:t xml:space="preserve">Approved systems, encrypted at rest</w:t>
            </w:r>
          </w:p>
        </w:tc>
        <w:tc>
          <w:tcPr/>
          <w:p>
            <w:pPr>
              <w:pStyle w:val="Compact"/>
            </w:pPr>
            <w:r>
              <w:t xml:space="preserve">Segregated, encrypted at rest with managed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No restriction</w:t>
            </w:r>
          </w:p>
        </w:tc>
        <w:tc>
          <w:tcPr/>
          <w:p>
            <w:pPr>
              <w:pStyle w:val="Compact"/>
            </w:pPr>
            <w:r>
              <w:t xml:space="preserve">Authenticated Tessera / federated identity</w:t>
            </w:r>
          </w:p>
        </w:tc>
        <w:tc>
          <w:tcPr/>
          <w:p>
            <w:pPr>
              <w:pStyle w:val="Compact"/>
            </w:pPr>
            <w:r>
              <w:t xml:space="preserve">Role-based, manager-approved</w:t>
            </w:r>
          </w:p>
        </w:tc>
        <w:tc>
          <w:tcPr/>
          <w:p>
            <w:pPr>
              <w:pStyle w:val="Compact"/>
            </w:pPr>
            <w:r>
              <w:t xml:space="preserve">MFA, need-to-know; CISO’s office approves elevated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Transmission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Encrypted in transit</w:t>
            </w:r>
          </w:p>
        </w:tc>
        <w:tc>
          <w:tcPr/>
          <w:p>
            <w:pPr>
              <w:pStyle w:val="Compact"/>
            </w:pPr>
            <w:r>
              <w:t xml:space="preserve">End-to-end encryption</w:t>
            </w:r>
          </w:p>
        </w:tc>
        <w:tc>
          <w:tcPr/>
          <w:p>
            <w:pPr>
              <w:pStyle w:val="Compact"/>
            </w:pPr>
            <w:r>
              <w:t xml:space="preserve">Encrypted channel + recipient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 storage</w:t>
            </w:r>
          </w:p>
        </w:tc>
        <w:tc>
          <w:tcPr/>
          <w:p>
            <w:pPr>
              <w:pStyle w:val="Compact"/>
            </w:pPr>
            <w:r>
              <w:t xml:space="preserve">Allowed</w:t>
            </w:r>
          </w:p>
        </w:tc>
        <w:tc>
          <w:tcPr/>
          <w:p>
            <w:pPr>
              <w:pStyle w:val="Compact"/>
            </w:pPr>
            <w:r>
              <w:t xml:space="preserve">Allowed</w:t>
            </w:r>
          </w:p>
        </w:tc>
        <w:tc>
          <w:tcPr/>
          <w:p>
            <w:pPr>
              <w:pStyle w:val="Compact"/>
            </w:pPr>
            <w:r>
              <w:t xml:space="preserve">Allowed with disk encryption</w:t>
            </w:r>
          </w:p>
        </w:tc>
        <w:tc>
          <w:tcPr/>
          <w:p>
            <w:pPr>
              <w:pStyle w:val="Compact"/>
            </w:pPr>
            <w:r>
              <w:t xml:space="preserve">Prohibited on unmanaged devices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Disposal</w:t>
            </w:r>
          </w:p>
        </w:tc>
        <w:tc>
          <w:tcPr/>
          <w:p>
            <w:pPr>
              <w:pStyle w:val="Compact"/>
            </w:pPr>
            <w:r>
              <w:t xml:space="preserve">Standard deletion</w:t>
            </w:r>
          </w:p>
        </w:tc>
        <w:tc>
          <w:tcPr/>
          <w:p>
            <w:pPr>
              <w:pStyle w:val="Compact"/>
            </w:pPr>
            <w:r>
              <w:t xml:space="preserve">Secure deletion, verified</w:t>
            </w:r>
          </w:p>
        </w:tc>
        <w:tc>
          <w:tcPr/>
          <w:p>
            <w:pPr>
              <w:pStyle w:val="Compact"/>
            </w:pPr>
            <w:r>
              <w:t xml:space="preserve">Certified secure destruction</w:t>
            </w:r>
          </w:p>
        </w:tc>
        <w:tc>
          <w:tcPr/>
          <w:p>
            <w:pPr>
              <w:pStyle w:val="Compact"/>
            </w:pPr>
            <w:r>
              <w:t xml:space="preserve">Witnessed secure destruction with certificate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Access logged</w:t>
            </w:r>
          </w:p>
        </w:tc>
        <w:tc>
          <w:tcPr/>
          <w:p>
            <w:pPr>
              <w:pStyle w:val="Compact"/>
            </w:pPr>
            <w:r>
              <w:t xml:space="preserve">Detailed access + administrative 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Per business need</w:t>
            </w:r>
          </w:p>
        </w:tc>
        <w:tc>
          <w:tcPr/>
          <w:p>
            <w:pPr>
              <w:pStyle w:val="Compact"/>
            </w:pPr>
            <w:r>
              <w:t xml:space="preserve">Per business need / contractual</w:t>
            </w:r>
          </w:p>
        </w:tc>
        <w:tc>
          <w:tcPr/>
          <w:p>
            <w:pPr>
              <w:pStyle w:val="Compact"/>
            </w:pPr>
            <w:r>
              <w:t xml:space="preserve">Per legal &amp; contractual requirement</w:t>
            </w:r>
          </w:p>
        </w:tc>
        <w:tc>
          <w:tcPr/>
          <w:p>
            <w:pPr>
              <w:pStyle w:val="Compact"/>
            </w:pPr>
            <w:r>
              <w:t xml:space="preserve">Explicit approval to retain beyond minimum</w:t>
            </w:r>
          </w:p>
        </w:tc>
      </w:tr>
    </w:tbl>
    <w:p>
      <w:pPr>
        <w:pStyle w:val="BlockText"/>
      </w:pPr>
      <w:r>
        <w:rPr>
          <w:i/>
          <w:iCs/>
        </w:rPr>
        <w:t xml:space="preserve">[Reviewer, 2025-03-12: the</w:t>
      </w:r>
      <w:r>
        <w:rPr>
          <w:i/>
          <w:iCs/>
        </w:rPr>
        <w:t xml:space="preserve"> </w:t>
      </w:r>
      <w:r>
        <w:rPr>
          <w:i/>
          <w:iCs/>
        </w:rPr>
        <w:t xml:space="preserve">“Endpoint storage — Prohibited on unmanaged devices”</w:t>
      </w:r>
      <w:r>
        <w:rPr>
          <w:i/>
          <w:iCs/>
        </w:rPr>
        <w:t xml:space="preserve"> </w:t>
      </w:r>
      <w:r>
        <w:rPr>
          <w:i/>
          <w:iCs/>
        </w:rPr>
        <w:t xml:space="preserve">row for Restricted will collide with the managed-BYOD position in the access</w:t>
      </w:r>
      <w:r>
        <w:rPr>
          <w:i/>
          <w:iCs/>
        </w:rPr>
        <w:t xml:space="preserve"> </w:t>
      </w:r>
      <w:r>
        <w:rPr>
          <w:i/>
          <w:iCs/>
        </w:rPr>
        <w:t xml:space="preserve">policy. Reconcile the carve-out before sign-off.]</w:t>
      </w:r>
    </w:p>
    <w:bookmarkEnd w:id="24"/>
    <w:bookmarkStart w:id="28" w:name="classification-procedures"/>
    <w:p>
      <w:pPr>
        <w:pStyle w:val="Heading2"/>
      </w:pPr>
      <w:r>
        <w:t xml:space="preserve">8. Classification procedures</w:t>
      </w:r>
    </w:p>
    <w:bookmarkStart w:id="25" w:name="initial-classification"/>
    <w:p>
      <w:pPr>
        <w:pStyle w:val="Heading3"/>
      </w:pPr>
      <w:r>
        <w:t xml:space="preserve">8.1 Initial classification</w:t>
      </w:r>
    </w:p>
    <w:p>
      <w:pPr>
        <w:pStyle w:val="Compact"/>
        <w:numPr>
          <w:ilvl w:val="0"/>
          <w:numId w:val="1011"/>
        </w:numPr>
      </w:pPr>
      <w:r>
        <w:t xml:space="preserve">The creator or acquirer runs the sensitivity check in §5.</w:t>
      </w:r>
    </w:p>
    <w:p>
      <w:pPr>
        <w:pStyle w:val="Compact"/>
        <w:numPr>
          <w:ilvl w:val="0"/>
          <w:numId w:val="1011"/>
        </w:numPr>
      </w:pPr>
      <w:r>
        <w:t xml:space="preserve">Apply the decision tree (see Appendix A) to settle the tier.</w:t>
      </w:r>
    </w:p>
    <w:p>
      <w:pPr>
        <w:pStyle w:val="Compact"/>
        <w:numPr>
          <w:ilvl w:val="0"/>
          <w:numId w:val="1011"/>
        </w:numPr>
      </w:pPr>
      <w:r>
        <w:t xml:space="preserve">If the call is borderline, consult the Data Owner; for tenant-adjacent data,</w:t>
      </w:r>
      <w:r>
        <w:t xml:space="preserve"> </w:t>
      </w:r>
      <w:r>
        <w:t xml:space="preserve">default up to Restricted.</w:t>
      </w:r>
    </w:p>
    <w:p>
      <w:pPr>
        <w:pStyle w:val="Compact"/>
        <w:numPr>
          <w:ilvl w:val="0"/>
          <w:numId w:val="1011"/>
        </w:numPr>
      </w:pPr>
      <w:r>
        <w:t xml:space="preserve">Record the classification and rationale in the data inventory.</w:t>
      </w:r>
    </w:p>
    <w:p>
      <w:pPr>
        <w:pStyle w:val="Compact"/>
        <w:numPr>
          <w:ilvl w:val="0"/>
          <w:numId w:val="1011"/>
        </w:numPr>
      </w:pPr>
      <w:r>
        <w:t xml:space="preserve">Apply the label and the controls in §7.</w:t>
      </w:r>
    </w:p>
    <w:bookmarkEnd w:id="25"/>
    <w:bookmarkStart w:id="26" w:name="periodic-review"/>
    <w:p>
      <w:pPr>
        <w:pStyle w:val="Heading3"/>
      </w:pPr>
      <w:r>
        <w:t xml:space="preserve">8.2 Periodic review</w:t>
      </w:r>
    </w:p>
    <w:p>
      <w:pPr>
        <w:pStyle w:val="FirstParagraph"/>
      </w:pPr>
      <w:r>
        <w:t xml:space="preserve">Data Owners review their holdings at least annually, re-score against §5, update</w:t>
      </w:r>
      <w:r>
        <w:t xml:space="preserve"> </w:t>
      </w:r>
      <w:r>
        <w:t xml:space="preserve">the classification where the context has moved, and notify Cloud Infrastructure</w:t>
      </w:r>
      <w:r>
        <w:t xml:space="preserve"> </w:t>
      </w:r>
      <w:r>
        <w:t xml:space="preserve">of any resulting control change. Reviews are diarised in the ISMS calendar.</w:t>
      </w:r>
    </w:p>
    <w:bookmarkEnd w:id="26"/>
    <w:bookmarkStart w:id="27" w:name="changing-a-classification"/>
    <w:p>
      <w:pPr>
        <w:pStyle w:val="Heading3"/>
      </w:pPr>
      <w:r>
        <w:t xml:space="preserve">8.3 Changing a classification</w:t>
      </w:r>
    </w:p>
    <w:p>
      <w:pPr>
        <w:pStyle w:val="FirstParagraph"/>
      </w:pPr>
      <w:r>
        <w:t xml:space="preserve">Only the Data Owner may change a classification. An upgrade takes effect</w:t>
      </w:r>
      <w:r>
        <w:t xml:space="preserve"> </w:t>
      </w:r>
      <w:r>
        <w:t xml:space="preserve">immediately with its controls; a downgrade is held for 30 days so that access</w:t>
      </w:r>
      <w:r>
        <w:t xml:space="preserve"> </w:t>
      </w:r>
      <w:r>
        <w:t xml:space="preserve">granted on the earlier basis can be re-confirmed. All changes are logged with</w:t>
      </w:r>
      <w:r>
        <w:t xml:space="preserve"> </w:t>
      </w:r>
      <w:r>
        <w:t xml:space="preserve">their business justification and the CISO’s office is notified.</w:t>
      </w:r>
    </w:p>
    <w:bookmarkEnd w:id="27"/>
    <w:bookmarkEnd w:id="28"/>
    <w:bookmarkStart w:id="32" w:name="handling-requirements"/>
    <w:p>
      <w:pPr>
        <w:pStyle w:val="Heading2"/>
      </w:pPr>
      <w:r>
        <w:t xml:space="preserve">9. Handling requirements</w:t>
      </w:r>
    </w:p>
    <w:bookmarkStart w:id="29" w:name="labelling"/>
    <w:p>
      <w:pPr>
        <w:pStyle w:val="Heading3"/>
      </w:pPr>
      <w:r>
        <w:t xml:space="preserve">9.1 Labelling</w:t>
      </w:r>
    </w:p>
    <w:p>
      <w:pPr>
        <w:pStyle w:val="Compact"/>
        <w:numPr>
          <w:ilvl w:val="0"/>
          <w:numId w:val="1012"/>
        </w:numPr>
      </w:pPr>
      <w:r>
        <w:t xml:space="preserve">Physical documents carry the classification in the header and footer.</w:t>
      </w:r>
    </w:p>
    <w:p>
      <w:pPr>
        <w:pStyle w:val="Compact"/>
        <w:numPr>
          <w:ilvl w:val="0"/>
          <w:numId w:val="1012"/>
        </w:numPr>
      </w:pPr>
      <w:r>
        <w:t xml:space="preserve">Electronic files carry it in filename or document metadata; where a system</w:t>
      </w:r>
      <w:r>
        <w:t xml:space="preserve"> </w:t>
      </w:r>
      <w:r>
        <w:t xml:space="preserve">cannot store metadata, the label lives in the enclosing folder or repository</w:t>
      </w:r>
      <w:r>
        <w:t xml:space="preserve"> </w:t>
      </w:r>
      <w:r>
        <w:t xml:space="preserve">convention.</w:t>
      </w:r>
      <w:r>
        <w:t xml:space="preserve"> </w:t>
      </w:r>
      <w:r>
        <w:rPr>
          <w:i/>
          <w:iCs/>
        </w:rPr>
        <w:t xml:space="preserve">(C. Hayes: a number of the legacy S3 buckets still carry no</w:t>
      </w:r>
      <w:r>
        <w:rPr>
          <w:i/>
          <w:iCs/>
        </w:rPr>
        <w:t xml:space="preserve"> </w:t>
      </w:r>
      <w:r>
        <w:rPr>
          <w:i/>
          <w:iCs/>
        </w:rPr>
        <w:t xml:space="preserve">classification tag — tracked under tidy-up ticket TS-1412.)</w:t>
      </w:r>
    </w:p>
    <w:p>
      <w:pPr>
        <w:pStyle w:val="Compact"/>
        <w:numPr>
          <w:ilvl w:val="0"/>
          <w:numId w:val="1012"/>
        </w:numPr>
      </w:pPr>
      <w:r>
        <w:t xml:space="preserve">Email bearing Confidential or Restricted content carries the classification in</w:t>
      </w:r>
      <w:r>
        <w:t xml:space="preserve"> </w:t>
      </w:r>
      <w:r>
        <w:t xml:space="preserve">the subject line; presentations carry it on each slide.</w:t>
      </w:r>
    </w:p>
    <w:bookmarkEnd w:id="29"/>
    <w:bookmarkStart w:id="30" w:name="storage-and-transmission"/>
    <w:p>
      <w:pPr>
        <w:pStyle w:val="Heading3"/>
      </w:pPr>
      <w:r>
        <w:t xml:space="preserve">9.2 Storage and transmission</w:t>
      </w:r>
    </w:p>
    <w:p>
      <w:pPr>
        <w:pStyle w:val="FirstParagraph"/>
      </w:pPr>
      <w:r>
        <w:t xml:space="preserve">Confidential and Restricted data is stored only in approved systems, encrypted at</w:t>
      </w:r>
      <w:r>
        <w:t xml:space="preserve"> </w:t>
      </w:r>
      <w:r>
        <w:t xml:space="preserve">rest, and transmitted over encrypted channels. Restricted data is not stored on</w:t>
      </w:r>
      <w:r>
        <w:t xml:space="preserve"> </w:t>
      </w:r>
      <w:r>
        <w:t xml:space="preserve">unmanaged personal devices or personal cloud accounts. Backup media inherits the</w:t>
      </w:r>
      <w:r>
        <w:t xml:space="preserve"> </w:t>
      </w:r>
      <w:r>
        <w:t xml:space="preserve">classification of its source.</w:t>
      </w:r>
    </w:p>
    <w:bookmarkEnd w:id="30"/>
    <w:bookmarkStart w:id="31" w:name="access"/>
    <w:p>
      <w:pPr>
        <w:pStyle w:val="Heading3"/>
      </w:pPr>
      <w:r>
        <w:t xml:space="preserve">9.3 Access</w:t>
      </w:r>
    </w:p>
    <w:p>
      <w:pPr>
        <w:pStyle w:val="FirstParagraph"/>
      </w:pPr>
      <w:r>
        <w:t xml:space="preserve">Access is granted on a need-to-know basis by the Data Owner. Confidential access</w:t>
      </w:r>
      <w:r>
        <w:t xml:space="preserve"> </w:t>
      </w:r>
      <w:r>
        <w:t xml:space="preserve">requires the relevant manager’s approval; elevated or standing access to</w:t>
      </w:r>
      <w:r>
        <w:t xml:space="preserve"> </w:t>
      </w:r>
      <w:r>
        <w:t xml:space="preserve">Restricted data requires the CISO’s office. Guest, contractor, and vendor access</w:t>
      </w:r>
      <w:r>
        <w:t xml:space="preserve"> </w:t>
      </w:r>
      <w:r>
        <w:t xml:space="preserve">is time-bound and provisioned through the joiner-mover-leaver process</w:t>
      </w:r>
      <w:r>
        <w:t xml:space="preserve"> </w:t>
      </w:r>
      <w:r>
        <w:t xml:space="preserve">(</w:t>
      </w:r>
      <w:r>
        <w:rPr>
          <w:b/>
          <w:bCs/>
        </w:rPr>
        <w:t xml:space="preserve">ISMS-PR-014</w:t>
      </w:r>
      <w:r>
        <w:t xml:space="preserve">), with revocation handled on the same procedure — access is</w:t>
      </w:r>
      <w:r>
        <w:t xml:space="preserve"> </w:t>
      </w:r>
      <w:r>
        <w:t xml:space="preserve">removed within 24 hours of a termination or role change.</w:t>
      </w:r>
    </w:p>
    <w:bookmarkEnd w:id="31"/>
    <w:bookmarkEnd w:id="32"/>
    <w:bookmarkStart w:id="33" w:name="compliance-and-enforcement"/>
    <w:p>
      <w:pPr>
        <w:pStyle w:val="Heading2"/>
      </w:pPr>
      <w:r>
        <w:t xml:space="preserve">10. Compliance and enforcement</w:t>
      </w:r>
    </w:p>
    <w:p>
      <w:pPr>
        <w:pStyle w:val="FirstParagraph"/>
      </w:pPr>
      <w:r>
        <w:t xml:space="preserve">Compliance is monitored through access logging, periodic Data Owner reviews, and</w:t>
      </w:r>
      <w:r>
        <w:t xml:space="preserve"> </w:t>
      </w:r>
      <w:r>
        <w:t xml:space="preserve">audit by the CISO’s office. A data loss prevention capability is being rolled out</w:t>
      </w:r>
      <w:r>
        <w:t xml:space="preserve"> </w:t>
      </w:r>
      <w:r>
        <w:t xml:space="preserve">to enforce transmission controls; until it is live, those controls rely on</w:t>
      </w:r>
      <w:r>
        <w:t xml:space="preserve"> </w:t>
      </w:r>
      <w:r>
        <w:t xml:space="preserve">engineered safeguards and manager oversight.</w:t>
      </w:r>
      <w:r>
        <w:t xml:space="preserve"> </w:t>
      </w:r>
      <w:r>
        <w:rPr>
          <w:i/>
          <w:iCs/>
        </w:rPr>
        <w:t xml:space="preserve">(I. Ferreira: do not promise DLP</w:t>
      </w:r>
      <w:r>
        <w:rPr>
          <w:i/>
          <w:iCs/>
        </w:rPr>
        <w:t xml:space="preserve"> </w:t>
      </w:r>
      <w:r>
        <w:rPr>
          <w:i/>
          <w:iCs/>
        </w:rPr>
        <w:t xml:space="preserve">enforcement in any tenant-facing text until the rollout under TS-1380 ships —</w:t>
      </w:r>
      <w:r>
        <w:rPr>
          <w:i/>
          <w:iCs/>
        </w:rPr>
        <w:t xml:space="preserve"> </w:t>
      </w:r>
      <w:r>
        <w:rPr>
          <w:i/>
          <w:iCs/>
        </w:rPr>
        <w:t xml:space="preserve">reword if this section is quoted externally.)</w:t>
      </w:r>
    </w:p>
    <w:p>
      <w:pPr>
        <w:pStyle w:val="BodyText"/>
      </w:pPr>
      <w:r>
        <w:t xml:space="preserve">Violations are handled under the HR disciplinary framework: minor or inadvertent</w:t>
      </w:r>
      <w:r>
        <w:t xml:space="preserve"> </w:t>
      </w:r>
      <w:r>
        <w:t xml:space="preserve">breaches through coaching and retraining; deliberate or repeated violations</w:t>
      </w:r>
      <w:r>
        <w:t xml:space="preserve"> </w:t>
      </w:r>
      <w:r>
        <w:t xml:space="preserve">through formal disciplinary action, access review, and, where warranted,</w:t>
      </w:r>
      <w:r>
        <w:t xml:space="preserve"> </w:t>
      </w:r>
      <w:r>
        <w:t xml:space="preserve">referral to law enforcement. Emergency access that overrides these controls is</w:t>
      </w:r>
      <w:r>
        <w:t xml:space="preserve"> </w:t>
      </w:r>
      <w:r>
        <w:t xml:space="preserve">granted only through the break-glass procedure in the Incident Response policy</w:t>
      </w:r>
      <w:r>
        <w:t xml:space="preserve"> </w:t>
      </w:r>
      <w:r>
        <w:t xml:space="preserve">(POL-SECU-010).</w:t>
      </w:r>
    </w:p>
    <w:bookmarkEnd w:id="33"/>
    <w:bookmarkStart w:id="34" w:name="integration-with-related-policies"/>
    <w:p>
      <w:pPr>
        <w:pStyle w:val="Heading2"/>
      </w:pPr>
      <w:r>
        <w:t xml:space="preserve">11. Integration with related policies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Access Control (POL-SECU-021)</w:t>
      </w:r>
      <w:r>
        <w:t xml:space="preserve"> </w:t>
      </w:r>
      <w:r>
        <w:t xml:space="preserve">— classification drives role-based access and</w:t>
      </w:r>
      <w:r>
        <w:t xml:space="preserve"> </w:t>
      </w:r>
      <w:r>
        <w:t xml:space="preserve">MFA requirements; session timeouts are set per the access policy (admin</w:t>
      </w:r>
      <w:r>
        <w:t xml:space="preserve"> </w:t>
      </w:r>
      <w:r>
        <w:t xml:space="preserve">consoles 15 minutes, standard sessions 30).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 Management (POL-DATA-015)</w:t>
      </w:r>
      <w:r>
        <w:t xml:space="preserve"> </w:t>
      </w:r>
      <w:r>
        <w:t xml:space="preserve">— the handling matrix and retention periods</w:t>
      </w:r>
      <w:r>
        <w:t xml:space="preserve"> </w:t>
      </w:r>
      <w:r>
        <w:t xml:space="preserve">live there; this policy defines the tiers they key off.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 Protection (POL-DATA-004)</w:t>
      </w:r>
      <w:r>
        <w:t xml:space="preserve"> </w:t>
      </w:r>
      <w:r>
        <w:t xml:space="preserve">— encryption standards, key management, and</w:t>
      </w:r>
      <w:r>
        <w:t xml:space="preserve"> </w:t>
      </w:r>
      <w:r>
        <w:t xml:space="preserve">the Sydney-primary region.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Incident Response (POL-SECU-010)</w:t>
      </w:r>
      <w:r>
        <w:t xml:space="preserve"> </w:t>
      </w:r>
      <w:r>
        <w:t xml:space="preserve">— classification sets incident severity</w:t>
      </w:r>
      <w:r>
        <w:t xml:space="preserve"> </w:t>
      </w:r>
      <w:r>
        <w:t xml:space="preserve">and breach-notification posture under the NDB scheme.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Privacy (POL-DATA-022)</w:t>
      </w:r>
      <w:r>
        <w:t xml:space="preserve"> </w:t>
      </w:r>
      <w:r>
        <w:t xml:space="preserve">— the APP 11 obligations this policy operationalises.</w:t>
      </w:r>
    </w:p>
    <w:bookmarkEnd w:id="34"/>
    <w:bookmarkStart w:id="35" w:name="training-and-awareness"/>
    <w:p>
      <w:pPr>
        <w:pStyle w:val="Heading2"/>
      </w:pPr>
      <w:r>
        <w:t xml:space="preserve">12. Training and awareness</w:t>
      </w:r>
    </w:p>
    <w:p>
      <w:pPr>
        <w:pStyle w:val="FirstParagraph"/>
      </w:pPr>
      <w:r>
        <w:t xml:space="preserve">Classification training is part of onboarding — completed before production</w:t>
      </w:r>
      <w:r>
        <w:t xml:space="preserve"> </w:t>
      </w:r>
      <w:r>
        <w:t xml:space="preserve">access is granted — and refreshed annually. Data Owners and Custodians receive</w:t>
      </w:r>
      <w:r>
        <w:t xml:space="preserve"> </w:t>
      </w:r>
      <w:r>
        <w:t xml:space="preserve">additional role-specific briefings. Completion is tracked in the HRIS by the Head</w:t>
      </w:r>
      <w:r>
        <w:t xml:space="preserve"> </w:t>
      </w:r>
      <w:r>
        <w:t xml:space="preserve">of People’s team; the Security team maintains the content and the case studies,</w:t>
      </w:r>
      <w:r>
        <w:t xml:space="preserve"> </w:t>
      </w:r>
      <w:r>
        <w:t xml:space="preserve">drawn from appropriately anonymised real handling decisions.</w:t>
      </w:r>
    </w:p>
    <w:bookmarkEnd w:id="35"/>
    <w:bookmarkStart w:id="36" w:name="review-and-updates"/>
    <w:p>
      <w:pPr>
        <w:pStyle w:val="Heading2"/>
      </w:pPr>
      <w:r>
        <w:t xml:space="preserve">13. Review and updates</w:t>
      </w:r>
    </w:p>
    <w:p>
      <w:pPr>
        <w:pStyle w:val="FirstParagraph"/>
      </w:pPr>
      <w:r>
        <w:t xml:space="preserve">This policy is reviewed annually, and additionally when the regulatory or</w:t>
      </w:r>
      <w:r>
        <w:t xml:space="preserve"> </w:t>
      </w:r>
      <w:r>
        <w:t xml:space="preserve">contractual landscape shifts, when the platform or client base changes</w:t>
      </w:r>
      <w:r>
        <w:t xml:space="preserve"> </w:t>
      </w:r>
      <w:r>
        <w:t xml:space="preserve">materially, or after any significant incident involving classified data. The</w:t>
      </w:r>
      <w:r>
        <w:t xml:space="preserve"> </w:t>
      </w:r>
      <w:r>
        <w:rPr>
          <w:i/>
          <w:iCs/>
        </w:rPr>
        <w:t xml:space="preserve">Next Review</w:t>
      </w:r>
      <w:r>
        <w:t xml:space="preserve"> </w:t>
      </w:r>
      <w:r>
        <w:t xml:space="preserve">date in the control table is the governing trigger; if it has</w:t>
      </w:r>
      <w:r>
        <w:t xml:space="preserve"> </w:t>
      </w:r>
      <w:r>
        <w:t xml:space="preserve">passed, the policy is treated as overdue and escalated. Updates require approval</w:t>
      </w:r>
      <w:r>
        <w:t xml:space="preserve"> </w:t>
      </w:r>
      <w:r>
        <w:t xml:space="preserve">by the CISO (technical changes) and the Head of Compliance (regulatory changes);</w:t>
      </w:r>
      <w:r>
        <w:t xml:space="preserve"> </w:t>
      </w:r>
      <w:r>
        <w:t xml:space="preserve">framework-level changes go to the Executive Risk Committee.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Classification Policy</dc:title>
  <dc:creator/>
  <dc:description>Tessera data classification policy establishes a systematic approach to categorising information assets based on their sensitivity, criticality, and regulatory requirements to ensure appropriate protection measures are applied.</dc:description>
  <cp:keywords/>
  <dcterms:created xsi:type="dcterms:W3CDTF">2026-08-17T05:13:48Z</dcterms:created>
  <dcterms:modified xsi:type="dcterms:W3CDTF">2026-08-17T05:13:48Z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ategories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resources">
    <vt:lpwstr/>
  </property>
  <property fmtid="{D5CDD505-2E9C-101B-9397-08002B2CF9AE}" pid="10" name="toc-title">
    <vt:lpwstr>Table of contents</vt:lpwstr>
  </property>
</Properties>
</file>