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APPROVAL]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POLICY STATUS:</w:t>
      </w:r>
      <w:r>
        <w:t xml:space="preserve"> </w:t>
      </w:r>
      <w:r>
        <w:t xml:space="preserve">This policy is currently in DRAFT status pending final review.</w:t>
      </w:r>
      <w:r>
        <w:t xml:space="preserve"> </w:t>
      </w:r>
      <w:r>
        <w:t xml:space="preserve">Implementation should follow existing Data Handling Guidelines POL-DH-002 until</w:t>
      </w:r>
      <w:r>
        <w:t xml:space="preserve"> </w:t>
      </w:r>
      <w:r>
        <w:t xml:space="preserve">this policy is formally approved.</w:t>
      </w:r>
    </w:p>
    <w:p>
      <w:pPr>
        <w:pStyle w:val="BlockText"/>
      </w:pPr>
      <w:r>
        <w:rPr>
          <w:b/>
          <w:bCs/>
        </w:rPr>
        <w:t xml:space="preserve">RELATED POLICIES:</w:t>
      </w:r>
      <w:r>
        <w:t xml:space="preserve"> </w:t>
      </w:r>
      <w:r>
        <w:t xml:space="preserve">This policy should be read in conjunction with:</w:t>
      </w:r>
      <w:r>
        <w:t xml:space="preserve"> </w:t>
      </w:r>
      <w:r>
        <w:t xml:space="preserve">- Access Control Policy POL-SECU-021 (v1.3)</w:t>
      </w:r>
      <w:r>
        <w:t xml:space="preserve"> </w:t>
      </w:r>
      <w:r>
        <w:t xml:space="preserve">- Data Retention Policy POL-RETENTION-001 (v2.0 - under review)</w:t>
      </w:r>
      <w:r>
        <w:t xml:space="preserve"> </w:t>
      </w:r>
      <w:r>
        <w:t xml:space="preserve">- Incident Response Policy POL-SECU-010 (v2.1)</w:t>
      </w:r>
      <w:r>
        <w:t xml:space="preserve"> </w:t>
      </w:r>
      <w:r>
        <w:t xml:space="preserve">- Privacy Policy POL-PRIVACY-001 (v1.4)</w:t>
      </w:r>
    </w:p>
    <w:p>
      <w:pPr>
        <w:pStyle w:val="FirstParagraph"/>
      </w:pPr>
      <w:r>
        <w:t xml:space="preserve">Tessera data classification policy establishes a systematic approach to</w:t>
      </w:r>
      <w:r>
        <w:t xml:space="preserve"> </w:t>
      </w:r>
      <w:r>
        <w:t xml:space="preserve">categorising information assets based on their sensitivity, criticality, and</w:t>
      </w:r>
      <w:r>
        <w:t xml:space="preserve"> </w:t>
      </w:r>
      <w:r>
        <w:t xml:space="preserve">regulatory requirements to ensure appropriate protection measures are applied.</w:t>
      </w:r>
      <w:r>
        <w:t xml:space="preserve"> </w:t>
      </w:r>
      <w:r>
        <w:t xml:space="preserve">This policy applies to all information created, processed, stored, or transmitted</w:t>
      </w:r>
      <w:r>
        <w:t xml:space="preserve"> </w:t>
      </w:r>
      <w:r>
        <w:t xml:space="preserve">by Tessera systems and personnel.</w:t>
      </w:r>
    </w:p>
    <w:p>
      <w:pPr>
        <w:pStyle w:val="BlockText"/>
      </w:pPr>
      <w:r>
        <w:rPr>
          <w:b/>
          <w:bCs/>
        </w:rPr>
        <w:t xml:space="preserve">SCOPE AMBIGUITY:</w:t>
      </w:r>
      <w:r>
        <w:t xml:space="preserve"> </w:t>
      </w:r>
      <w:r>
        <w:t xml:space="preserve">Policy states it applies to</w:t>
      </w:r>
      <w:r>
        <w:t xml:space="preserve"> </w:t>
      </w:r>
      <w:r>
        <w:t xml:space="preserve">“all information”</w:t>
      </w:r>
      <w:r>
        <w:t xml:space="preserve"> </w:t>
      </w:r>
      <w:r>
        <w:t xml:space="preserve">but later</w:t>
      </w:r>
      <w:r>
        <w:t xml:space="preserve"> </w:t>
      </w:r>
      <w:r>
        <w:t xml:space="preserve">sections exclude certain data types without clear justification.</w:t>
      </w:r>
    </w:p>
    <w:bookmarkStart w:id="9" w:name="policy-statements"/>
    <w:p>
      <w:pPr>
        <w:pStyle w:val="Heading2"/>
      </w:pPr>
      <w:r>
        <w:t xml:space="preserve">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All information assets must be classified according to the data classification</w:t>
      </w:r>
      <w:r>
        <w:t xml:space="preserve"> </w:t>
      </w:r>
      <w:r>
        <w:t xml:space="preserve">scheme defined in this policy.</w:t>
      </w:r>
    </w:p>
    <w:p>
      <w:pPr>
        <w:numPr>
          <w:ilvl w:val="0"/>
          <w:numId w:val="1001"/>
        </w:numPr>
      </w:pPr>
      <w:r>
        <w:t xml:space="preserve">Data classification must be assigned at the time of creation or acquisition</w:t>
      </w:r>
      <w:r>
        <w:t xml:space="preserve"> </w:t>
      </w:r>
      <w:r>
        <w:t xml:space="preserve">and reviewed periodically.</w:t>
      </w:r>
    </w:p>
    <w:p>
      <w:pPr>
        <w:numPr>
          <w:ilvl w:val="0"/>
          <w:numId w:val="1001"/>
        </w:numPr>
      </w:pPr>
      <w:r>
        <w:t xml:space="preserve">Appropriate security controls must be implemented based on the assigned</w:t>
      </w:r>
      <w:r>
        <w:t xml:space="preserve"> </w:t>
      </w:r>
      <w:r>
        <w:t xml:space="preserve">classification level.</w:t>
      </w:r>
    </w:p>
    <w:p>
      <w:pPr>
        <w:numPr>
          <w:ilvl w:val="0"/>
          <w:numId w:val="1001"/>
        </w:numPr>
      </w:pPr>
      <w:r>
        <w:t xml:space="preserve">Data classification labels must be clearly indicated on all documents,</w:t>
      </w:r>
      <w:r>
        <w:t xml:space="preserve"> </w:t>
      </w:r>
      <w:r>
        <w:t xml:space="preserve">systems, and storage media containing classified information.</w:t>
      </w:r>
    </w:p>
    <w:p>
      <w:pPr>
        <w:pStyle w:val="BlockText"/>
      </w:pPr>
      <w:r>
        <w:rPr>
          <w:b/>
          <w:bCs/>
        </w:rPr>
        <w:t xml:space="preserve">LABELLING INCONSISTENCY: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“clearly indicated”</w:t>
      </w:r>
      <w:r>
        <w:t xml:space="preserve"> </w:t>
      </w:r>
      <w:r>
        <w:t xml:space="preserve">labels conflicts</w:t>
      </w:r>
      <w:r>
        <w:t xml:space="preserve"> </w:t>
      </w:r>
      <w:r>
        <w:t xml:space="preserve">with later exemptions for certain electronic systems.</w:t>
      </w:r>
    </w:p>
    <w:p>
      <w:pPr>
        <w:numPr>
          <w:ilvl w:val="0"/>
          <w:numId w:val="1002"/>
        </w:numPr>
      </w:pPr>
      <w:r>
        <w:t xml:space="preserve">Personnel must receive training on data classification requirements and their</w:t>
      </w:r>
      <w:r>
        <w:t xml:space="preserve"> </w:t>
      </w:r>
      <w:r>
        <w:t xml:space="preserve">responsibilities for handling classified information.</w:t>
      </w:r>
    </w:p>
    <w:p>
      <w:pPr>
        <w:numPr>
          <w:ilvl w:val="0"/>
          <w:numId w:val="1002"/>
        </w:numPr>
      </w:pPr>
      <w:r>
        <w:t xml:space="preserve">Data classification decisions must be documented and maintained for audit purposes.</w:t>
      </w:r>
    </w:p>
    <w:bookmarkEnd w:id="9"/>
    <w:bookmarkStart w:id="14" w:name="data-classification-levels"/>
    <w:p>
      <w:pPr>
        <w:pStyle w:val="Heading2"/>
      </w:pPr>
      <w:r>
        <w:t xml:space="preserve">Data Classification Levels</w:t>
      </w:r>
    </w:p>
    <w:p>
      <w:pPr>
        <w:pStyle w:val="FirstParagraph"/>
      </w:pPr>
      <w:r>
        <w:t xml:space="preserve">Tessera uses a four-tier classification system:</w:t>
      </w:r>
    </w:p>
    <w:bookmarkStart w:id="10" w:name="public"/>
    <w:p>
      <w:pPr>
        <w:pStyle w:val="Heading3"/>
      </w:pPr>
      <w:r>
        <w:t xml:space="preserve">PUBLIC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that can be freely shared with external parties</w:t>
      </w:r>
      <w:r>
        <w:t xml:space="preserve"> </w:t>
      </w:r>
      <w:r>
        <w:t xml:space="preserve">without risk to Tessera or its clients.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Marketing materials, public website content, press releases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Standard backup and availability measures</w:t>
      </w:r>
    </w:p>
    <w:p>
      <w:pPr>
        <w:pStyle w:val="BlockText"/>
      </w:pPr>
      <w:r>
        <w:rPr>
          <w:b/>
          <w:bCs/>
        </w:rPr>
        <w:t xml:space="preserve">EXAMPLES LIMITATION:</w:t>
      </w:r>
      <w:r>
        <w:t xml:space="preserve"> </w:t>
      </w:r>
      <w:r>
        <w:t xml:space="preserve">Examples provided are too narrow and don’t address</w:t>
      </w:r>
      <w:r>
        <w:t xml:space="preserve"> </w:t>
      </w:r>
      <w:r>
        <w:t xml:space="preserve">edge cases like public-but-commercially-sensitive information.</w:t>
      </w:r>
    </w:p>
    <w:bookmarkEnd w:id="10"/>
    <w:bookmarkStart w:id="11" w:name="internal"/>
    <w:p>
      <w:pPr>
        <w:pStyle w:val="Heading3"/>
      </w:pPr>
      <w:r>
        <w:t xml:space="preserve">INTERNAL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intended for use within Tessera that could cause</w:t>
      </w:r>
      <w:r>
        <w:t xml:space="preserve"> </w:t>
      </w:r>
      <w:r>
        <w:t xml:space="preserve">minor harm if disclosed externally.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Internal procedures, staff directories, non-sensitive financial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Access restricted to Tessera personnel, encrypted</w:t>
      </w:r>
      <w:r>
        <w:t xml:space="preserve"> </w:t>
      </w:r>
      <w:r>
        <w:t xml:space="preserve">in transit</w:t>
      </w:r>
    </w:p>
    <w:p>
      <w:pPr>
        <w:pStyle w:val="BlockText"/>
      </w:pPr>
      <w:r>
        <w:rPr>
          <w:b/>
          <w:bCs/>
        </w:rPr>
        <w:t xml:space="preserve">ACCESS CONTRADICTION:</w:t>
      </w:r>
      <w:r>
        <w:t xml:space="preserve"> </w:t>
      </w:r>
      <w:r>
        <w:t xml:space="preserve">“Restricted to Tessera personnel”</w:t>
      </w:r>
      <w:r>
        <w:t xml:space="preserve"> </w:t>
      </w:r>
      <w:r>
        <w:t xml:space="preserve">conflicts with</w:t>
      </w:r>
      <w:r>
        <w:t xml:space="preserve"> </w:t>
      </w:r>
      <w:r>
        <w:t xml:space="preserve">Access Control Policy which allows contractor and vendor access to internal systems.</w:t>
      </w:r>
    </w:p>
    <w:bookmarkEnd w:id="11"/>
    <w:bookmarkStart w:id="12" w:name="confidential"/>
    <w:p>
      <w:pPr>
        <w:pStyle w:val="Heading3"/>
      </w:pPr>
      <w:r>
        <w:t xml:space="preserve">CONFIDENTIAL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Sensitive information that could cause significant harm to</w:t>
      </w:r>
      <w:r>
        <w:t xml:space="preserve"> </w:t>
      </w:r>
      <w:r>
        <w:t xml:space="preserve">Tessera or its clients if disclosed inappropriately.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contracts, financial reports, strategic plans, employee</w:t>
      </w:r>
      <w:r>
        <w:t xml:space="preserve"> </w:t>
      </w:r>
      <w:r>
        <w:t xml:space="preserve">personal information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Role-based access controls, encryption at rest and</w:t>
      </w:r>
      <w:r>
        <w:t xml:space="preserve"> </w:t>
      </w:r>
      <w:r>
        <w:t xml:space="preserve">in transit, secure disposal</w:t>
      </w:r>
    </w:p>
    <w:p>
      <w:pPr>
        <w:pStyle w:val="BlockText"/>
      </w:pPr>
      <w:r>
        <w:rPr>
          <w:b/>
          <w:bCs/>
        </w:rPr>
        <w:t xml:space="preserve">DEFINITION OVERLAP:</w:t>
      </w:r>
      <w:r>
        <w:t xml:space="preserve"> </w:t>
      </w:r>
      <w:r>
        <w:t xml:space="preserve">“Significant harm”</w:t>
      </w:r>
      <w:r>
        <w:t xml:space="preserve"> </w:t>
      </w:r>
      <w:r>
        <w:t xml:space="preserve">threshold unclear and overlaps with</w:t>
      </w:r>
      <w:r>
        <w:t xml:space="preserve"> </w:t>
      </w:r>
      <w:r>
        <w:t xml:space="preserve">RESTRICTED category definition.</w:t>
      </w:r>
    </w:p>
    <w:bookmarkEnd w:id="12"/>
    <w:bookmarkStart w:id="13" w:name="restricted"/>
    <w:p>
      <w:pPr>
        <w:pStyle w:val="Heading3"/>
      </w:pPr>
      <w:r>
        <w:t xml:space="preserve">RESTRICTED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Highly sensitive information that could cause severe harm to</w:t>
      </w:r>
      <w:r>
        <w:t xml:space="preserve"> </w:t>
      </w:r>
      <w:r>
        <w:t xml:space="preserve">Tessera, its clients, or regulatory non-compliance if disclosed.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payment data, medical records, trade secrets, security</w:t>
      </w:r>
      <w:r>
        <w:t xml:space="preserve"> </w:t>
      </w:r>
      <w:r>
        <w:t xml:space="preserve">incident details, audit reports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Multi-factor authentication required, encrypted</w:t>
      </w:r>
      <w:r>
        <w:t xml:space="preserve"> </w:t>
      </w:r>
      <w:r>
        <w:t xml:space="preserve">storage with key management, need-to-know access only, detailed audit logging</w:t>
      </w:r>
    </w:p>
    <w:p>
      <w:pPr>
        <w:pStyle w:val="BlockText"/>
      </w:pPr>
      <w:r>
        <w:rPr>
          <w:b/>
          <w:bCs/>
        </w:rPr>
        <w:t xml:space="preserve">REGULATORY INCONSISTENCY: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“medical records”</w:t>
      </w:r>
      <w:r>
        <w:t xml:space="preserve"> </w:t>
      </w:r>
      <w:r>
        <w:t xml:space="preserve">but Tessera’s</w:t>
      </w:r>
      <w:r>
        <w:t xml:space="preserve"> </w:t>
      </w:r>
      <w:r>
        <w:t xml:space="preserve">current client base is primarily financial services and cloud hosting.</w:t>
      </w:r>
    </w:p>
    <w:bookmarkEnd w:id="13"/>
    <w:bookmarkEnd w:id="14"/>
    <w:bookmarkStart w:id="18" w:name="classification-criteria"/>
    <w:p>
      <w:pPr>
        <w:pStyle w:val="Heading2"/>
      </w:pPr>
      <w:r>
        <w:t xml:space="preserve">Classification Criteria</w:t>
      </w:r>
    </w:p>
    <w:p>
      <w:pPr>
        <w:pStyle w:val="FirstParagraph"/>
      </w:pPr>
      <w:r>
        <w:t xml:space="preserve">Data classification must consider the following factors:</w:t>
      </w:r>
    </w:p>
    <w:bookmarkStart w:id="15" w:name="sensitivity-assessment"/>
    <w:p>
      <w:pPr>
        <w:pStyle w:val="Heading3"/>
      </w:pPr>
      <w:r>
        <w:t xml:space="preserve">Sensitivity Assessment</w:t>
      </w:r>
    </w:p>
    <w:p>
      <w:pPr>
        <w:pStyle w:val="Compact"/>
        <w:numPr>
          <w:ilvl w:val="0"/>
          <w:numId w:val="1007"/>
        </w:numPr>
      </w:pPr>
      <w:r>
        <w:t xml:space="preserve">Legal and regulatory requirements (Privacy Act 1988, PCI DSS, industry standards)</w:t>
      </w:r>
    </w:p>
    <w:p>
      <w:pPr>
        <w:pStyle w:val="Compact"/>
        <w:numPr>
          <w:ilvl w:val="0"/>
          <w:numId w:val="1007"/>
        </w:numPr>
      </w:pPr>
      <w:r>
        <w:t xml:space="preserve">Contractual obligations to clients</w:t>
      </w:r>
    </w:p>
    <w:p>
      <w:pPr>
        <w:pStyle w:val="Compact"/>
        <w:numPr>
          <w:ilvl w:val="0"/>
          <w:numId w:val="1007"/>
        </w:numPr>
      </w:pPr>
      <w:r>
        <w:t xml:space="preserve">Business impact of unauthorised disclosure</w:t>
      </w:r>
    </w:p>
    <w:p>
      <w:pPr>
        <w:pStyle w:val="Compact"/>
        <w:numPr>
          <w:ilvl w:val="0"/>
          <w:numId w:val="1007"/>
        </w:numPr>
      </w:pPr>
      <w:r>
        <w:t xml:space="preserve">Intellectual property considerations</w:t>
      </w:r>
    </w:p>
    <w:p>
      <w:pPr>
        <w:pStyle w:val="BlockText"/>
      </w:pPr>
      <w:r>
        <w:rPr>
          <w:b/>
          <w:bCs/>
        </w:rPr>
        <w:t xml:space="preserve">MISSING CRITERIA:</w:t>
      </w:r>
      <w:r>
        <w:t xml:space="preserve"> </w:t>
      </w:r>
      <w:r>
        <w:t xml:space="preserve">No consideration of data retention requirements or</w:t>
      </w:r>
      <w:r>
        <w:t xml:space="preserve"> </w:t>
      </w:r>
      <w:r>
        <w:t xml:space="preserve">cross-border transfer restrictions.</w:t>
      </w:r>
    </w:p>
    <w:bookmarkEnd w:id="15"/>
    <w:bookmarkStart w:id="16" w:name="impact-analysis"/>
    <w:p>
      <w:pPr>
        <w:pStyle w:val="Heading3"/>
      </w:pPr>
      <w:r>
        <w:t xml:space="preserve">Impact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LOW:</w:t>
      </w:r>
      <w:r>
        <w:t xml:space="preserve"> </w:t>
      </w:r>
      <w:r>
        <w:t xml:space="preserve">Minimal impact on operations, reputation, or compliance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Moderate impact requiring management attention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HIGH:</w:t>
      </w:r>
      <w:r>
        <w:t xml:space="preserve"> </w:t>
      </w:r>
      <w:r>
        <w:t xml:space="preserve">Significant impact requiring executive involvement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CRITICAL:</w:t>
      </w:r>
      <w:r>
        <w:t xml:space="preserve"> </w:t>
      </w:r>
      <w:r>
        <w:t xml:space="preserve">Severe impact threatening business continuity or regulatory status</w:t>
      </w:r>
    </w:p>
    <w:p>
      <w:pPr>
        <w:pStyle w:val="BlockText"/>
      </w:pPr>
      <w:r>
        <w:rPr>
          <w:b/>
          <w:bCs/>
        </w:rPr>
        <w:t xml:space="preserve">IMPACT MAPPING ERROR:</w:t>
      </w:r>
      <w:r>
        <w:t xml:space="preserve"> </w:t>
      </w:r>
      <w:r>
        <w:t xml:space="preserve">Four impact levels (LOW/MEDIUM/HIGH/CRITICAL) don’t</w:t>
      </w:r>
      <w:r>
        <w:t xml:space="preserve"> </w:t>
      </w:r>
      <w:r>
        <w:t xml:space="preserve">align with four classification levels (PUBLIC/INTERNAL/CONFIDENTIAL/RESTRICTED).</w:t>
      </w:r>
    </w:p>
    <w:bookmarkEnd w:id="16"/>
    <w:bookmarkStart w:id="17" w:name="time-sensitivity"/>
    <w:p>
      <w:pPr>
        <w:pStyle w:val="Heading3"/>
      </w:pPr>
      <w:r>
        <w:t xml:space="preserve">Time Sensitivity</w:t>
      </w:r>
    </w:p>
    <w:p>
      <w:pPr>
        <w:pStyle w:val="Compact"/>
        <w:numPr>
          <w:ilvl w:val="0"/>
          <w:numId w:val="1009"/>
        </w:numPr>
      </w:pPr>
      <w:r>
        <w:t xml:space="preserve">Immediate classification required for real-time data processing</w:t>
      </w:r>
    </w:p>
    <w:p>
      <w:pPr>
        <w:pStyle w:val="Compact"/>
        <w:numPr>
          <w:ilvl w:val="0"/>
          <w:numId w:val="1009"/>
        </w:numPr>
      </w:pPr>
      <w:r>
        <w:t xml:space="preserve">Periodic review every 12 months or when business context changes</w:t>
      </w:r>
    </w:p>
    <w:p>
      <w:pPr>
        <w:pStyle w:val="Compact"/>
        <w:numPr>
          <w:ilvl w:val="0"/>
          <w:numId w:val="1009"/>
        </w:numPr>
      </w:pPr>
      <w:r>
        <w:t xml:space="preserve">Automatic declassification after retention period expires</w:t>
      </w:r>
    </w:p>
    <w:p>
      <w:pPr>
        <w:pStyle w:val="BlockText"/>
      </w:pPr>
      <w:r>
        <w:rPr>
          <w:b/>
          <w:bCs/>
        </w:rPr>
        <w:t xml:space="preserve">DECLASSIFICATION AMBIGUITY:</w:t>
      </w:r>
      <w:r>
        <w:t xml:space="preserve"> </w:t>
      </w:r>
      <w:r>
        <w:t xml:space="preserve">No clear process defined for automatic</w:t>
      </w:r>
      <w:r>
        <w:t xml:space="preserve"> </w:t>
      </w:r>
      <w:r>
        <w:t xml:space="preserve">declassification or who has authority to change classifications.</w:t>
      </w:r>
    </w:p>
    <w:bookmarkEnd w:id="17"/>
    <w:bookmarkEnd w:id="18"/>
    <w:bookmarkStart w:id="23" w:name="responsibilities"/>
    <w:p>
      <w:pPr>
        <w:pStyle w:val="Heading2"/>
      </w:pPr>
      <w:r>
        <w:t xml:space="preserve">Responsibilities</w:t>
      </w:r>
    </w:p>
    <w:bookmarkStart w:id="19" w:name="data-owners"/>
    <w:p>
      <w:pPr>
        <w:pStyle w:val="Heading3"/>
      </w:pPr>
      <w:r>
        <w:t xml:space="preserve">Data Owners</w:t>
      </w:r>
    </w:p>
    <w:p>
      <w:pPr>
        <w:pStyle w:val="Compact"/>
        <w:numPr>
          <w:ilvl w:val="0"/>
          <w:numId w:val="1010"/>
        </w:numPr>
      </w:pPr>
      <w:r>
        <w:t xml:space="preserve">Assign initial classification based on business context and sensitivity</w:t>
      </w:r>
    </w:p>
    <w:p>
      <w:pPr>
        <w:pStyle w:val="Compact"/>
        <w:numPr>
          <w:ilvl w:val="0"/>
          <w:numId w:val="1010"/>
        </w:numPr>
      </w:pPr>
      <w:r>
        <w:t xml:space="preserve">Review and update classifications during periodic reviews</w:t>
      </w:r>
    </w:p>
    <w:p>
      <w:pPr>
        <w:pStyle w:val="Compact"/>
        <w:numPr>
          <w:ilvl w:val="0"/>
          <w:numId w:val="1010"/>
        </w:numPr>
      </w:pPr>
      <w:r>
        <w:t xml:space="preserve">Ensure appropriate controls are implemented and maintained</w:t>
      </w:r>
    </w:p>
    <w:p>
      <w:pPr>
        <w:pStyle w:val="Compact"/>
        <w:numPr>
          <w:ilvl w:val="0"/>
          <w:numId w:val="1010"/>
        </w:numPr>
      </w:pPr>
      <w:r>
        <w:t xml:space="preserve">Authorise access to classified information within their domain</w:t>
      </w:r>
    </w:p>
    <w:p>
      <w:pPr>
        <w:pStyle w:val="BlockText"/>
      </w:pPr>
      <w:r>
        <w:rPr>
          <w:b/>
          <w:bCs/>
        </w:rPr>
        <w:t xml:space="preserve">DATA OWNER DEFINITION:</w:t>
      </w:r>
      <w:r>
        <w:t xml:space="preserve"> </w:t>
      </w:r>
      <w:r>
        <w:t xml:space="preserve">Policy doesn’t define who qualifies as a</w:t>
      </w:r>
      <w:r>
        <w:t xml:space="preserve"> </w:t>
      </w:r>
      <w:r>
        <w:t xml:space="preserve">“Data Owner”</w:t>
      </w:r>
      <w:r>
        <w:t xml:space="preserve"> </w:t>
      </w:r>
      <w:r>
        <w:t xml:space="preserve">or how ownership is determined for shared datasets.</w:t>
      </w:r>
    </w:p>
    <w:bookmarkEnd w:id="19"/>
    <w:bookmarkStart w:id="20" w:name="data-custodians-it-department"/>
    <w:p>
      <w:pPr>
        <w:pStyle w:val="Heading3"/>
      </w:pPr>
      <w:r>
        <w:t xml:space="preserve">Data Custodians (IT Department)</w:t>
      </w:r>
    </w:p>
    <w:p>
      <w:pPr>
        <w:pStyle w:val="Compact"/>
        <w:numPr>
          <w:ilvl w:val="0"/>
          <w:numId w:val="1011"/>
        </w:numPr>
      </w:pPr>
      <w:r>
        <w:t xml:space="preserve">Implement technical controls based on classification requirements</w:t>
      </w:r>
    </w:p>
    <w:p>
      <w:pPr>
        <w:pStyle w:val="Compact"/>
        <w:numPr>
          <w:ilvl w:val="0"/>
          <w:numId w:val="1011"/>
        </w:numPr>
      </w:pPr>
      <w:r>
        <w:t xml:space="preserve">Monitor compliance with classification-specific security measures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Manage encryption keys and access control systems</w:t>
      </w:r>
    </w:p>
    <w:p>
      <w:pPr>
        <w:pStyle w:val="Compact"/>
        <w:numPr>
          <w:ilvl w:val="0"/>
          <w:numId w:val="1011"/>
        </w:numPr>
      </w:pPr>
      <w:r>
        <w:t xml:space="preserve">Report classification violations to Data Protection Officer</w:t>
      </w:r>
    </w:p>
    <w:p>
      <w:pPr>
        <w:pStyle w:val="BlockText"/>
      </w:pPr>
      <w:r>
        <w:rPr>
          <w:b/>
          <w:bCs/>
        </w:rPr>
        <w:t xml:space="preserve">ROLE CONFLICT:</w:t>
      </w:r>
      <w:r>
        <w:t xml:space="preserve"> </w:t>
      </w:r>
      <w:r>
        <w:t xml:space="preserve">IT Department designated as custodians but Access Control</w:t>
      </w:r>
      <w:r>
        <w:t xml:space="preserve"> </w:t>
      </w:r>
      <w:r>
        <w:t xml:space="preserve">Policy assigns these responsibilities to Security team.</w:t>
      </w:r>
    </w:p>
    <w:bookmarkEnd w:id="20"/>
    <w:bookmarkStart w:id="21" w:name="all-personnel"/>
    <w:p>
      <w:pPr>
        <w:pStyle w:val="Heading3"/>
      </w:pPr>
      <w:r>
        <w:t xml:space="preserve">All Personnel</w:t>
      </w:r>
    </w:p>
    <w:p>
      <w:pPr>
        <w:pStyle w:val="Compact"/>
        <w:numPr>
          <w:ilvl w:val="0"/>
          <w:numId w:val="1012"/>
        </w:numPr>
      </w:pPr>
      <w:r>
        <w:t xml:space="preserve">Follow classification handling requirements for information they access</w:t>
      </w:r>
    </w:p>
    <w:p>
      <w:pPr>
        <w:pStyle w:val="Compact"/>
        <w:numPr>
          <w:ilvl w:val="0"/>
          <w:numId w:val="1012"/>
        </w:numPr>
      </w:pPr>
      <w:r>
        <w:t xml:space="preserve">Report suspected classification errors or violations</w:t>
      </w:r>
    </w:p>
    <w:p>
      <w:pPr>
        <w:pStyle w:val="Compact"/>
        <w:numPr>
          <w:ilvl w:val="0"/>
          <w:numId w:val="1012"/>
        </w:numPr>
      </w:pPr>
      <w:r>
        <w:t xml:space="preserve">Complete annual data classification training</w:t>
      </w:r>
    </w:p>
    <w:p>
      <w:pPr>
        <w:pStyle w:val="Compact"/>
        <w:numPr>
          <w:ilvl w:val="0"/>
          <w:numId w:val="1012"/>
        </w:numPr>
      </w:pPr>
      <w:r>
        <w:t xml:space="preserve">Apply appropriate classification labels to information they create</w:t>
      </w:r>
    </w:p>
    <w:p>
      <w:pPr>
        <w:pStyle w:val="BlockText"/>
      </w:pPr>
      <w:r>
        <w:rPr>
          <w:b/>
          <w:bCs/>
        </w:rPr>
        <w:t xml:space="preserve">TRAINING FREQUENCY:</w:t>
      </w:r>
      <w:r>
        <w:t xml:space="preserve"> </w:t>
      </w:r>
      <w:r>
        <w:t xml:space="preserve">Annual training requirement conflicts with onboarding</w:t>
      </w:r>
      <w:r>
        <w:t xml:space="preserve"> </w:t>
      </w:r>
      <w:r>
        <w:t xml:space="preserve">requirements in HR policy which mandates immediate training.</w:t>
      </w:r>
    </w:p>
    <w:bookmarkEnd w:id="21"/>
    <w:bookmarkStart w:id="22" w:name="data-protection-officer"/>
    <w:p>
      <w:pPr>
        <w:pStyle w:val="Heading3"/>
      </w:pPr>
      <w:r>
        <w:t xml:space="preserve">Data Protection Officer</w:t>
      </w:r>
    </w:p>
    <w:p>
      <w:pPr>
        <w:pStyle w:val="Compact"/>
        <w:numPr>
          <w:ilvl w:val="0"/>
          <w:numId w:val="1013"/>
        </w:numPr>
      </w:pPr>
      <w:r>
        <w:t xml:space="preserve">Develop and maintain classification standards and procedures</w:t>
      </w:r>
    </w:p>
    <w:p>
      <w:pPr>
        <w:pStyle w:val="Compact"/>
        <w:numPr>
          <w:ilvl w:val="0"/>
          <w:numId w:val="1013"/>
        </w:numPr>
      </w:pPr>
      <w:r>
        <w:t xml:space="preserve">Conduct periodic audits of classification compliance</w:t>
      </w:r>
    </w:p>
    <w:p>
      <w:pPr>
        <w:pStyle w:val="Compact"/>
        <w:numPr>
          <w:ilvl w:val="0"/>
          <w:numId w:val="1013"/>
        </w:numPr>
      </w:pPr>
      <w:r>
        <w:t xml:space="preserve">Investigate classification violations and recommend corrective actions</w:t>
      </w:r>
    </w:p>
    <w:p>
      <w:pPr>
        <w:pStyle w:val="Compact"/>
        <w:numPr>
          <w:ilvl w:val="0"/>
          <w:numId w:val="1013"/>
        </w:numPr>
      </w:pPr>
      <w:r>
        <w:t xml:space="preserve">Coordinate with legal team on regulatory compliance issues</w:t>
      </w:r>
    </w:p>
    <w:bookmarkEnd w:id="22"/>
    <w:bookmarkEnd w:id="23"/>
    <w:bookmarkStart w:id="28" w:name="control-requirements-by-classification"/>
    <w:p>
      <w:pPr>
        <w:pStyle w:val="Heading2"/>
      </w:pPr>
      <w:r>
        <w:t xml:space="preserve">Control Requirements by Classification</w:t>
      </w:r>
    </w:p>
    <w:bookmarkStart w:id="24" w:name="public-information"/>
    <w:p>
      <w:pPr>
        <w:pStyle w:val="Heading3"/>
      </w:pPr>
      <w:r>
        <w:t xml:space="preserve">PUBLIC Information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Standard business backup systems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No specific restrictions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Standard email and file transfer acceptable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Standard deletion procedures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business requirements</w:t>
      </w:r>
    </w:p>
    <w:bookmarkEnd w:id="24"/>
    <w:bookmarkStart w:id="25" w:name="internal-information"/>
    <w:p>
      <w:pPr>
        <w:pStyle w:val="Heading3"/>
      </w:pPr>
      <w:r>
        <w:t xml:space="preserve">INTERNAL Information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Tessera approved systems only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Valid Tessera credentials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email or secure file transfer systems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Secure deletion with verification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Minimum 3 years, maximum 7 years</w:t>
      </w:r>
    </w:p>
    <w:p>
      <w:pPr>
        <w:pStyle w:val="BlockText"/>
      </w:pPr>
      <w:r>
        <w:rPr>
          <w:b/>
          <w:bCs/>
        </w:rPr>
        <w:t xml:space="preserve">RETENTION CONFLICT:</w:t>
      </w:r>
      <w:r>
        <w:t xml:space="preserve"> </w:t>
      </w:r>
      <w:r>
        <w:t xml:space="preserve">Retention periods conflict with Data Retention Policy</w:t>
      </w:r>
      <w:r>
        <w:t xml:space="preserve"> </w:t>
      </w:r>
      <w:r>
        <w:t xml:space="preserve">which specifies different timeframes for internal documents.</w:t>
      </w:r>
    </w:p>
    <w:bookmarkEnd w:id="25"/>
    <w:bookmarkStart w:id="26" w:name="confidential-information"/>
    <w:p>
      <w:pPr>
        <w:pStyle w:val="Heading3"/>
      </w:pPr>
      <w:r>
        <w:t xml:space="preserve">CONFIDENTIAL Information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Approved systems with encryption at rest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Role-based access with manager approval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End-to-end encryption required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Certified secure destruction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legal and regulatory requirements</w:t>
      </w:r>
    </w:p>
    <w:p>
      <w:pPr>
        <w:pStyle w:val="BlockText"/>
      </w:pPr>
      <w:r>
        <w:rPr>
          <w:b/>
          <w:bCs/>
        </w:rPr>
        <w:t xml:space="preserve">VAGUE REQUIREMENTS:</w:t>
      </w:r>
      <w:r>
        <w:t xml:space="preserve"> </w:t>
      </w:r>
      <w:r>
        <w:t xml:space="preserve">“Approved systems”</w:t>
      </w:r>
      <w:r>
        <w:t xml:space="preserve"> </w:t>
      </w:r>
      <w:r>
        <w:t xml:space="preserve">not defined - could refer to any</w:t>
      </w:r>
      <w:r>
        <w:t xml:space="preserve"> </w:t>
      </w:r>
      <w:r>
        <w:t xml:space="preserve">system approved by any authority.</w:t>
      </w:r>
    </w:p>
    <w:bookmarkEnd w:id="26"/>
    <w:bookmarkStart w:id="27" w:name="restricted-information"/>
    <w:p>
      <w:pPr>
        <w:pStyle w:val="Heading3"/>
      </w:pPr>
      <w:r>
        <w:t xml:space="preserve">RESTRICTED Information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Segregated systems with advanced encryption and key management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Multi-factor authentication and need-to-know basis only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channels with recipient verification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Witnessed secure destruction with certificate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Explicit approval required for retention beyond minimum periods</w:t>
      </w:r>
    </w:p>
    <w:p>
      <w:pPr>
        <w:pStyle w:val="BlockText"/>
      </w:pPr>
      <w:r>
        <w:rPr>
          <w:b/>
          <w:bCs/>
        </w:rPr>
        <w:t xml:space="preserve">KEY MANAGEMENT GAP: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“key management”</w:t>
      </w:r>
      <w:r>
        <w:t xml:space="preserve"> </w:t>
      </w:r>
      <w:r>
        <w:t xml:space="preserve">but no link to key</w:t>
      </w:r>
      <w:r>
        <w:t xml:space="preserve"> </w:t>
      </w:r>
      <w:r>
        <w:t xml:space="preserve">management procedures or systems.</w:t>
      </w:r>
    </w:p>
    <w:bookmarkEnd w:id="27"/>
    <w:bookmarkEnd w:id="28"/>
    <w:bookmarkStart w:id="32" w:name="classification-procedures"/>
    <w:p>
      <w:pPr>
        <w:pStyle w:val="Heading2"/>
      </w:pPr>
      <w:r>
        <w:t xml:space="preserve">Classification Procedures</w:t>
      </w:r>
    </w:p>
    <w:bookmarkStart w:id="29" w:name="initial-classification"/>
    <w:p>
      <w:pPr>
        <w:pStyle w:val="Heading3"/>
      </w:pPr>
      <w:r>
        <w:t xml:space="preserve">Initial Classification</w:t>
      </w:r>
    </w:p>
    <w:p>
      <w:pPr>
        <w:pStyle w:val="Compact"/>
        <w:numPr>
          <w:ilvl w:val="0"/>
          <w:numId w:val="1018"/>
        </w:numPr>
      </w:pPr>
      <w:r>
        <w:t xml:space="preserve">Data creator or acquirer performs initial sensitivity assessment</w:t>
      </w:r>
    </w:p>
    <w:p>
      <w:pPr>
        <w:pStyle w:val="Compact"/>
        <w:numPr>
          <w:ilvl w:val="0"/>
          <w:numId w:val="1018"/>
        </w:numPr>
      </w:pPr>
      <w:r>
        <w:t xml:space="preserve">Apply classification using decision tree (see Appendix A)</w:t>
      </w:r>
    </w:p>
    <w:p>
      <w:pPr>
        <w:pStyle w:val="Compact"/>
        <w:numPr>
          <w:ilvl w:val="0"/>
          <w:numId w:val="1018"/>
        </w:numPr>
      </w:pPr>
      <w:r>
        <w:t xml:space="preserve">Consult with Data Owner if classification unclear</w:t>
      </w:r>
    </w:p>
    <w:p>
      <w:pPr>
        <w:pStyle w:val="Compact"/>
        <w:numPr>
          <w:ilvl w:val="0"/>
          <w:numId w:val="1018"/>
        </w:numPr>
      </w:pPr>
      <w:r>
        <w:t xml:space="preserve">Document classification decision and rationale</w:t>
      </w:r>
    </w:p>
    <w:p>
      <w:pPr>
        <w:pStyle w:val="Compact"/>
        <w:numPr>
          <w:ilvl w:val="0"/>
          <w:numId w:val="1018"/>
        </w:numPr>
      </w:pPr>
      <w:r>
        <w:t xml:space="preserve">Apply appropriate labels and controls</w:t>
      </w:r>
    </w:p>
    <w:p>
      <w:pPr>
        <w:pStyle w:val="BlockText"/>
      </w:pPr>
      <w:r>
        <w:rPr>
          <w:b/>
          <w:bCs/>
        </w:rPr>
        <w:t xml:space="preserve">MISSING APPENDIX: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“Appendix A”</w:t>
      </w:r>
      <w:r>
        <w:t xml:space="preserve"> </w:t>
      </w:r>
      <w:r>
        <w:t xml:space="preserve">decision tree but no appendix included in policy.</w:t>
      </w:r>
    </w:p>
    <w:bookmarkEnd w:id="29"/>
    <w:bookmarkStart w:id="30" w:name="periodic-review"/>
    <w:p>
      <w:pPr>
        <w:pStyle w:val="Heading3"/>
      </w:pPr>
      <w:r>
        <w:t xml:space="preserve">Periodic Review</w:t>
      </w:r>
    </w:p>
    <w:p>
      <w:pPr>
        <w:pStyle w:val="Compact"/>
        <w:numPr>
          <w:ilvl w:val="0"/>
          <w:numId w:val="1019"/>
        </w:numPr>
      </w:pPr>
      <w:r>
        <w:t xml:space="preserve">Data Owners conduct annual review of all classified information</w:t>
      </w:r>
    </w:p>
    <w:p>
      <w:pPr>
        <w:pStyle w:val="Compact"/>
        <w:numPr>
          <w:ilvl w:val="0"/>
          <w:numId w:val="1019"/>
        </w:numPr>
      </w:pPr>
      <w:r>
        <w:t xml:space="preserve">Reassess sensitivity based on current business context</w:t>
      </w:r>
    </w:p>
    <w:p>
      <w:pPr>
        <w:pStyle w:val="Compact"/>
        <w:numPr>
          <w:ilvl w:val="0"/>
          <w:numId w:val="1019"/>
        </w:numPr>
      </w:pPr>
      <w:r>
        <w:t xml:space="preserve">Update classification if required and document changes</w:t>
      </w:r>
    </w:p>
    <w:p>
      <w:pPr>
        <w:pStyle w:val="Compact"/>
        <w:numPr>
          <w:ilvl w:val="0"/>
          <w:numId w:val="1019"/>
        </w:numPr>
      </w:pPr>
      <w:r>
        <w:t xml:space="preserve">Notify IT Department of any control requirement changes</w:t>
      </w:r>
    </w:p>
    <w:p>
      <w:pPr>
        <w:pStyle w:val="Compact"/>
        <w:numPr>
          <w:ilvl w:val="0"/>
          <w:numId w:val="1019"/>
        </w:numPr>
      </w:pPr>
      <w:r>
        <w:t xml:space="preserve">Update labels and access controls as needed</w:t>
      </w:r>
    </w:p>
    <w:p>
      <w:pPr>
        <w:pStyle w:val="BlockText"/>
      </w:pPr>
      <w:r>
        <w:rPr>
          <w:b/>
          <w:bCs/>
        </w:rPr>
        <w:t xml:space="preserve">REVIEW SCHEDULING:</w:t>
      </w:r>
      <w:r>
        <w:t xml:space="preserve"> </w:t>
      </w:r>
      <w:r>
        <w:t xml:space="preserve">Annual review may be insufficient for rapidly changing</w:t>
      </w:r>
      <w:r>
        <w:t xml:space="preserve"> </w:t>
      </w:r>
      <w:r>
        <w:t xml:space="preserve">data sensitivity in technology environments.</w:t>
      </w:r>
    </w:p>
    <w:bookmarkEnd w:id="30"/>
    <w:bookmarkStart w:id="31" w:name="classification-changes"/>
    <w:p>
      <w:pPr>
        <w:pStyle w:val="Heading3"/>
      </w:pPr>
      <w:r>
        <w:t xml:space="preserve">Classification Changes</w:t>
      </w:r>
    </w:p>
    <w:p>
      <w:pPr>
        <w:pStyle w:val="Compact"/>
        <w:numPr>
          <w:ilvl w:val="0"/>
          <w:numId w:val="1020"/>
        </w:numPr>
      </w:pPr>
      <w:r>
        <w:t xml:space="preserve">Only Data Owners may authorise classification changes</w:t>
      </w:r>
    </w:p>
    <w:p>
      <w:pPr>
        <w:pStyle w:val="Compact"/>
        <w:numPr>
          <w:ilvl w:val="0"/>
          <w:numId w:val="1020"/>
        </w:numPr>
      </w:pPr>
      <w:r>
        <w:t xml:space="preserve">Changes must be documented with business justification</w:t>
      </w:r>
    </w:p>
    <w:p>
      <w:pPr>
        <w:pStyle w:val="Compact"/>
        <w:numPr>
          <w:ilvl w:val="0"/>
          <w:numId w:val="1020"/>
        </w:numPr>
      </w:pPr>
      <w:r>
        <w:t xml:space="preserve">Upgraded classifications require immediate control implementation</w:t>
      </w:r>
    </w:p>
    <w:p>
      <w:pPr>
        <w:pStyle w:val="Compact"/>
        <w:numPr>
          <w:ilvl w:val="0"/>
          <w:numId w:val="1020"/>
        </w:numPr>
      </w:pPr>
      <w:r>
        <w:t xml:space="preserve">Downgraded classifications require 30-day waiting period</w:t>
      </w:r>
    </w:p>
    <w:p>
      <w:pPr>
        <w:pStyle w:val="Compact"/>
        <w:numPr>
          <w:ilvl w:val="0"/>
          <w:numId w:val="1020"/>
        </w:numPr>
      </w:pPr>
      <w:r>
        <w:t xml:space="preserve">All changes subject to Data Protection Officer approval</w:t>
      </w:r>
    </w:p>
    <w:p>
      <w:pPr>
        <w:pStyle w:val="BlockText"/>
      </w:pPr>
      <w:r>
        <w:rPr>
          <w:b/>
          <w:bCs/>
        </w:rPr>
        <w:t xml:space="preserve">WAITING PERIOD RATIONALE:</w:t>
      </w:r>
      <w:r>
        <w:t xml:space="preserve"> </w:t>
      </w:r>
      <w:r>
        <w:t xml:space="preserve">30-day waiting period for downgrades not justified</w:t>
      </w:r>
      <w:r>
        <w:t xml:space="preserve"> </w:t>
      </w:r>
      <w:r>
        <w:t xml:space="preserve">and may impact business operations unnecessarily.</w:t>
      </w:r>
    </w:p>
    <w:bookmarkEnd w:id="31"/>
    <w:bookmarkEnd w:id="32"/>
    <w:bookmarkStart w:id="37" w:name="handling-requirements"/>
    <w:p>
      <w:pPr>
        <w:pStyle w:val="Heading2"/>
      </w:pPr>
      <w:r>
        <w:t xml:space="preserve">Handling Requirements</w:t>
      </w:r>
    </w:p>
    <w:bookmarkStart w:id="33" w:name="labelling-standards"/>
    <w:p>
      <w:pPr>
        <w:pStyle w:val="Heading3"/>
      </w:pPr>
      <w:r>
        <w:t xml:space="preserve">Labelling Standards</w:t>
      </w:r>
    </w:p>
    <w:p>
      <w:pPr>
        <w:pStyle w:val="Compact"/>
        <w:numPr>
          <w:ilvl w:val="0"/>
          <w:numId w:val="1021"/>
        </w:numPr>
      </w:pPr>
      <w:r>
        <w:t xml:space="preserve">Physical documents must display classification marking in header and footer</w:t>
      </w:r>
    </w:p>
    <w:p>
      <w:pPr>
        <w:pStyle w:val="Compact"/>
        <w:numPr>
          <w:ilvl w:val="0"/>
          <w:numId w:val="1021"/>
        </w:numPr>
      </w:pPr>
      <w:r>
        <w:t xml:space="preserve">Electronic files must include classification in filename or metadata</w:t>
      </w:r>
    </w:p>
    <w:p>
      <w:pPr>
        <w:pStyle w:val="Compact"/>
        <w:numPr>
          <w:ilvl w:val="0"/>
          <w:numId w:val="1021"/>
        </w:numPr>
      </w:pPr>
      <w:r>
        <w:t xml:space="preserve">Email containing classified information must include classification in subject line</w:t>
      </w:r>
    </w:p>
    <w:p>
      <w:pPr>
        <w:pStyle w:val="Compact"/>
        <w:numPr>
          <w:ilvl w:val="0"/>
          <w:numId w:val="1021"/>
        </w:numPr>
      </w:pPr>
      <w:r>
        <w:t xml:space="preserve">Presentations must display classification on each slide</w:t>
      </w:r>
    </w:p>
    <w:p>
      <w:pPr>
        <w:pStyle w:val="BlockText"/>
      </w:pPr>
      <w:r>
        <w:rPr>
          <w:b/>
          <w:bCs/>
        </w:rPr>
        <w:t xml:space="preserve">METADATA INCONSISTENCY:</w:t>
      </w:r>
      <w:r>
        <w:t xml:space="preserve"> </w:t>
      </w:r>
      <w:r>
        <w:t xml:space="preserve">Some systems don’t support metadata classification,</w:t>
      </w:r>
      <w:r>
        <w:t xml:space="preserve"> </w:t>
      </w:r>
      <w:r>
        <w:t xml:space="preserve">creating compliance gaps.</w:t>
      </w:r>
    </w:p>
    <w:bookmarkEnd w:id="33"/>
    <w:bookmarkStart w:id="34" w:name="storage-requirements"/>
    <w:p>
      <w:pPr>
        <w:pStyle w:val="Heading3"/>
      </w:pPr>
      <w:r>
        <w:t xml:space="preserve">Storage Requirements</w:t>
      </w:r>
    </w:p>
    <w:p>
      <w:pPr>
        <w:pStyle w:val="Compact"/>
        <w:numPr>
          <w:ilvl w:val="0"/>
          <w:numId w:val="1022"/>
        </w:numPr>
      </w:pPr>
      <w:r>
        <w:t xml:space="preserve">CONFIDENTIAL and RESTRICTED data must be stored in approved secure locations</w:t>
      </w:r>
    </w:p>
    <w:p>
      <w:pPr>
        <w:pStyle w:val="Compact"/>
        <w:numPr>
          <w:ilvl w:val="0"/>
          <w:numId w:val="1022"/>
        </w:numPr>
      </w:pPr>
      <w:r>
        <w:t xml:space="preserve">Personal devices may not store CONFIDENTIAL or RESTRICTED information</w:t>
      </w:r>
    </w:p>
    <w:p>
      <w:pPr>
        <w:pStyle w:val="Compact"/>
        <w:numPr>
          <w:ilvl w:val="0"/>
          <w:numId w:val="1022"/>
        </w:numPr>
      </w:pPr>
      <w:r>
        <w:t xml:space="preserve">Cloud storage requires pre-approval for INTERNAL and above classifications</w:t>
      </w:r>
    </w:p>
    <w:p>
      <w:pPr>
        <w:pStyle w:val="Compact"/>
        <w:numPr>
          <w:ilvl w:val="0"/>
          <w:numId w:val="1022"/>
        </w:numPr>
      </w:pPr>
      <w:r>
        <w:t xml:space="preserve">Backup systems must maintain equivalent classification protection</w:t>
      </w:r>
    </w:p>
    <w:p>
      <w:pPr>
        <w:pStyle w:val="BlockText"/>
      </w:pPr>
      <w:r>
        <w:rPr>
          <w:b/>
          <w:bCs/>
        </w:rPr>
        <w:t xml:space="preserve">PERSONAL DEVICE CONFLICT:</w:t>
      </w:r>
      <w:r>
        <w:t xml:space="preserve"> </w:t>
      </w:r>
      <w:r>
        <w:t xml:space="preserve">Prohibition on personal devices conflicts with</w:t>
      </w:r>
      <w:r>
        <w:t xml:space="preserve"> </w:t>
      </w:r>
      <w:r>
        <w:t xml:space="preserve">BYOD policy POL-BYOD-001 which allows managed personal device access.</w:t>
      </w:r>
    </w:p>
    <w:bookmarkEnd w:id="34"/>
    <w:bookmarkStart w:id="35" w:name="transmission-requirements"/>
    <w:p>
      <w:pPr>
        <w:pStyle w:val="Heading3"/>
      </w:pPr>
      <w:r>
        <w:t xml:space="preserve">Transmission Requirements</w:t>
      </w:r>
    </w:p>
    <w:p>
      <w:pPr>
        <w:pStyle w:val="Compact"/>
        <w:numPr>
          <w:ilvl w:val="0"/>
          <w:numId w:val="1023"/>
        </w:numPr>
      </w:pPr>
      <w:r>
        <w:t xml:space="preserve">PUBLIC information may use any transmission method</w:t>
      </w:r>
    </w:p>
    <w:p>
      <w:pPr>
        <w:pStyle w:val="Compact"/>
        <w:numPr>
          <w:ilvl w:val="0"/>
          <w:numId w:val="1023"/>
        </w:numPr>
      </w:pPr>
      <w:r>
        <w:t xml:space="preserve">INTERNAL information requires encrypted email or secure file transfer</w:t>
      </w:r>
    </w:p>
    <w:p>
      <w:pPr>
        <w:pStyle w:val="Compact"/>
        <w:numPr>
          <w:ilvl w:val="0"/>
          <w:numId w:val="1023"/>
        </w:numPr>
      </w:pPr>
      <w:r>
        <w:t xml:space="preserve">CONFIDENTIAL information requires end-to-end encryption</w:t>
      </w:r>
    </w:p>
    <w:p>
      <w:pPr>
        <w:pStyle w:val="Compact"/>
        <w:numPr>
          <w:ilvl w:val="0"/>
          <w:numId w:val="1023"/>
        </w:numPr>
      </w:pPr>
      <w:r>
        <w:t xml:space="preserve">RESTRICTED information requires recipient identity verification</w:t>
      </w:r>
    </w:p>
    <w:p>
      <w:pPr>
        <w:pStyle w:val="BlockText"/>
      </w:pPr>
      <w:r>
        <w:rPr>
          <w:b/>
          <w:bCs/>
        </w:rPr>
        <w:t xml:space="preserve">ENCRYPTION SPECIFICATIONS:</w:t>
      </w:r>
      <w:r>
        <w:t xml:space="preserve"> </w:t>
      </w:r>
      <w:r>
        <w:t xml:space="preserve">Policy specifies encryption requirement but</w:t>
      </w:r>
      <w:r>
        <w:t xml:space="preserve"> </w:t>
      </w:r>
      <w:r>
        <w:t xml:space="preserve">doesn’t define acceptable encryption standards or key lengths.</w:t>
      </w:r>
    </w:p>
    <w:bookmarkEnd w:id="35"/>
    <w:bookmarkStart w:id="36" w:name="access-controls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4"/>
        </w:numPr>
      </w:pPr>
      <w:r>
        <w:t xml:space="preserve">Access granted on need-to-know basis determined by Data Owner</w:t>
      </w:r>
    </w:p>
    <w:p>
      <w:pPr>
        <w:pStyle w:val="Compact"/>
        <w:numPr>
          <w:ilvl w:val="0"/>
          <w:numId w:val="1024"/>
        </w:numPr>
      </w:pPr>
      <w:r>
        <w:t xml:space="preserve">CONFIDENTIAL access requires manager approval</w:t>
      </w:r>
    </w:p>
    <w:p>
      <w:pPr>
        <w:pStyle w:val="Compact"/>
        <w:numPr>
          <w:ilvl w:val="0"/>
          <w:numId w:val="1024"/>
        </w:numPr>
      </w:pPr>
      <w:r>
        <w:t xml:space="preserve">RESTRICTED access requires Data Protection Officer approval</w:t>
      </w:r>
    </w:p>
    <w:p>
      <w:pPr>
        <w:pStyle w:val="Compact"/>
        <w:numPr>
          <w:ilvl w:val="0"/>
          <w:numId w:val="1024"/>
        </w:numPr>
      </w:pPr>
      <w:r>
        <w:t xml:space="preserve">Guest and contractor access requires additional approval levels</w:t>
      </w:r>
    </w:p>
    <w:p>
      <w:pPr>
        <w:pStyle w:val="BlockText"/>
      </w:pPr>
      <w:r>
        <w:rPr>
          <w:b/>
          <w:bCs/>
        </w:rPr>
        <w:t xml:space="preserve">APPROVAL HIERARCHY CONFUSION:</w:t>
      </w:r>
      <w:r>
        <w:t xml:space="preserve"> </w:t>
      </w:r>
      <w:r>
        <w:t xml:space="preserve">Multiple approval authorities with unclear</w:t>
      </w:r>
      <w:r>
        <w:t xml:space="preserve"> </w:t>
      </w:r>
      <w:r>
        <w:t xml:space="preserve">precedence and no escalation procedures defined.</w:t>
      </w:r>
    </w:p>
    <w:bookmarkEnd w:id="36"/>
    <w:bookmarkEnd w:id="37"/>
    <w:bookmarkStart w:id="41" w:name="compliance-and-enforcement"/>
    <w:p>
      <w:pPr>
        <w:pStyle w:val="Heading2"/>
      </w:pPr>
      <w:r>
        <w:t xml:space="preserve">Compliance and Enforcement</w:t>
      </w:r>
    </w:p>
    <w:bookmarkStart w:id="38" w:name="monitoring"/>
    <w:p>
      <w:pPr>
        <w:pStyle w:val="Heading3"/>
      </w:pPr>
      <w:r>
        <w:t xml:space="preserve">Monitoring</w:t>
      </w:r>
    </w:p>
    <w:p>
      <w:pPr>
        <w:pStyle w:val="Compact"/>
        <w:numPr>
          <w:ilvl w:val="0"/>
          <w:numId w:val="1025"/>
        </w:numPr>
      </w:pPr>
      <w:r>
        <w:t xml:space="preserve">Automated tools monitor for classification violations</w:t>
      </w:r>
    </w:p>
    <w:p>
      <w:pPr>
        <w:pStyle w:val="Compact"/>
        <w:numPr>
          <w:ilvl w:val="0"/>
          <w:numId w:val="1025"/>
        </w:numPr>
      </w:pPr>
      <w:r>
        <w:t xml:space="preserve">Regular audits conducted by Internal Audit team</w:t>
      </w:r>
    </w:p>
    <w:p>
      <w:pPr>
        <w:pStyle w:val="Compact"/>
        <w:numPr>
          <w:ilvl w:val="0"/>
          <w:numId w:val="1025"/>
        </w:numPr>
      </w:pPr>
      <w:r>
        <w:t xml:space="preserve">Data Loss Prevention (DLP) systems enforce transmission controls</w:t>
      </w:r>
    </w:p>
    <w:p>
      <w:pPr>
        <w:pStyle w:val="Compact"/>
        <w:numPr>
          <w:ilvl w:val="0"/>
          <w:numId w:val="1025"/>
        </w:numPr>
      </w:pPr>
      <w:r>
        <w:t xml:space="preserve">Access logging for CONFIDENTIAL and RESTRICTED information</w:t>
      </w:r>
    </w:p>
    <w:p>
      <w:pPr>
        <w:pStyle w:val="BlockText"/>
      </w:pPr>
      <w:r>
        <w:rPr>
          <w:b/>
          <w:bCs/>
        </w:rPr>
        <w:t xml:space="preserve">DLP IMPLEMENTATION:</w:t>
      </w:r>
      <w:r>
        <w:t xml:space="preserve"> </w:t>
      </w:r>
      <w:r>
        <w:t xml:space="preserve">References DLP systems but current technology inventory</w:t>
      </w:r>
      <w:r>
        <w:t xml:space="preserve"> </w:t>
      </w:r>
      <w:r>
        <w:t xml:space="preserve">shows no DLP solution deployed.</w:t>
      </w:r>
    </w:p>
    <w:bookmarkEnd w:id="38"/>
    <w:bookmarkStart w:id="39" w:name="violations"/>
    <w:p>
      <w:pPr>
        <w:pStyle w:val="Heading3"/>
      </w:pPr>
      <w:r>
        <w:t xml:space="preserve">Violations</w:t>
      </w:r>
    </w:p>
    <w:p>
      <w:pPr>
        <w:pStyle w:val="Compact"/>
        <w:numPr>
          <w:ilvl w:val="0"/>
          <w:numId w:val="1026"/>
        </w:numPr>
      </w:pPr>
      <w:r>
        <w:t xml:space="preserve">Minor violations: Corrective training and documentation</w:t>
      </w:r>
    </w:p>
    <w:p>
      <w:pPr>
        <w:pStyle w:val="Compact"/>
        <w:numPr>
          <w:ilvl w:val="0"/>
          <w:numId w:val="1026"/>
        </w:numPr>
      </w:pPr>
      <w:r>
        <w:t xml:space="preserve">Major violations: Disciplinary action and security review</w:t>
      </w:r>
    </w:p>
    <w:p>
      <w:pPr>
        <w:pStyle w:val="Compact"/>
        <w:numPr>
          <w:ilvl w:val="0"/>
          <w:numId w:val="1026"/>
        </w:numPr>
      </w:pPr>
      <w:r>
        <w:t xml:space="preserve">Repeated violations: Access suspension and formal investigation</w:t>
      </w:r>
    </w:p>
    <w:p>
      <w:pPr>
        <w:pStyle w:val="Compact"/>
        <w:numPr>
          <w:ilvl w:val="0"/>
          <w:numId w:val="1026"/>
        </w:numPr>
      </w:pPr>
      <w:r>
        <w:t xml:space="preserve">Criminal activity: Law enforcement notification</w:t>
      </w:r>
    </w:p>
    <w:p>
      <w:pPr>
        <w:pStyle w:val="BlockText"/>
      </w:pPr>
      <w:r>
        <w:rPr>
          <w:b/>
          <w:bCs/>
        </w:rPr>
        <w:t xml:space="preserve">VIOLATION DEFINITIONS:</w:t>
      </w:r>
      <w:r>
        <w:t xml:space="preserve"> </w:t>
      </w:r>
      <w:r>
        <w:t xml:space="preserve">No clear criteria distinguish</w:t>
      </w:r>
      <w:r>
        <w:t xml:space="preserve"> </w:t>
      </w:r>
      <w:r>
        <w:t xml:space="preserve">“minor”</w:t>
      </w:r>
      <w:r>
        <w:t xml:space="preserve"> </w:t>
      </w:r>
      <w:r>
        <w:t xml:space="preserve">from</w:t>
      </w:r>
      <w:r>
        <w:t xml:space="preserve"> </w:t>
      </w:r>
      <w:r>
        <w:t xml:space="preserve">“major”</w:t>
      </w:r>
      <w:r>
        <w:t xml:space="preserve"> </w:t>
      </w:r>
      <w:r>
        <w:t xml:space="preserve">violations.</w:t>
      </w:r>
    </w:p>
    <w:bookmarkEnd w:id="39"/>
    <w:bookmarkStart w:id="40" w:name="exceptions"/>
    <w:p>
      <w:pPr>
        <w:pStyle w:val="Heading3"/>
      </w:pPr>
      <w:r>
        <w:t xml:space="preserve">Exceptions</w:t>
      </w:r>
    </w:p>
    <w:p>
      <w:pPr>
        <w:pStyle w:val="Compact"/>
        <w:numPr>
          <w:ilvl w:val="0"/>
          <w:numId w:val="1027"/>
        </w:numPr>
      </w:pPr>
      <w:r>
        <w:t xml:space="preserve">Temporary exceptions may be granted by Data Protection Officer</w:t>
      </w:r>
    </w:p>
    <w:p>
      <w:pPr>
        <w:pStyle w:val="Compact"/>
        <w:numPr>
          <w:ilvl w:val="0"/>
          <w:numId w:val="1027"/>
        </w:numPr>
      </w:pPr>
      <w:r>
        <w:t xml:space="preserve">Emergency access procedures override normal controls</w:t>
      </w:r>
    </w:p>
    <w:p>
      <w:pPr>
        <w:pStyle w:val="Compact"/>
        <w:numPr>
          <w:ilvl w:val="0"/>
          <w:numId w:val="1027"/>
        </w:numPr>
      </w:pPr>
      <w:r>
        <w:t xml:space="preserve">Legal discovery requirements supersede classification restrictions</w:t>
      </w:r>
    </w:p>
    <w:p>
      <w:pPr>
        <w:pStyle w:val="Compact"/>
        <w:numPr>
          <w:ilvl w:val="0"/>
          <w:numId w:val="1027"/>
        </w:numPr>
      </w:pPr>
      <w:r>
        <w:t xml:space="preserve">Regulatory investigations receive full cooperation</w:t>
      </w:r>
    </w:p>
    <w:p>
      <w:pPr>
        <w:pStyle w:val="BlockText"/>
      </w:pPr>
      <w:r>
        <w:rPr>
          <w:b/>
          <w:bCs/>
        </w:rPr>
        <w:t xml:space="preserve">EMERGENCY ACCESS:</w:t>
      </w:r>
      <w:r>
        <w:t xml:space="preserve"> </w:t>
      </w:r>
      <w:r>
        <w:t xml:space="preserve">Emergency access procedures referenced but not defined elsewhere in policy.</w:t>
      </w:r>
    </w:p>
    <w:bookmarkEnd w:id="40"/>
    <w:bookmarkEnd w:id="41"/>
    <w:bookmarkStart w:id="45" w:name="integration-with-other-policies"/>
    <w:p>
      <w:pPr>
        <w:pStyle w:val="Heading2"/>
      </w:pPr>
      <w:r>
        <w:t xml:space="preserve">Integration with Other Policies</w:t>
      </w:r>
    </w:p>
    <w:bookmarkStart w:id="42" w:name="access-control-policy"/>
    <w:p>
      <w:pPr>
        <w:pStyle w:val="Heading3"/>
      </w:pPr>
      <w:r>
        <w:t xml:space="preserve">Access Control Policy</w:t>
      </w:r>
    </w:p>
    <w:p>
      <w:pPr>
        <w:pStyle w:val="Compact"/>
        <w:numPr>
          <w:ilvl w:val="0"/>
          <w:numId w:val="1028"/>
        </w:numPr>
      </w:pPr>
      <w:r>
        <w:t xml:space="preserve">Classification levels inform RBAC implementation</w:t>
      </w:r>
    </w:p>
    <w:p>
      <w:pPr>
        <w:pStyle w:val="Compact"/>
        <w:numPr>
          <w:ilvl w:val="0"/>
          <w:numId w:val="1028"/>
        </w:numPr>
      </w:pPr>
      <w:r>
        <w:t xml:space="preserve">Multi-factor authentication requirements align with RESTRICTED data access</w:t>
      </w:r>
    </w:p>
    <w:p>
      <w:pPr>
        <w:pStyle w:val="Compact"/>
        <w:numPr>
          <w:ilvl w:val="0"/>
          <w:numId w:val="1028"/>
        </w:numPr>
      </w:pPr>
      <w:r>
        <w:t xml:space="preserve">Session timeout requirements vary by classification level</w:t>
      </w:r>
    </w:p>
    <w:p>
      <w:pPr>
        <w:pStyle w:val="BlockText"/>
      </w:pPr>
      <w:r>
        <w:rPr>
          <w:b/>
          <w:bCs/>
        </w:rPr>
        <w:t xml:space="preserve">TIMEOUT INCONSISTENCY:</w:t>
      </w:r>
      <w:r>
        <w:t xml:space="preserve"> </w:t>
      </w:r>
      <w:r>
        <w:t xml:space="preserve">Session timeout</w:t>
      </w:r>
      <w:r>
        <w:t xml:space="preserve"> </w:t>
      </w:r>
      <w:r>
        <w:t xml:space="preserve">“varies by classification”</w:t>
      </w:r>
      <w:r>
        <w:t xml:space="preserve"> </w:t>
      </w:r>
      <w:r>
        <w:t xml:space="preserve">but</w:t>
      </w:r>
      <w:r>
        <w:t xml:space="preserve"> </w:t>
      </w:r>
      <w:r>
        <w:t xml:space="preserve">specific timeouts not defined here or in Access Control Policy.</w:t>
      </w:r>
    </w:p>
    <w:bookmarkEnd w:id="42"/>
    <w:bookmarkStart w:id="43" w:name="incident-response-policy"/>
    <w:p>
      <w:pPr>
        <w:pStyle w:val="Heading3"/>
      </w:pPr>
      <w:r>
        <w:t xml:space="preserve">Incident Response Policy</w:t>
      </w:r>
    </w:p>
    <w:p>
      <w:pPr>
        <w:pStyle w:val="Compact"/>
        <w:numPr>
          <w:ilvl w:val="0"/>
          <w:numId w:val="1029"/>
        </w:numPr>
      </w:pPr>
      <w:r>
        <w:t xml:space="preserve">Classification level determines incident severity assessment</w:t>
      </w:r>
    </w:p>
    <w:p>
      <w:pPr>
        <w:pStyle w:val="Compact"/>
        <w:numPr>
          <w:ilvl w:val="0"/>
          <w:numId w:val="1029"/>
        </w:numPr>
      </w:pPr>
      <w:r>
        <w:t xml:space="preserve">Data breach notification requirements based on affected classification</w:t>
      </w:r>
    </w:p>
    <w:p>
      <w:pPr>
        <w:pStyle w:val="Compact"/>
        <w:numPr>
          <w:ilvl w:val="0"/>
          <w:numId w:val="1029"/>
        </w:numPr>
      </w:pPr>
      <w:r>
        <w:t xml:space="preserve">Recovery priorities consider data classification impact</w:t>
      </w:r>
    </w:p>
    <w:bookmarkEnd w:id="43"/>
    <w:bookmarkStart w:id="44" w:name="data-retention-policy"/>
    <w:p>
      <w:pPr>
        <w:pStyle w:val="Heading3"/>
      </w:pPr>
      <w:r>
        <w:t xml:space="preserve">Data Retention Policy</w:t>
      </w:r>
    </w:p>
    <w:p>
      <w:pPr>
        <w:pStyle w:val="Compact"/>
        <w:numPr>
          <w:ilvl w:val="0"/>
          <w:numId w:val="1030"/>
        </w:numPr>
      </w:pPr>
      <w:r>
        <w:t xml:space="preserve">Retention periods may vary by classification level</w:t>
      </w:r>
    </w:p>
    <w:p>
      <w:pPr>
        <w:pStyle w:val="Compact"/>
        <w:numPr>
          <w:ilvl w:val="0"/>
          <w:numId w:val="1030"/>
        </w:numPr>
      </w:pPr>
      <w:r>
        <w:t xml:space="preserve">Secure disposal requirements aligned with classification controls</w:t>
      </w:r>
    </w:p>
    <w:p>
      <w:pPr>
        <w:pStyle w:val="Compact"/>
        <w:numPr>
          <w:ilvl w:val="0"/>
          <w:numId w:val="1030"/>
        </w:numPr>
      </w:pPr>
      <w:r>
        <w:t xml:space="preserve">Legal hold procedures consider classification requirements</w:t>
      </w:r>
    </w:p>
    <w:p>
      <w:pPr>
        <w:pStyle w:val="BlockText"/>
      </w:pPr>
      <w:r>
        <w:rPr>
          <w:b/>
          <w:bCs/>
        </w:rPr>
        <w:t xml:space="preserve">POLICY DEPENDENCY:</w:t>
      </w:r>
      <w:r>
        <w:t xml:space="preserve"> </w:t>
      </w:r>
      <w:r>
        <w:t xml:space="preserve">Multiple dependencies on other policies that are</w:t>
      </w:r>
      <w:r>
        <w:t xml:space="preserve"> </w:t>
      </w:r>
      <w:r>
        <w:t xml:space="preserve">themselves under review or contain conflicting requirements.</w:t>
      </w:r>
    </w:p>
    <w:bookmarkEnd w:id="44"/>
    <w:bookmarkEnd w:id="45"/>
    <w:bookmarkStart w:id="48" w:name="training-and-awareness"/>
    <w:p>
      <w:pPr>
        <w:pStyle w:val="Heading2"/>
      </w:pPr>
      <w:r>
        <w:t xml:space="preserve">Training and Awareness</w:t>
      </w:r>
    </w:p>
    <w:bookmarkStart w:id="46" w:name="initial-training"/>
    <w:p>
      <w:pPr>
        <w:pStyle w:val="Heading3"/>
      </w:pPr>
      <w:r>
        <w:t xml:space="preserve">Initial Training</w:t>
      </w:r>
    </w:p>
    <w:p>
      <w:pPr>
        <w:pStyle w:val="Compact"/>
        <w:numPr>
          <w:ilvl w:val="0"/>
          <w:numId w:val="1031"/>
        </w:numPr>
      </w:pPr>
      <w:r>
        <w:t xml:space="preserve">All personnel complete data classification training during onboarding</w:t>
      </w:r>
    </w:p>
    <w:p>
      <w:pPr>
        <w:pStyle w:val="Compact"/>
        <w:numPr>
          <w:ilvl w:val="0"/>
          <w:numId w:val="1031"/>
        </w:numPr>
      </w:pPr>
      <w:r>
        <w:t xml:space="preserve">Role-specific training for Data Owners and Custodians</w:t>
      </w:r>
    </w:p>
    <w:p>
      <w:pPr>
        <w:pStyle w:val="Compact"/>
        <w:numPr>
          <w:ilvl w:val="0"/>
          <w:numId w:val="1031"/>
        </w:numPr>
      </w:pPr>
      <w:r>
        <w:t xml:space="preserve">Annual refresher training for all staff</w:t>
      </w:r>
    </w:p>
    <w:p>
      <w:pPr>
        <w:pStyle w:val="Compact"/>
        <w:numPr>
          <w:ilvl w:val="0"/>
          <w:numId w:val="1031"/>
        </w:numPr>
      </w:pPr>
      <w:r>
        <w:t xml:space="preserve">Specialised training for handling RESTRICTED information</w:t>
      </w:r>
    </w:p>
    <w:bookmarkEnd w:id="46"/>
    <w:bookmarkStart w:id="47" w:name="ongoing-awareness"/>
    <w:p>
      <w:pPr>
        <w:pStyle w:val="Heading3"/>
      </w:pPr>
      <w:r>
        <w:t xml:space="preserve">Ongoing Awareness</w:t>
      </w:r>
    </w:p>
    <w:p>
      <w:pPr>
        <w:pStyle w:val="Compact"/>
        <w:numPr>
          <w:ilvl w:val="0"/>
          <w:numId w:val="1032"/>
        </w:numPr>
      </w:pPr>
      <w:r>
        <w:t xml:space="preserve">Quarterly reminders about classification requirements</w:t>
      </w:r>
    </w:p>
    <w:p>
      <w:pPr>
        <w:pStyle w:val="Compact"/>
        <w:numPr>
          <w:ilvl w:val="0"/>
          <w:numId w:val="1032"/>
        </w:numPr>
      </w:pPr>
      <w:r>
        <w:t xml:space="preserve">Case studies of classification violations and lessons learned</w:t>
      </w:r>
    </w:p>
    <w:p>
      <w:pPr>
        <w:pStyle w:val="Compact"/>
        <w:numPr>
          <w:ilvl w:val="0"/>
          <w:numId w:val="1032"/>
        </w:numPr>
      </w:pPr>
      <w:r>
        <w:t xml:space="preserve">Regular updates on regulatory changes affecting classification</w:t>
      </w:r>
    </w:p>
    <w:p>
      <w:pPr>
        <w:pStyle w:val="Compact"/>
        <w:numPr>
          <w:ilvl w:val="0"/>
          <w:numId w:val="1032"/>
        </w:numPr>
      </w:pPr>
      <w:r>
        <w:t xml:space="preserve">Recognition program for exemplary classification compliance</w:t>
      </w:r>
    </w:p>
    <w:p>
      <w:pPr>
        <w:pStyle w:val="BlockText"/>
      </w:pPr>
      <w:r>
        <w:rPr>
          <w:b/>
          <w:bCs/>
        </w:rPr>
        <w:t xml:space="preserve">TRAINING TRACKING:</w:t>
      </w:r>
      <w:r>
        <w:t xml:space="preserve"> </w:t>
      </w:r>
      <w:r>
        <w:t xml:space="preserve">No system specified for tracking training completion</w:t>
      </w:r>
      <w:r>
        <w:t xml:space="preserve"> </w:t>
      </w:r>
      <w:r>
        <w:t xml:space="preserve">or measuring effectiveness of training programs.</w:t>
      </w:r>
    </w:p>
    <w:bookmarkEnd w:id="47"/>
    <w:bookmarkEnd w:id="48"/>
    <w:bookmarkStart w:id="49" w:name="review-and-updates"/>
    <w:p>
      <w:pPr>
        <w:pStyle w:val="Heading2"/>
      </w:pPr>
      <w:r>
        <w:t xml:space="preserve">Review and Updates</w:t>
      </w:r>
    </w:p>
    <w:p>
      <w:pPr>
        <w:pStyle w:val="FirstParagraph"/>
      </w:pPr>
      <w:r>
        <w:t xml:space="preserve">This policy will be reviewed annually or when:</w:t>
      </w:r>
      <w:r>
        <w:t xml:space="preserve"> </w:t>
      </w:r>
      <w:r>
        <w:t xml:space="preserve">- Regulatory requirements change</w:t>
      </w:r>
      <w:r>
        <w:t xml:space="preserve"> </w:t>
      </w:r>
      <w:r>
        <w:t xml:space="preserve">- Business model or client base significantly changes</w:t>
      </w:r>
      <w:r>
        <w:br/>
      </w:r>
      <w:r>
        <w:t xml:space="preserve">- Major security incidents involving classified information</w:t>
      </w:r>
      <w:r>
        <w:t xml:space="preserve"> </w:t>
      </w:r>
      <w:r>
        <w:t xml:space="preserve">- Technology changes affect classification controls</w:t>
      </w:r>
    </w:p>
    <w:p>
      <w:pPr>
        <w:pStyle w:val="BlockText"/>
      </w:pPr>
      <w:r>
        <w:rPr>
          <w:b/>
          <w:bCs/>
        </w:rPr>
        <w:t xml:space="preserve">REVIEW TRIGGERS:</w:t>
      </w:r>
      <w:r>
        <w:t xml:space="preserve"> </w:t>
      </w:r>
      <w:r>
        <w:t xml:space="preserve">Review triggers are appropriate but no specific timeline</w:t>
      </w:r>
      <w:r>
        <w:t xml:space="preserve"> </w:t>
      </w:r>
      <w:r>
        <w:t xml:space="preserve">or process defined for conducting reviews.</w:t>
      </w:r>
    </w:p>
    <w:p>
      <w:pPr>
        <w:pStyle w:val="FirstParagraph"/>
      </w:pPr>
      <w:r>
        <w:t xml:space="preserve">Policy updates require approval from:</w:t>
      </w:r>
      <w:r>
        <w:t xml:space="preserve"> </w:t>
      </w:r>
      <w:r>
        <w:t xml:space="preserve">- Data Protection Officer (technical changes)</w:t>
      </w:r>
      <w:r>
        <w:t xml:space="preserve"> </w:t>
      </w:r>
      <w:r>
        <w:t xml:space="preserve">- Legal team (regulatory compliance changes)</w:t>
      </w:r>
      <w:r>
        <w:t xml:space="preserve"> </w:t>
      </w:r>
      <w:r>
        <w:t xml:space="preserve">- Chief Information Officer (significant control changes)</w:t>
      </w:r>
      <w:r>
        <w:t xml:space="preserve"> </w:t>
      </w:r>
      <w:r>
        <w:t xml:space="preserve">- Board approval (policy framework changes)</w:t>
      </w:r>
    </w:p>
    <w:p>
      <w:pPr>
        <w:pStyle w:val="BlockText"/>
      </w:pPr>
      <w:r>
        <w:rPr>
          <w:b/>
          <w:bCs/>
        </w:rPr>
        <w:t xml:space="preserve">APPROVAL HIERARCHY:</w:t>
      </w:r>
      <w:r>
        <w:t xml:space="preserve"> </w:t>
      </w:r>
      <w:r>
        <w:t xml:space="preserve">Complex approval process may delay urgent updates</w:t>
      </w:r>
      <w:r>
        <w:t xml:space="preserve"> </w:t>
      </w:r>
      <w:r>
        <w:t xml:space="preserve">needed for regulatory compliance.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IMPLEMENTATION STATUS:</w:t>
      </w:r>
      <w:r>
        <w:t xml:space="preserve"> </w:t>
      </w:r>
      <w:r>
        <w:t xml:space="preserve">This policy is pending final approval and implementation.</w:t>
      </w:r>
      <w:r>
        <w:t xml:space="preserve"> </w:t>
      </w:r>
      <w:r>
        <w:t xml:space="preserve">Current data handling practices may not fully align with classification requirements.</w:t>
      </w:r>
      <w:r>
        <w:t xml:space="preserve"> </w:t>
      </w:r>
      <w:r>
        <w:t xml:space="preserve">A comprehensive gap analysis and implementation plan is required before enforcement.</w:t>
      </w:r>
    </w:p>
    <w:p>
      <w:pPr>
        <w:pStyle w:val="BlockText"/>
      </w:pPr>
      <w:r>
        <w:rPr>
          <w:b/>
          <w:bCs/>
        </w:rPr>
        <w:t xml:space="preserve">KNOWN ISSUES:</w:t>
      </w:r>
      <w:r>
        <w:t xml:space="preserve"> </w:t>
      </w:r>
      <w:r>
        <w:t xml:space="preserve">- Inconsistent terminology and requirements across related policies</w:t>
      </w:r>
      <w:r>
        <w:t xml:space="preserve"> </w:t>
      </w:r>
      <w:r>
        <w:t xml:space="preserve">- Missing technical implementation details and system specifications</w:t>
      </w:r>
      <w:r>
        <w:br/>
      </w:r>
      <w:r>
        <w:t xml:space="preserve">- Unclear roles and responsibilities with conflicting authority assignments</w:t>
      </w:r>
      <w:r>
        <w:t xml:space="preserve"> </w:t>
      </w:r>
      <w:r>
        <w:t xml:space="preserve">- Incomplete integration with existing security and access control systems</w:t>
      </w:r>
      <w:r>
        <w:t xml:space="preserve"> </w:t>
      </w:r>
      <w:r>
        <w:t xml:space="preserve">- Training and compliance monitoring systems not fully defined</w:t>
      </w:r>
    </w:p>
    <w:p>
      <w:pPr>
        <w:pStyle w:val="BlockText"/>
      </w:pPr>
      <w:r>
        <w:rPr>
          <w:b/>
          <w:bCs/>
        </w:rPr>
        <w:t xml:space="preserve">RISK ASSESSMENT:</w:t>
      </w:r>
      <w:r>
        <w:t xml:space="preserve"> </w:t>
      </w:r>
      <w:r>
        <w:t xml:space="preserve">Current draft status creates uncertainty about data handling</w:t>
      </w:r>
      <w:r>
        <w:t xml:space="preserve"> </w:t>
      </w:r>
      <w:r>
        <w:t xml:space="preserve">requirements and may impact regulatory compliance obligations. Prioritise completion</w:t>
      </w:r>
      <w:r>
        <w:t xml:space="preserve"> </w:t>
      </w:r>
      <w:r>
        <w:t xml:space="preserve">and approval to address governance and compliance gaps.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360"/>
      </w:pPr>
    </w:lvl>
    <w:lvl w:ilvl="1">
      <w:start w:val="5"/>
      <w:numFmt w:val="lowerLetter"/>
      <w:lvlText w:val="(%2)"/>
      <w:lvlJc w:val="left"/>
      <w:pPr>
        <w:ind w:left="1440" w:hanging="360"/>
      </w:pPr>
    </w:lvl>
    <w:lvl w:ilvl="2">
      <w:start w:val="5"/>
      <w:numFmt w:val="lowerLetter"/>
      <w:lvlText w:val="(%3)"/>
      <w:lvlJc w:val="left"/>
      <w:pPr>
        <w:ind w:left="2160" w:hanging="360"/>
      </w:pPr>
    </w:lvl>
    <w:lvl w:ilvl="3">
      <w:start w:val="5"/>
      <w:numFmt w:val="lowerLetter"/>
      <w:lvlText w:val="(%4)"/>
      <w:lvlJc w:val="left"/>
      <w:pPr>
        <w:ind w:left="2880" w:hanging="360"/>
      </w:pPr>
    </w:lvl>
    <w:lvl w:ilvl="4">
      <w:start w:val="5"/>
      <w:numFmt w:val="lowerLetter"/>
      <w:lvlText w:val="(%5)"/>
      <w:lvlJc w:val="left"/>
      <w:pPr>
        <w:ind w:left="3600" w:hanging="360"/>
      </w:pPr>
    </w:lvl>
    <w:lvl w:ilvl="5">
      <w:start w:val="5"/>
      <w:numFmt w:val="lowerLetter"/>
      <w:lvlText w:val="(%6)"/>
      <w:lvlJc w:val="left"/>
      <w:pPr>
        <w:ind w:left="4320" w:hanging="360"/>
      </w:pPr>
    </w:lvl>
    <w:lvl w:ilvl="6">
      <w:start w:val="5"/>
      <w:numFmt w:val="lowerLetter"/>
      <w:lvlText w:val="(%7)"/>
      <w:lvlJc w:val="left"/>
      <w:pPr>
        <w:ind w:left="5040" w:hanging="360"/>
      </w:pPr>
    </w:lvl>
    <w:lvl w:ilvl="7">
      <w:start w:val="5"/>
      <w:numFmt w:val="lowerLetter"/>
      <w:lvlText w:val="(%8)"/>
      <w:lvlJc w:val="left"/>
      <w:pPr>
        <w:ind w:left="5760" w:hanging="360"/>
      </w:pPr>
    </w:lvl>
    <w:lvl w:ilvl="8">
      <w:start w:val="5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2026-06-28T23:38:40Z</dcterms:created>
  <dcterms:modified xsi:type="dcterms:W3CDTF">2026-06-28T23:38:40Z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