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 Control Policy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848"/>
        <w:gridCol w:w="607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Access Control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Doc#</w:t>
            </w:r>
          </w:p>
        </w:tc>
        <w:tc>
          <w:tcPr/>
          <w:p>
            <w:pPr>
              <w:pStyle w:val="Compact"/>
            </w:pPr>
            <w:r>
              <w:t xml:space="preserve">POL-SECU-021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10-03-2025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POL-SECU-021 v1.3 (15-03-2024); absorbs former POL-SECU-019 (Password Management)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10-03-2026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Chief Information Security Officer (I. Ferreira)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Chief Information Officer (A. Vasquez)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A.5.15 Access control; A.5.16 Identity management; A.5.18 Access rights; A.8.2 Privileged access rights; A.8.3 Information access restriction</w:t>
            </w:r>
          </w:p>
        </w:tc>
      </w:tr>
    </w:tbl>
    <w:p>
      <w:pPr>
        <w:pStyle w:val="BlockText"/>
      </w:pPr>
      <w:r>
        <w:rPr>
          <w:i/>
          <w:iCs/>
        </w:rPr>
        <w:t xml:space="preserve">[Reviewer, 2025-03-04: this revision folds the former standalone Password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 policy (POL-SECU-019) into §3.2. Templates and the joiner pack may</w:t>
      </w:r>
      <w:r>
        <w:rPr>
          <w:i/>
          <w:iCs/>
        </w:rPr>
        <w:t xml:space="preserve"> </w:t>
      </w:r>
      <w:r>
        <w:rPr>
          <w:i/>
          <w:iCs/>
        </w:rPr>
        <w:t xml:space="preserve">still cite POL-SECU-019 by its old number — redirect them to this document</w:t>
      </w:r>
      <w:r>
        <w:rPr>
          <w:i/>
          <w:iCs/>
        </w:rPr>
        <w:t xml:space="preserve"> </w:t>
      </w:r>
      <w:r>
        <w:rPr>
          <w:i/>
          <w:iCs/>
        </w:rPr>
        <w:t xml:space="preserve">rather than re-issuing the old one.]</w: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Access to Tessera systems, networks, devices and applications is granted on a</w:t>
      </w:r>
      <w:r>
        <w:t xml:space="preserve"> </w:t>
      </w:r>
      <w:r>
        <w:t xml:space="preserve">least-privilege basis and protected by strong authentication, authorisation and</w:t>
      </w:r>
      <w:r>
        <w:t xml:space="preserve"> </w:t>
      </w:r>
      <w:r>
        <w:t xml:space="preserve">auditing. This policy gives effect to</w:t>
      </w:r>
      <w:r>
        <w:t xml:space="preserve"> </w:t>
      </w:r>
      <w:r>
        <w:rPr>
          <w:b/>
          <w:bCs/>
        </w:rPr>
        <w:t xml:space="preserve">APP 11</w:t>
      </w:r>
      <w:r>
        <w:t xml:space="preserve"> </w:t>
      </w:r>
      <w:r>
        <w:t xml:space="preserve">(security of personal</w:t>
      </w:r>
      <w:r>
        <w:t xml:space="preserve"> </w:t>
      </w:r>
      <w:r>
        <w:t xml:space="preserve">information) of the</w:t>
      </w:r>
      <w:r>
        <w:t xml:space="preserve"> </w:t>
      </w:r>
      <w:r>
        <w:rPr>
          <w:i/>
          <w:iCs/>
        </w:rPr>
        <w:t xml:space="preserve">Privacy Act 1988</w:t>
      </w:r>
      <w:r>
        <w:t xml:space="preserve"> </w:t>
      </w:r>
      <w:r>
        <w:t xml:space="preserve">(Cth) and to Annex A controls</w:t>
      </w:r>
      <w:r>
        <w:t xml:space="preserve"> </w:t>
      </w:r>
      <w:r>
        <w:rPr>
          <w:b/>
          <w:bCs/>
        </w:rPr>
        <w:t xml:space="preserve">A.5.15,</w:t>
      </w:r>
      <w:r>
        <w:rPr>
          <w:b/>
          <w:bCs/>
        </w:rPr>
        <w:t xml:space="preserve"> </w:t>
      </w:r>
      <w:r>
        <w:rPr>
          <w:b/>
          <w:bCs/>
        </w:rPr>
        <w:t xml:space="preserve">A.5.16, A.5.18, A.8.2 and A.8.3</w:t>
      </w:r>
      <w:r>
        <w:t xml:space="preserve"> </w:t>
      </w:r>
      <w:r>
        <w:t xml:space="preserve">of ISO/IEC 27001:2022. It applies to everyone</w:t>
      </w:r>
      <w:r>
        <w:t xml:space="preserve"> </w:t>
      </w:r>
      <w:r>
        <w:t xml:space="preserve">who is granted access to Tessera resources — workforce members, contractors,</w:t>
      </w:r>
      <w:r>
        <w:t xml:space="preserve"> </w:t>
      </w:r>
      <w:r>
        <w:t xml:space="preserve">consultants, partners and tenants — whether they connect from Tessera premises,</w:t>
      </w:r>
      <w:r>
        <w:t xml:space="preserve"> </w:t>
      </w:r>
      <w:r>
        <w:t xml:space="preserve">remotely, or from Tessera-managed or bring-your-own devices.</w:t>
      </w:r>
    </w:p>
    <w:p>
      <w:pPr>
        <w:pStyle w:val="BodyText"/>
      </w:pPr>
      <w:r>
        <w:t xml:space="preserve">Every user is responsible for reporting suspected unauthorised access to</w:t>
      </w:r>
      <w:r>
        <w:t xml:space="preserve"> </w:t>
      </w:r>
      <w:r>
        <w:t xml:space="preserve">Tessera information systems to the Security team without delay.</w:t>
      </w:r>
    </w:p>
    <w:bookmarkEnd w:id="9"/>
    <w:bookmarkStart w:id="13" w:name="policy-statements"/>
    <w:p>
      <w:pPr>
        <w:pStyle w:val="Heading2"/>
      </w:pPr>
      <w:r>
        <w:t xml:space="preserve">2. Policy statements</w:t>
      </w:r>
    </w:p>
    <w:p>
      <w:pPr>
        <w:pStyle w:val="FirstParagraph"/>
      </w:pPr>
      <w:r>
        <w:t xml:space="preserve">Tessera policy requires that:</w:t>
      </w:r>
    </w:p>
    <w:p>
      <w:pPr>
        <w:numPr>
          <w:ilvl w:val="0"/>
          <w:numId w:val="1001"/>
        </w:numPr>
      </w:pPr>
      <w:r>
        <w:t xml:space="preserve">access to all computing resources — servers, end-user devices, network</w:t>
      </w:r>
      <w:r>
        <w:t xml:space="preserve"> </w:t>
      </w:r>
      <w:r>
        <w:t xml:space="preserve">equipment, services and applications — is protected by strong authentication,</w:t>
      </w:r>
      <w:r>
        <w:t xml:space="preserve"> </w:t>
      </w:r>
      <w:r>
        <w:t xml:space="preserve">authorisation and auditing;</w:t>
      </w:r>
    </w:p>
    <w:p>
      <w:pPr>
        <w:numPr>
          <w:ilvl w:val="0"/>
          <w:numId w:val="1001"/>
        </w:numPr>
      </w:pPr>
      <w:r>
        <w:t xml:space="preserve">interactive access is tied to an account or login unique to each individual</w:t>
      </w:r>
      <w:r>
        <w:t xml:space="preserve"> </w:t>
      </w:r>
      <w:r>
        <w:t xml:space="preserve">user;</w:t>
      </w:r>
    </w:p>
    <w:p>
      <w:pPr>
        <w:numPr>
          <w:ilvl w:val="0"/>
          <w:numId w:val="1001"/>
        </w:numPr>
      </w:pPr>
      <w:r>
        <w:t xml:space="preserve">all credentials, including user passwords, service accounts and access keys,</w:t>
      </w:r>
      <w:r>
        <w:t xml:space="preserve"> </w:t>
      </w:r>
      <w:r>
        <w:t xml:space="preserve">meet the length, complexity, age and rotation requirements in Tessera</w:t>
      </w:r>
      <w:r>
        <w:t xml:space="preserve"> </w:t>
      </w:r>
      <w:r>
        <w:t xml:space="preserve">Security Standard</w:t>
      </w:r>
      <w:r>
        <w:t xml:space="preserve"> </w:t>
      </w:r>
      <w:r>
        <w:rPr>
          <w:b/>
          <w:bCs/>
        </w:rPr>
        <w:t xml:space="preserve">SEC-STD-003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strong passwords and multi-factor authentication are used wherever the</w:t>
      </w:r>
      <w:r>
        <w:t xml:space="preserve"> </w:t>
      </w:r>
      <w:r>
        <w:t xml:space="preserve">resource supports them;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multi-factor authentication is required for access to every production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 and critical system</w:t>
      </w:r>
      <w:r>
        <w:t xml:space="preserve">, with no exception for convenience;</w:t>
      </w:r>
    </w:p>
    <w:p>
      <w:pPr>
        <w:numPr>
          <w:ilvl w:val="0"/>
          <w:numId w:val="1001"/>
        </w:numPr>
      </w:pPr>
      <w:r>
        <w:t xml:space="preserve">unused accounts, passwords and access keys are removed within 30 days of last</w:t>
      </w:r>
      <w:r>
        <w:t xml:space="preserve"> </w:t>
      </w:r>
      <w:r>
        <w:t xml:space="preserve">use;</w:t>
      </w:r>
    </w:p>
    <w:p>
      <w:pPr>
        <w:numPr>
          <w:ilvl w:val="0"/>
          <w:numId w:val="1001"/>
        </w:numPr>
      </w:pPr>
      <w:r>
        <w:t xml:space="preserve">a distinct access key or service account is used for each application or</w:t>
      </w:r>
      <w:r>
        <w:t xml:space="preserve"> </w:t>
      </w:r>
      <w:r>
        <w:t xml:space="preserve">automated user;</w:t>
      </w:r>
    </w:p>
    <w:p>
      <w:pPr>
        <w:numPr>
          <w:ilvl w:val="0"/>
          <w:numId w:val="1001"/>
        </w:numPr>
      </w:pPr>
      <w:r>
        <w:t xml:space="preserve">authenticated sessions time out after a defined period of inactivity.</w:t>
      </w:r>
    </w:p>
    <w:bookmarkStart w:id="10" w:name="access-authorisation-and-termination"/>
    <w:p>
      <w:pPr>
        <w:pStyle w:val="Heading3"/>
      </w:pPr>
      <w:r>
        <w:t xml:space="preserve">2.1 Access authorisation and termination</w:t>
      </w:r>
    </w:p>
    <w:p>
      <w:pPr>
        <w:numPr>
          <w:ilvl w:val="0"/>
          <w:numId w:val="1002"/>
        </w:numPr>
      </w:pPr>
      <w:r>
        <w:t xml:space="preserve">Access authorisation is implemented through role-based access control (RBAC)</w:t>
      </w:r>
      <w:r>
        <w:t xml:space="preserve"> </w:t>
      </w:r>
      <w:r>
        <w:t xml:space="preserve">or an equivalent mechanism.</w:t>
      </w:r>
    </w:p>
    <w:p>
      <w:pPr>
        <w:numPr>
          <w:ilvl w:val="0"/>
          <w:numId w:val="1002"/>
        </w:numPr>
      </w:pPr>
      <w:r>
        <w:t xml:space="preserve">Standard access for a user’s job role may be pre-provisioned during</w:t>
      </w:r>
      <w:r>
        <w:t xml:space="preserve"> </w:t>
      </w:r>
      <w:r>
        <w:t xml:space="preserve">onboarding. Any subsequent access request must be approved by the requestor’s</w:t>
      </w:r>
      <w:r>
        <w:t xml:space="preserve"> </w:t>
      </w:r>
      <w:r>
        <w:t xml:space="preserve">manager before it is provisioned.</w:t>
      </w:r>
    </w:p>
    <w:p>
      <w:pPr>
        <w:numPr>
          <w:ilvl w:val="0"/>
          <w:numId w:val="1002"/>
        </w:numPr>
      </w:pPr>
      <w:r>
        <w:t xml:space="preserve">Access to critical resources — including production environments — requires</w:t>
      </w:r>
      <w:r>
        <w:t xml:space="preserve"> </w:t>
      </w:r>
      <w:r>
        <w:t xml:space="preserve">additional approval from the Security team. (</w:t>
      </w:r>
      <w:r>
        <w:t xml:space="preserve">“Critical resources”</w:t>
      </w:r>
      <w:r>
        <w:t xml:space="preserve"> </w:t>
      </w:r>
      <w:r>
        <w:t xml:space="preserve">are defined</w:t>
      </w:r>
      <w:r>
        <w:t xml:space="preserve"> </w:t>
      </w:r>
      <w:r>
        <w:t xml:space="preserve">by data classification; see POL-DATA-001, now issued as the</w:t>
      </w:r>
      <w:r>
        <w:t xml:space="preserve"> </w:t>
      </w:r>
      <w:r>
        <w:rPr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Classification &amp; Lifecycle Policy, POL-DATA-002</w:t>
      </w:r>
      <w:r>
        <w:t xml:space="preserve">.)</w:t>
      </w:r>
    </w:p>
    <w:p>
      <w:pPr>
        <w:numPr>
          <w:ilvl w:val="0"/>
          <w:numId w:val="1002"/>
        </w:numPr>
      </w:pPr>
      <w:r>
        <w:t xml:space="preserve">Access is reviewed on a regular basis and revoked when no longer required.</w:t>
      </w:r>
    </w:p>
    <w:p>
      <w:pPr>
        <w:numPr>
          <w:ilvl w:val="0"/>
          <w:numId w:val="1002"/>
        </w:numPr>
      </w:pPr>
      <w:r>
        <w:t xml:space="preserve">On termination of employment or engagement, all system access is revoked and</w:t>
      </w:r>
      <w:r>
        <w:t xml:space="preserve"> </w:t>
      </w:r>
      <w:r>
        <w:t xml:space="preserve">user accounts disabled</w:t>
      </w:r>
      <w:r>
        <w:t xml:space="preserve"> </w:t>
      </w:r>
      <w:r>
        <w:rPr>
          <w:b/>
          <w:bCs/>
        </w:rPr>
        <w:t xml:space="preserve">within 24 hours</w:t>
      </w:r>
      <w:r>
        <w:t xml:space="preserve"> </w:t>
      </w:r>
      <w:r>
        <w:t xml:space="preserve">of termination, in accordance with</w:t>
      </w:r>
      <w:r>
        <w:t xml:space="preserve"> </w:t>
      </w:r>
      <w:r>
        <w:t xml:space="preserve">the joiner-mover-leaver procedure</w:t>
      </w:r>
      <w:r>
        <w:t xml:space="preserve"> </w:t>
      </w:r>
      <w:r>
        <w:rPr>
          <w:b/>
          <w:bCs/>
        </w:rPr>
        <w:t xml:space="preserve">ISMS-PR-014</w:t>
      </w:r>
      <w:r>
        <w:t xml:space="preserve">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(I. Ferreira, note to self: confirm the §2.1(e) wording matches ISMS-PR-014</w:t>
      </w:r>
      <w:r>
        <w:rPr>
          <w:i/>
          <w:iCs/>
        </w:rPr>
        <w:t xml:space="preserve"> </w:t>
      </w:r>
      <w:r>
        <w:rPr>
          <w:i/>
          <w:iCs/>
        </w:rPr>
        <w:t xml:space="preserve">verbatim before the Stage 1 audit — the HR handbook still quotes a different</w:t>
      </w:r>
      <w:r>
        <w:rPr>
          <w:i/>
          <w:iCs/>
        </w:rPr>
        <w:t xml:space="preserve"> </w:t>
      </w:r>
      <w:r>
        <w:rPr>
          <w:i/>
          <w:iCs/>
        </w:rPr>
        <w:t xml:space="preserve">figure and we do not want two numbers in print.)</w:t>
      </w:r>
    </w:p>
    <w:p>
      <w:pPr>
        <w:numPr>
          <w:ilvl w:val="0"/>
          <w:numId w:val="1002"/>
        </w:numPr>
      </w:pPr>
      <w:r>
        <w:t xml:space="preserve">All access is reviewed at least annually and whenever a user’s role changes.</w:t>
      </w:r>
    </w:p>
    <w:bookmarkEnd w:id="10"/>
    <w:bookmarkStart w:id="11" w:name="shared-secrets-management"/>
    <w:p>
      <w:pPr>
        <w:pStyle w:val="Heading3"/>
      </w:pPr>
      <w:r>
        <w:t xml:space="preserve">2.2 Shared secrets management</w:t>
      </w:r>
    </w:p>
    <w:p>
      <w:pPr>
        <w:numPr>
          <w:ilvl w:val="0"/>
          <w:numId w:val="1003"/>
        </w:numPr>
      </w:pPr>
      <w:r>
        <w:t xml:space="preserve">Use of shared credentials and secrets is minimised and approved only by</w:t>
      </w:r>
      <w:r>
        <w:t xml:space="preserve"> </w:t>
      </w:r>
      <w:r>
        <w:t xml:space="preserve">exception.</w:t>
      </w:r>
    </w:p>
    <w:p>
      <w:pPr>
        <w:numPr>
          <w:ilvl w:val="0"/>
          <w:numId w:val="1003"/>
        </w:numPr>
      </w:pPr>
      <w:r>
        <w:t xml:space="preserve">Where business operations genuinely require a shared secret, it is shared</w:t>
      </w:r>
      <w:r>
        <w:t xml:space="preserve"> </w:t>
      </w:r>
      <w:r>
        <w:t xml:space="preserve">securely and held in an encrypted vault that meets Tessera’s data encryption</w:t>
      </w:r>
      <w:r>
        <w:t xml:space="preserve"> </w:t>
      </w:r>
      <w:r>
        <w:t xml:space="preserve">standard (see the Data Protection Policy).</w:t>
      </w:r>
    </w:p>
    <w:p>
      <w:pPr>
        <w:numPr>
          <w:ilvl w:val="0"/>
          <w:numId w:val="1003"/>
        </w:numPr>
      </w:pPr>
      <w:r>
        <w:t xml:space="preserve">Use of a shared secret to reach a critical system is always paired with a</w:t>
      </w:r>
      <w:r>
        <w:t xml:space="preserve"> </w:t>
      </w:r>
      <w:r>
        <w:t xml:space="preserve">compensating control that uniquely identifies the individual acting.</w:t>
      </w:r>
    </w:p>
    <w:bookmarkEnd w:id="11"/>
    <w:bookmarkStart w:id="12" w:name="privileged-access-management"/>
    <w:p>
      <w:pPr>
        <w:pStyle w:val="Heading3"/>
      </w:pPr>
      <w:r>
        <w:t xml:space="preserve">2.3 Privileged access management</w:t>
      </w:r>
    </w:p>
    <w:p>
      <w:pPr>
        <w:numPr>
          <w:ilvl w:val="0"/>
          <w:numId w:val="1004"/>
        </w:numPr>
      </w:pPr>
      <w:r>
        <w:t xml:space="preserve">Users do not log in directly to systems as a privileged user. A privileged</w:t>
      </w:r>
      <w:r>
        <w:t xml:space="preserve"> </w:t>
      </w:r>
      <w:r>
        <w:t xml:space="preserve">user is anyone with administrative access to critical systems — for example an</w:t>
      </w:r>
      <w:r>
        <w:t xml:space="preserve"> </w:t>
      </w:r>
      <w:r>
        <w:t xml:space="preserve">Active Directory domain administrator, the root user of a Linux host, or the</w:t>
      </w:r>
      <w:r>
        <w:t xml:space="preserve"> </w:t>
      </w:r>
      <w:r>
        <w:t xml:space="preserve">root user of an AWS account.</w:t>
      </w:r>
    </w:p>
    <w:p>
      <w:pPr>
        <w:numPr>
          <w:ilvl w:val="0"/>
          <w:numId w:val="1004"/>
        </w:numPr>
      </w:pPr>
      <w:r>
        <w:t xml:space="preserve">Privileged access is obtained only through a proxy or equivalent that enforces</w:t>
      </w:r>
      <w:r>
        <w:t xml:space="preserve"> </w:t>
      </w:r>
      <w:r>
        <w:t xml:space="preserve">strong authentication (MFA) on a unique individual account and records full</w:t>
      </w:r>
      <w:r>
        <w:t xml:space="preserve"> </w:t>
      </w:r>
      <w:r>
        <w:t xml:space="preserve">session audit.</w:t>
      </w:r>
    </w:p>
    <w:p>
      <w:pPr>
        <w:numPr>
          <w:ilvl w:val="0"/>
          <w:numId w:val="1004"/>
        </w:numPr>
      </w:pPr>
      <w:r>
        <w:t xml:space="preserve">Direct administrative access to production is kept to an absolute minimum.</w:t>
      </w:r>
    </w:p>
    <w:p>
      <w:pPr>
        <w:pStyle w:val="BlockText"/>
      </w:pPr>
      <w:r>
        <w:rPr>
          <w:i/>
          <w:iCs/>
        </w:rPr>
        <w:t xml:space="preserve">[Reviewer, 2025-02-27: this section was rewritten after TSR-INC-2025-031. The</w:t>
      </w:r>
      <w:r>
        <w:rPr>
          <w:i/>
          <w:iCs/>
        </w:rPr>
        <w:t xml:space="preserve"> </w:t>
      </w:r>
      <w:r>
        <w:rPr>
          <w:i/>
          <w:iCs/>
        </w:rPr>
        <w:t xml:space="preserve">2023 boundary model is no longer in service — confirm the segmentation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still describes the current management/tenant separation before relying on it</w:t>
      </w:r>
      <w:r>
        <w:rPr>
          <w:i/>
          <w:iCs/>
        </w:rPr>
        <w:t xml:space="preserve"> </w:t>
      </w:r>
      <w:r>
        <w:rPr>
          <w:i/>
          <w:iCs/>
        </w:rPr>
        <w:t xml:space="preserve">operationally.]</w:t>
      </w:r>
    </w:p>
    <w:bookmarkEnd w:id="12"/>
    <w:bookmarkEnd w:id="13"/>
    <w:bookmarkStart w:id="29" w:name="controls-and-procedures"/>
    <w:p>
      <w:pPr>
        <w:pStyle w:val="Heading2"/>
      </w:pPr>
      <w:r>
        <w:t xml:space="preserve">3. Controls and procedures</w:t>
      </w:r>
    </w:p>
    <w:bookmarkStart w:id="19" w:name="standards-for-access-provisioning"/>
    <w:p>
      <w:pPr>
        <w:pStyle w:val="Heading3"/>
      </w:pPr>
      <w:r>
        <w:t xml:space="preserve">3.1 Standards for access provisioning</w:t>
      </w:r>
    </w:p>
    <w:bookmarkStart w:id="14" w:name="workforce-clearance"/>
    <w:p>
      <w:pPr>
        <w:pStyle w:val="Heading4"/>
      </w:pPr>
      <w:r>
        <w:t xml:space="preserve">Workforce clearance</w:t>
      </w:r>
    </w:p>
    <w:p>
      <w:pPr>
        <w:pStyle w:val="Compact"/>
        <w:numPr>
          <w:ilvl w:val="0"/>
          <w:numId w:val="1005"/>
        </w:numPr>
      </w:pPr>
      <w:r>
        <w:t xml:space="preserve">The access a user receives is based on the minimum necessary to perform the</w:t>
      </w:r>
      <w:r>
        <w:t xml:space="preserve"> </w:t>
      </w:r>
      <w:r>
        <w:t xml:space="preserve">duties of their role.</w:t>
      </w:r>
    </w:p>
    <w:p>
      <w:pPr>
        <w:pStyle w:val="Compact"/>
        <w:numPr>
          <w:ilvl w:val="0"/>
          <w:numId w:val="1005"/>
        </w:numPr>
      </w:pPr>
      <w:r>
        <w:t xml:space="preserve">All access requests are assessed against the least-privilege principle.</w:t>
      </w:r>
    </w:p>
    <w:p>
      <w:pPr>
        <w:pStyle w:val="Compact"/>
        <w:numPr>
          <w:ilvl w:val="0"/>
          <w:numId w:val="1005"/>
        </w:numPr>
      </w:pPr>
      <w:r>
        <w:t xml:space="preserve">Tessera operates a minimum-necessary approach to tenant data. Workforce</w:t>
      </w:r>
      <w:r>
        <w:t xml:space="preserve"> </w:t>
      </w:r>
      <w:r>
        <w:t xml:space="preserve">members do not hold standing access to tenant personal information; any access</w:t>
      </w:r>
      <w:r>
        <w:t xml:space="preserve"> </w:t>
      </w:r>
      <w:r>
        <w:t xml:space="preserve">is just-in-time, logged, and revoked when the task completes.</w:t>
      </w:r>
    </w:p>
    <w:bookmarkEnd w:id="14"/>
    <w:bookmarkStart w:id="15" w:name="access-authorisation"/>
    <w:p>
      <w:pPr>
        <w:pStyle w:val="Heading4"/>
      </w:pPr>
      <w:r>
        <w:t xml:space="preserve">Access authorisation</w:t>
      </w:r>
    </w:p>
    <w:p>
      <w:pPr>
        <w:numPr>
          <w:ilvl w:val="0"/>
          <w:numId w:val="1006"/>
        </w:numPr>
      </w:pPr>
      <w:r>
        <w:t xml:space="preserve">Role-based access categories for each Tessera system and application are</w:t>
      </w:r>
      <w:r>
        <w:t xml:space="preserve"> </w:t>
      </w:r>
      <w:r>
        <w:t xml:space="preserve">pre-approved by the CISO.</w:t>
      </w:r>
    </w:p>
    <w:p>
      <w:pPr>
        <w:numPr>
          <w:ilvl w:val="0"/>
          <w:numId w:val="1006"/>
        </w:numPr>
      </w:pPr>
      <w:r>
        <w:t xml:space="preserve">Tessera uses hardware- and software-defined boundaries to segment data, block</w:t>
      </w:r>
      <w:r>
        <w:t xml:space="preserve"> </w:t>
      </w:r>
      <w:r>
        <w:t xml:space="preserve">unauthorised access, and monitor traffic.</w:t>
      </w:r>
    </w:p>
    <w:p>
      <w:pPr>
        <w:numPr>
          <w:ilvl w:val="0"/>
          <w:numId w:val="1000"/>
        </w:numPr>
      </w:pPr>
      <w:r>
        <w:t xml:space="preserve">// TODO before next review cycle: link the segmentation runbook (SOP-NET-00x)</w:t>
      </w:r>
      <w:r>
        <w:t xml:space="preserve"> </w:t>
      </w:r>
      <w:r>
        <w:t xml:space="preserve">// once Hamish’s team publishes it — the 2023 architecture diagrams no longer</w:t>
      </w:r>
      <w:r>
        <w:t xml:space="preserve"> </w:t>
      </w:r>
      <w:r>
        <w:t xml:space="preserve">// match the live tenant VPC layout.</w:t>
      </w:r>
    </w:p>
    <w:bookmarkEnd w:id="15"/>
    <w:bookmarkStart w:id="16" w:name="person-or-entity-authentication"/>
    <w:p>
      <w:pPr>
        <w:pStyle w:val="Heading4"/>
      </w:pPr>
      <w:r>
        <w:t xml:space="preserve">Person or entity authentication</w:t>
      </w:r>
    </w:p>
    <w:p>
      <w:pPr>
        <w:pStyle w:val="Compact"/>
        <w:numPr>
          <w:ilvl w:val="0"/>
          <w:numId w:val="1007"/>
        </w:numPr>
      </w:pPr>
      <w:r>
        <w:t xml:space="preserve">Each workforce member has and uses a unique user ID and password that</w:t>
      </w:r>
      <w:r>
        <w:t xml:space="preserve"> </w:t>
      </w:r>
      <w:r>
        <w:t xml:space="preserve">identifies them as the user of the information system.</w:t>
      </w:r>
    </w:p>
    <w:p>
      <w:pPr>
        <w:pStyle w:val="Compact"/>
        <w:numPr>
          <w:ilvl w:val="0"/>
          <w:numId w:val="1007"/>
        </w:numPr>
      </w:pPr>
      <w:r>
        <w:t xml:space="preserve">Each customer and partner has and uses a unique user ID and password, or an</w:t>
      </w:r>
      <w:r>
        <w:t xml:space="preserve"> </w:t>
      </w:r>
      <w:r>
        <w:t xml:space="preserve">OpenID Connect identity, that identifies them as the user of the information</w:t>
      </w:r>
      <w:r>
        <w:t xml:space="preserve"> </w:t>
      </w:r>
      <w:r>
        <w:t xml:space="preserve">system. Customer and partner authentication is enforced through</w:t>
      </w:r>
      <w:r>
        <w:t xml:space="preserve"> </w:t>
      </w:r>
      <w:r>
        <w:rPr>
          <w:b/>
          <w:bCs/>
        </w:rPr>
        <w:t xml:space="preserve">Auth0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All customer-support interactions are identity-verified before Tessera support</w:t>
      </w:r>
      <w:r>
        <w:t xml:space="preserve"> </w:t>
      </w:r>
      <w:r>
        <w:t xml:space="preserve">staff act on any request with information-security implications.</w:t>
      </w:r>
    </w:p>
    <w:bookmarkEnd w:id="16"/>
    <w:bookmarkStart w:id="17" w:name="unique-user-identification"/>
    <w:p>
      <w:pPr>
        <w:pStyle w:val="Heading4"/>
      </w:pPr>
      <w:r>
        <w:t xml:space="preserve">Unique user identification</w:t>
      </w:r>
    </w:p>
    <w:p>
      <w:pPr>
        <w:pStyle w:val="Compact"/>
        <w:numPr>
          <w:ilvl w:val="0"/>
          <w:numId w:val="1008"/>
        </w:numPr>
      </w:pPr>
      <w:r>
        <w:t xml:space="preserve">Access to Tessera platform systems and applications is controlled by unique</w:t>
      </w:r>
      <w:r>
        <w:t xml:space="preserve"> </w:t>
      </w:r>
      <w:r>
        <w:t xml:space="preserve">login IDs and passwords for each individual user and developer.</w:t>
      </w:r>
    </w:p>
    <w:p>
      <w:pPr>
        <w:pStyle w:val="Compact"/>
        <w:numPr>
          <w:ilvl w:val="0"/>
          <w:numId w:val="1008"/>
        </w:numPr>
      </w:pPr>
      <w:r>
        <w:t xml:space="preserve">Passwords meet the strong-password controls in §3.2.</w:t>
      </w:r>
    </w:p>
    <w:p>
      <w:pPr>
        <w:pStyle w:val="Compact"/>
        <w:numPr>
          <w:ilvl w:val="0"/>
          <w:numId w:val="1008"/>
        </w:numPr>
      </w:pPr>
      <w:r>
        <w:t xml:space="preserve">Passwords are never displayed and are never transmitted or stored in plain</w:t>
      </w:r>
      <w:r>
        <w:t xml:space="preserve"> </w:t>
      </w:r>
      <w:r>
        <w:t xml:space="preserve">text.</w:t>
      </w:r>
    </w:p>
    <w:p>
      <w:pPr>
        <w:pStyle w:val="Compact"/>
        <w:numPr>
          <w:ilvl w:val="0"/>
          <w:numId w:val="1008"/>
        </w:numPr>
      </w:pPr>
      <w:r>
        <w:t xml:space="preserve">Default accounts on all production systems and environments — including root —</w:t>
      </w:r>
      <w:r>
        <w:t xml:space="preserve"> </w:t>
      </w:r>
      <w:r>
        <w:t xml:space="preserve">are disabled or locked.</w:t>
      </w:r>
    </w:p>
    <w:p>
      <w:pPr>
        <w:pStyle w:val="Compact"/>
        <w:numPr>
          <w:ilvl w:val="0"/>
          <w:numId w:val="1008"/>
        </w:numPr>
      </w:pPr>
      <w:r>
        <w:t xml:space="preserve">Shared accounts are not permitted within Tessera systems or networks.</w:t>
      </w:r>
    </w:p>
    <w:bookmarkEnd w:id="17"/>
    <w:bookmarkStart w:id="18" w:name="automatic-logon-and-logoff"/>
    <w:p>
      <w:pPr>
        <w:pStyle w:val="Heading4"/>
      </w:pPr>
      <w:r>
        <w:t xml:space="preserve">Automatic logon and logoff</w:t>
      </w:r>
    </w:p>
    <w:p>
      <w:pPr>
        <w:numPr>
          <w:ilvl w:val="0"/>
          <w:numId w:val="1009"/>
        </w:numPr>
      </w:pPr>
      <w:r>
        <w:t xml:space="preserve">Automated logon configurations that store user passwords or bypass password</w:t>
      </w:r>
      <w:r>
        <w:t xml:space="preserve"> </w:t>
      </w:r>
      <w:r>
        <w:t xml:space="preserve">entry are not permitted on Tessera workstations or production systems.</w:t>
      </w:r>
    </w:p>
    <w:p>
      <w:pPr>
        <w:pStyle w:val="Compact"/>
        <w:numPr>
          <w:ilvl w:val="1"/>
          <w:numId w:val="1010"/>
        </w:numPr>
      </w:pPr>
      <w:r>
        <w:t xml:space="preserve">Automatic logon is allowed only for low-risk systems such as a</w:t>
      </w:r>
      <w:r>
        <w:t xml:space="preserve"> </w:t>
      </w:r>
      <w:r>
        <w:t xml:space="preserve">conference-room PC driving a Zoom Room.</w:t>
      </w:r>
    </w:p>
    <w:p>
      <w:pPr>
        <w:pStyle w:val="Compact"/>
        <w:numPr>
          <w:ilvl w:val="1"/>
          <w:numId w:val="1010"/>
        </w:numPr>
      </w:pPr>
      <w:r>
        <w:t xml:space="preserve">Such systems sit on a separate network VLAN.</w:t>
      </w:r>
    </w:p>
    <w:p>
      <w:pPr>
        <w:numPr>
          <w:ilvl w:val="0"/>
          <w:numId w:val="1009"/>
        </w:numPr>
      </w:pPr>
      <w:r>
        <w:t xml:space="preserve">Users must secure any information system when leaving it unattended — for</w:t>
      </w:r>
      <w:r>
        <w:t xml:space="preserve"> </w:t>
      </w:r>
      <w:r>
        <w:t xml:space="preserve">example by engaging a password-protected screen saver or logging off.</w:t>
      </w:r>
    </w:p>
    <w:p>
      <w:pPr>
        <w:numPr>
          <w:ilvl w:val="0"/>
          <w:numId w:val="1009"/>
        </w:numPr>
      </w:pPr>
      <w:r>
        <w:t xml:space="preserve">Information systems automatically lock users — for example by engaging a</w:t>
      </w:r>
      <w:r>
        <w:t xml:space="preserve"> </w:t>
      </w:r>
      <w:r>
        <w:t xml:space="preserve">password-protected screen saver — after 2 minutes or less of inactivity.</w:t>
      </w:r>
    </w:p>
    <w:p>
      <w:pPr>
        <w:numPr>
          <w:ilvl w:val="0"/>
          <w:numId w:val="1009"/>
        </w:numPr>
      </w:pPr>
      <w:r>
        <w:t xml:space="preserve">Information systems automatically enter standby or log users off after 30</w:t>
      </w:r>
      <w:r>
        <w:t xml:space="preserve"> </w:t>
      </w:r>
      <w:r>
        <w:t xml:space="preserve">minutes or less of inactivity.</w:t>
      </w:r>
    </w:p>
    <w:p>
      <w:pPr>
        <w:numPr>
          <w:ilvl w:val="0"/>
          <w:numId w:val="1009"/>
        </w:numPr>
      </w:pPr>
      <w:r>
        <w:t xml:space="preserve">The CISO must pre-approve any exception to the automatic log-off requirements.</w:t>
      </w:r>
    </w:p>
    <w:bookmarkEnd w:id="18"/>
    <w:bookmarkEnd w:id="19"/>
    <w:bookmarkStart w:id="24" w:name="password-management"/>
    <w:p>
      <w:pPr>
        <w:pStyle w:val="Heading3"/>
      </w:pPr>
      <w:r>
        <w:t xml:space="preserve">3.2 Password management</w:t>
      </w:r>
    </w:p>
    <w:p>
      <w:pPr>
        <w:numPr>
          <w:ilvl w:val="0"/>
          <w:numId w:val="1011"/>
        </w:numPr>
      </w:pPr>
      <w:r>
        <w:t xml:space="preserve">User IDs and passwords control access to Tessera systems and must not be</w:t>
      </w:r>
      <w:r>
        <w:t xml:space="preserve"> </w:t>
      </w:r>
      <w:r>
        <w:t xml:space="preserve">disclosed to anyone for any reason.</w:t>
      </w:r>
    </w:p>
    <w:p>
      <w:pPr>
        <w:numPr>
          <w:ilvl w:val="0"/>
          <w:numId w:val="1011"/>
        </w:numPr>
      </w:pPr>
      <w:r>
        <w:t xml:space="preserve">Users must not allow anyone, for any reason, to access an information system</w:t>
      </w:r>
      <w:r>
        <w:t xml:space="preserve"> </w:t>
      </w:r>
      <w:r>
        <w:t xml:space="preserve">using another user’s unique credentials.</w:t>
      </w:r>
    </w:p>
    <w:p>
      <w:pPr>
        <w:numPr>
          <w:ilvl w:val="0"/>
          <w:numId w:val="1011"/>
        </w:numPr>
      </w:pPr>
      <w:r>
        <w:t xml:space="preserve">On all production systems and applications in the Tessera environment,</w:t>
      </w:r>
      <w:r>
        <w:t xml:space="preserve"> </w:t>
      </w:r>
      <w:r>
        <w:t xml:space="preserve">password configurations require:</w:t>
      </w:r>
    </w:p>
    <w:p>
      <w:pPr>
        <w:pStyle w:val="Compact"/>
        <w:numPr>
          <w:ilvl w:val="1"/>
          <w:numId w:val="1012"/>
        </w:numPr>
      </w:pPr>
      <w:r>
        <w:t xml:space="preserve">a minimum length of 12 characters;</w:t>
      </w:r>
    </w:p>
    <w:p>
      <w:pPr>
        <w:pStyle w:val="Compact"/>
        <w:numPr>
          <w:ilvl w:val="1"/>
          <w:numId w:val="1012"/>
        </w:numPr>
      </w:pPr>
      <w:r>
        <w:t xml:space="preserve">a mix of upper-case, lower-case and numeric or special characters;</w:t>
      </w:r>
    </w:p>
    <w:p>
      <w:pPr>
        <w:pStyle w:val="Compact"/>
        <w:numPr>
          <w:ilvl w:val="1"/>
          <w:numId w:val="1012"/>
        </w:numPr>
      </w:pPr>
      <w:r>
        <w:t xml:space="preserve">no reuse of the last 24 passwords, with at least 6 characters changing on</w:t>
      </w:r>
      <w:r>
        <w:t xml:space="preserve"> </w:t>
      </w:r>
      <w:r>
        <w:t xml:space="preserve">each change;</w:t>
      </w:r>
    </w:p>
    <w:p>
      <w:pPr>
        <w:pStyle w:val="Compact"/>
        <w:numPr>
          <w:ilvl w:val="1"/>
          <w:numId w:val="1012"/>
        </w:numPr>
      </w:pPr>
      <w:r>
        <w:t xml:space="preserve">account lockout after 5 invalid attempts.</w:t>
      </w:r>
    </w:p>
    <w:p>
      <w:pPr>
        <w:numPr>
          <w:ilvl w:val="0"/>
          <w:numId w:val="1000"/>
        </w:numPr>
      </w:pPr>
      <w:r>
        <w:t xml:space="preserve">Tessera’s baseline position, consistent with NIST SP 800-63B, is that</w:t>
      </w:r>
      <w:r>
        <w:t xml:space="preserve"> </w:t>
      </w:r>
      <w:r>
        <w:t xml:space="preserve">accounts continuously protected by MFA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subject to forced periodic</w:t>
      </w:r>
      <w:r>
        <w:t xml:space="preserve"> </w:t>
      </w:r>
      <w:r>
        <w:t xml:space="preserve">rotation. Forced rotation is retained only for a small number of accounts that</w:t>
      </w:r>
      <w:r>
        <w:t xml:space="preserve"> </w:t>
      </w:r>
      <w:r>
        <w:t xml:space="preserve">cannot be MFA-enrolled.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[Reviewer, 2025-03-06: the prior 60-day blanket rotation is still</w:t>
      </w:r>
      <w:r>
        <w:rPr>
          <w:i/>
          <w:iCs/>
        </w:rPr>
        <w:t xml:space="preserve"> </w:t>
      </w:r>
      <w:r>
        <w:rPr>
          <w:i/>
          <w:iCs/>
        </w:rPr>
        <w:t xml:space="preserve">contractually required for two legacy financial-services tenants until their</w:t>
      </w:r>
      <w:r>
        <w:rPr>
          <w:i/>
          <w:iCs/>
        </w:rPr>
        <w:t xml:space="preserve"> </w:t>
      </w:r>
      <w:r>
        <w:rPr>
          <w:i/>
          <w:iCs/>
        </w:rPr>
        <w:t xml:space="preserve">contract renewals in late 2025 — leave the rotation profile in the IdP until</w:t>
      </w:r>
      <w:r>
        <w:rPr>
          <w:i/>
          <w:iCs/>
        </w:rPr>
        <w:t xml:space="preserve"> </w:t>
      </w:r>
      <w:r>
        <w:rPr>
          <w:i/>
          <w:iCs/>
        </w:rPr>
        <w:t xml:space="preserve">then, do not</w:t>
      </w:r>
      <w:r>
        <w:rPr>
          <w:i/>
          <w:iCs/>
        </w:rPr>
        <w:t xml:space="preserve"> </w:t>
      </w:r>
      <w:r>
        <w:rPr>
          <w:i/>
          <w:iCs/>
        </w:rPr>
        <w:t xml:space="preserve">“tidy”</w:t>
      </w:r>
      <w:r>
        <w:rPr>
          <w:i/>
          <w:iCs/>
        </w:rPr>
        <w:t xml:space="preserve"> </w:t>
      </w:r>
      <w:r>
        <w:rPr>
          <w:i/>
          <w:iCs/>
        </w:rPr>
        <w:t xml:space="preserve">it away.]</w:t>
      </w:r>
    </w:p>
    <w:p>
      <w:pPr>
        <w:numPr>
          <w:ilvl w:val="0"/>
          <w:numId w:val="1011"/>
        </w:numPr>
      </w:pPr>
      <w:r>
        <w:t xml:space="preserve">All system and application passwords are stored and transmitted securely.</w:t>
      </w:r>
    </w:p>
    <w:p>
      <w:pPr>
        <w:pStyle w:val="Compact"/>
        <w:numPr>
          <w:ilvl w:val="1"/>
          <w:numId w:val="1013"/>
        </w:numPr>
      </w:pPr>
      <w:r>
        <w:t xml:space="preserve">Where supported, passwords are stored hashed using a salted cryptographic</w:t>
      </w:r>
      <w:r>
        <w:t xml:space="preserve"> </w:t>
      </w:r>
      <w:r>
        <w:t xml:space="preserve">hash (SHA-256 or a stronger NIST-compliant standard).</w:t>
      </w:r>
    </w:p>
    <w:p>
      <w:pPr>
        <w:pStyle w:val="Compact"/>
        <w:numPr>
          <w:ilvl w:val="1"/>
          <w:numId w:val="1013"/>
        </w:numPr>
      </w:pPr>
      <w:r>
        <w:t xml:space="preserve">Passwords that must be stored in a non-hashed form are encrypted at rest</w:t>
      </w:r>
      <w:r>
        <w:t xml:space="preserve"> </w:t>
      </w:r>
      <w:r>
        <w:t xml:space="preserve">under the</w:t>
      </w:r>
      <w:r>
        <w:t xml:space="preserve"> </w:t>
      </w:r>
      <w:hyperlink r:id="rId20">
        <w:r>
          <w:rPr>
            <w:rStyle w:val="Hyperlink"/>
          </w:rPr>
          <w:t xml:space="preserve">Data Protection Policy</w:t>
        </w:r>
      </w:hyperlink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Passwords transmitted over a network are encrypted in flight under the</w:t>
      </w:r>
      <w:r>
        <w:t xml:space="preserve"> </w:t>
      </w:r>
      <w:hyperlink r:id="rId20">
        <w:r>
          <w:rPr>
            <w:rStyle w:val="Hyperlink"/>
          </w:rPr>
          <w:t xml:space="preserve">Data Protection Policy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Each information system prompts users to change passwords at an interval set</w:t>
      </w:r>
      <w:r>
        <w:t xml:space="preserve"> </w:t>
      </w:r>
      <w:r>
        <w:t xml:space="preserve">by the system owner and the Security team, based on the criticality and</w:t>
      </w:r>
      <w:r>
        <w:t xml:space="preserve"> </w:t>
      </w:r>
      <w:r>
        <w:t xml:space="preserve">sensitivity of the data it holds.</w:t>
      </w:r>
    </w:p>
    <w:p>
      <w:pPr>
        <w:numPr>
          <w:ilvl w:val="0"/>
          <w:numId w:val="1011"/>
        </w:numPr>
      </w:pPr>
      <w:r>
        <w:t xml:space="preserve">Passwords are inactivated immediately on termination of employment, as part of</w:t>
      </w:r>
      <w:r>
        <w:t xml:space="preserve"> </w:t>
      </w:r>
      <w:r>
        <w:t xml:space="preserve">the 24-hour offboarding run in ISMS-PR-014 (see</w:t>
      </w:r>
      <w:r>
        <w:t xml:space="preserve"> </w:t>
      </w:r>
      <w:hyperlink r:id="rId21">
        <w:r>
          <w:rPr>
            <w:rStyle w:val="Hyperlink"/>
          </w:rPr>
          <w:t xml:space="preserve">HR policy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All default system, application and vendor-provided passwords are changed</w:t>
      </w:r>
      <w:r>
        <w:t xml:space="preserve"> </w:t>
      </w:r>
      <w:r>
        <w:t xml:space="preserve">before deployment to production.</w:t>
      </w:r>
    </w:p>
    <w:p>
      <w:pPr>
        <w:numPr>
          <w:ilvl w:val="0"/>
          <w:numId w:val="1011"/>
        </w:numPr>
      </w:pPr>
      <w:r>
        <w:t xml:space="preserve">On first login, users must change any password that was auto-generated for</w:t>
      </w:r>
      <w:r>
        <w:t xml:space="preserve"> </w:t>
      </w:r>
      <w:r>
        <w:t xml:space="preserve">them.</w:t>
      </w:r>
    </w:p>
    <w:p>
      <w:pPr>
        <w:numPr>
          <w:ilvl w:val="0"/>
          <w:numId w:val="1011"/>
        </w:numPr>
      </w:pPr>
      <w:r>
        <w:t xml:space="preserve">Password-change flows use a confirmation step to catch input errors.</w:t>
      </w:r>
    </w:p>
    <w:p>
      <w:pPr>
        <w:numPr>
          <w:ilvl w:val="0"/>
          <w:numId w:val="1011"/>
        </w:numPr>
      </w:pPr>
      <w:r>
        <w:t xml:space="preserve">All passwords used in configuration scripts are secured and encrypted.</w:t>
      </w:r>
    </w:p>
    <w:p>
      <w:pPr>
        <w:numPr>
          <w:ilvl w:val="0"/>
          <w:numId w:val="1011"/>
        </w:numPr>
      </w:pPr>
      <w:r>
        <w:t xml:space="preserve">If a user believes their user ID has been compromised, they must report it</w:t>
      </w:r>
      <w:r>
        <w:t xml:space="preserve"> </w:t>
      </w:r>
      <w:r>
        <w:t xml:space="preserve">immediately to the</w:t>
      </w:r>
      <w:r>
        <w:t xml:space="preserve"> </w:t>
      </w:r>
      <w:hyperlink r:id="rId22">
        <w:r>
          <w:rPr>
            <w:rStyle w:val="Hyperlink"/>
          </w:rPr>
          <w:t xml:space="preserve">Security team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Where a user has forgotten a password, the reset process provided by the IdP</w:t>
      </w:r>
      <w:r>
        <w:t xml:space="preserve"> </w:t>
      </w:r>
      <w:r>
        <w:t xml:space="preserve">applies; the exact flow depends on the system. If help is needed, users</w:t>
      </w:r>
      <w:r>
        <w:t xml:space="preserve"> </w:t>
      </w:r>
      <w:r>
        <w:t xml:space="preserve">contact</w:t>
      </w:r>
      <w:r>
        <w:t xml:space="preserve"> </w:t>
      </w:r>
      <w:hyperlink r:id="rId23">
        <w:r>
          <w:rPr>
            <w:rStyle w:val="Hyperlink"/>
          </w:rPr>
          <w:t xml:space="preserve">IT Support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Security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An approved password manager stores or shares non-critical business</w:t>
      </w:r>
      <w:r>
        <w:t xml:space="preserve"> </w:t>
      </w:r>
      <w:r>
        <w:t xml:space="preserve">application passwords that are not wired into the primary IdP through SSO.</w:t>
      </w:r>
    </w:p>
    <w:p>
      <w:pPr>
        <w:numPr>
          <w:ilvl w:val="1"/>
          <w:numId w:val="1014"/>
        </w:numPr>
      </w:pPr>
      <w:r>
        <w:t xml:space="preserve">The password manager encrypts the local vault with the user’s master</w:t>
      </w:r>
      <w:r>
        <w:t xml:space="preserve"> </w:t>
      </w:r>
      <w:r>
        <w:t xml:space="preserve">password before synchronising to the cloud.</w:t>
      </w:r>
    </w:p>
    <w:p>
      <w:pPr>
        <w:numPr>
          <w:ilvl w:val="1"/>
          <w:numId w:val="1014"/>
        </w:numPr>
      </w:pPr>
      <w:r>
        <w:t xml:space="preserve">The master password meets the requirements above.</w:t>
      </w:r>
    </w:p>
    <w:p>
      <w:pPr>
        <w:numPr>
          <w:ilvl w:val="1"/>
          <w:numId w:val="1014"/>
        </w:numPr>
      </w:pPr>
      <w:r>
        <w:t xml:space="preserve">MFA is enabled on the password-manager account.</w:t>
      </w:r>
    </w:p>
    <w:p>
      <w:pPr>
        <w:numPr>
          <w:ilvl w:val="1"/>
          <w:numId w:val="1014"/>
        </w:numPr>
      </w:pPr>
      <w:r>
        <w:t xml:space="preserve">Enrolment of the password manager is configured as an application in Okta.</w:t>
      </w:r>
    </w:p>
    <w:p>
      <w:pPr>
        <w:pStyle w:val="BlockText"/>
        <w:numPr>
          <w:ilvl w:val="1"/>
          <w:numId w:val="1000"/>
        </w:numPr>
      </w:pPr>
      <w:r>
        <w:rPr>
          <w:i/>
          <w:iCs/>
        </w:rPr>
        <w:t xml:space="preserve">[Reviewer, 2025-03-04:</w:t>
      </w:r>
      <w:r>
        <w:rPr>
          <w:i/>
          <w:iCs/>
        </w:rPr>
        <w:t xml:space="preserve"> </w:t>
      </w:r>
      <w:r>
        <w:rPr>
          <w:i/>
          <w:iCs/>
        </w:rPr>
        <w:t xml:space="preserve">“Okta”</w:t>
      </w:r>
      <w:r>
        <w:rPr>
          <w:i/>
          <w:iCs/>
        </w:rPr>
        <w:t xml:space="preserve"> </w:t>
      </w:r>
      <w:r>
        <w:rPr>
          <w:i/>
          <w:iCs/>
        </w:rPr>
        <w:t xml:space="preserve">above is stale — the IdP migration to</w:t>
      </w:r>
      <w:r>
        <w:rPr>
          <w:i/>
          <w:iCs/>
        </w:rPr>
        <w:t xml:space="preserve"> </w:t>
      </w:r>
      <w:r>
        <w:rPr>
          <w:i/>
          <w:iCs/>
        </w:rPr>
        <w:t xml:space="preserve">Auth0 completed in 2024 and this integration now lives there. Correct on</w:t>
      </w:r>
      <w:r>
        <w:rPr>
          <w:i/>
          <w:iCs/>
        </w:rPr>
        <w:t xml:space="preserve"> </w:t>
      </w:r>
      <w:r>
        <w:rPr>
          <w:i/>
          <w:iCs/>
        </w:rPr>
        <w:t xml:space="preserve">the next pass; left in place deliberately so the change is visible in the</w:t>
      </w:r>
      <w:r>
        <w:rPr>
          <w:i/>
          <w:iCs/>
        </w:rPr>
        <w:t xml:space="preserve"> </w:t>
      </w:r>
      <w:r>
        <w:rPr>
          <w:i/>
          <w:iCs/>
        </w:rPr>
        <w:t xml:space="preserve">ticket trail.]</w:t>
      </w:r>
    </w:p>
    <w:p>
      <w:pPr>
        <w:numPr>
          <w:ilvl w:val="0"/>
          <w:numId w:val="1011"/>
        </w:numPr>
      </w:pPr>
      <w:r>
        <w:t xml:space="preserve">An automated screening step prevents use of compromised or common</w:t>
      </w:r>
      <w:r>
        <w:t xml:space="preserve"> </w:t>
      </w:r>
      <w:r>
        <w:t xml:space="preserve">dictionary passwords. This is implemented at the IdP (Auth0).</w:t>
      </w:r>
    </w:p>
    <w:bookmarkEnd w:id="24"/>
    <w:bookmarkStart w:id="26" w:name="single-sign-on"/>
    <w:p>
      <w:pPr>
        <w:pStyle w:val="Heading3"/>
      </w:pPr>
      <w:r>
        <w:t xml:space="preserve">3.3 Single sign-on</w:t>
      </w:r>
    </w:p>
    <w:p>
      <w:pPr>
        <w:numPr>
          <w:ilvl w:val="0"/>
          <w:numId w:val="1015"/>
        </w:numPr>
      </w:pPr>
      <w:r>
        <w:t xml:space="preserve">Tessera uses</w:t>
      </w:r>
      <w:r>
        <w:t xml:space="preserve"> </w:t>
      </w:r>
      <w:r>
        <w:rPr>
          <w:b/>
          <w:bCs/>
        </w:rPr>
        <w:t xml:space="preserve">Auth0</w:t>
      </w:r>
      <w:r>
        <w:t xml:space="preserve"> </w:t>
      </w:r>
      <w:r>
        <w:t xml:space="preserve">as its primary identity provider (IdP) to control user</w:t>
      </w:r>
      <w:r>
        <w:t xml:space="preserve"> </w:t>
      </w:r>
      <w:r>
        <w:t xml:space="preserve">access to systems and business applications.</w:t>
      </w:r>
    </w:p>
    <w:p>
      <w:pPr>
        <w:numPr>
          <w:ilvl w:val="0"/>
          <w:numId w:val="1015"/>
        </w:numPr>
      </w:pPr>
      <w:r>
        <w:t xml:space="preserve">Single sign-on (SSO) is used in preference to local authentication wherever a</w:t>
      </w:r>
      <w:r>
        <w:t xml:space="preserve"> </w:t>
      </w:r>
      <w:r>
        <w:t xml:space="preserve">target application supports it. Centralising identity at the IdP improves the</w:t>
      </w:r>
      <w:r>
        <w:t xml:space="preserve"> </w:t>
      </w:r>
      <w:r>
        <w:t xml:space="preserve">user experience and simplifies joiner-mover-leaver management.</w:t>
      </w:r>
    </w:p>
    <w:p>
      <w:pPr>
        <w:numPr>
          <w:ilvl w:val="0"/>
          <w:numId w:val="1015"/>
        </w:numPr>
      </w:pPr>
      <w:r>
        <w:t xml:space="preserve">SSO is configured over industry-standard SAML between Auth0 and the target</w:t>
      </w:r>
      <w:r>
        <w:t xml:space="preserve"> </w:t>
      </w:r>
      <w:r>
        <w:t xml:space="preserve">application.</w:t>
      </w:r>
    </w:p>
    <w:p>
      <w:pPr>
        <w:numPr>
          <w:ilvl w:val="0"/>
          <w:numId w:val="1015"/>
        </w:numPr>
      </w:pPr>
      <w:r>
        <w:t xml:space="preserve">Tessera will not configure SSO to a target application unless it scores a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rating or higher on the</w:t>
      </w:r>
      <w:r>
        <w:t xml:space="preserve"> </w:t>
      </w:r>
      <w:hyperlink r:id="rId25">
        <w:r>
          <w:rPr>
            <w:rStyle w:val="Hyperlink"/>
          </w:rPr>
          <w:t xml:space="preserve">Qualys SSL Labs</w:t>
        </w:r>
      </w:hyperlink>
      <w:r>
        <w:t xml:space="preserve"> </w:t>
      </w:r>
      <w:r>
        <w:t xml:space="preserve">benchmark.</w:t>
      </w:r>
    </w:p>
    <w:p>
      <w:pPr>
        <w:numPr>
          <w:ilvl w:val="0"/>
          <w:numId w:val="1015"/>
        </w:numPr>
      </w:pPr>
      <w:r>
        <w:t xml:space="preserve">The Security team administers the IdP and SSO platform, including user and</w:t>
      </w:r>
      <w:r>
        <w:t xml:space="preserve"> </w:t>
      </w:r>
      <w:r>
        <w:t xml:space="preserve">access provisioning, and may delegate administrative rights over a defined</w:t>
      </w:r>
      <w:r>
        <w:t xml:space="preserve"> </w:t>
      </w:r>
      <w:r>
        <w:t xml:space="preserve">subset (for example a single application) to another team.</w:t>
      </w:r>
    </w:p>
    <w:bookmarkEnd w:id="26"/>
    <w:bookmarkStart w:id="27" w:name="multi-factor-authentication"/>
    <w:p>
      <w:pPr>
        <w:pStyle w:val="Heading3"/>
      </w:pPr>
      <w:r>
        <w:t xml:space="preserve">3.4 Multi-factor authentication</w:t>
      </w:r>
    </w:p>
    <w:p>
      <w:pPr>
        <w:pStyle w:val="FirstParagraph"/>
      </w:pPr>
      <w:r>
        <w:t xml:space="preserve">Multi-factor authentication (MFA) is a standard Tessera control for strong</w:t>
      </w:r>
      <w:r>
        <w:t xml:space="preserve"> </w:t>
      </w:r>
      <w:r>
        <w:t xml:space="preserve">access to critical systems and applications, and is enabled wherever a resource</w:t>
      </w:r>
      <w:r>
        <w:t xml:space="preserve"> </w:t>
      </w:r>
      <w:r>
        <w:t xml:space="preserve">supports it. Tessera implements MFA through Auth0.</w:t>
      </w:r>
    </w:p>
    <w:p>
      <w:pPr>
        <w:pStyle w:val="BodyText"/>
      </w:pPr>
      <w:r>
        <w:rPr>
          <w:b/>
          <w:bCs/>
        </w:rPr>
        <w:t xml:space="preserve">MFA is required for access to every production environment and critical</w:t>
      </w:r>
      <w:r>
        <w:rPr>
          <w:b/>
          <w:bCs/>
        </w:rPr>
        <w:t xml:space="preserve"> </w:t>
      </w:r>
      <w:r>
        <w:rPr>
          <w:b/>
          <w:bCs/>
        </w:rPr>
        <w:t xml:space="preserve">system.</w:t>
      </w:r>
      <w:r>
        <w:t xml:space="preserve"> </w:t>
      </w:r>
      <w:r>
        <w:t xml:space="preserve">The rollout is complete; there is no partial-coverage state and no</w:t>
      </w:r>
      <w:r>
        <w:t xml:space="preserve"> </w:t>
      </w:r>
      <w:r>
        <w:t xml:space="preserve">standing exemption.</w:t>
      </w:r>
    </w:p>
    <w:p>
      <w:pPr>
        <w:pStyle w:val="BlockText"/>
      </w:pPr>
      <w:r>
        <w:rPr>
          <w:i/>
          <w:iCs/>
        </w:rPr>
        <w:t xml:space="preserve">[Reviewer, 2025-02-18: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“85% of critical systems by Q2 2024”</w:t>
      </w:r>
      <w:r>
        <w:rPr>
          <w:i/>
          <w:iCs/>
        </w:rPr>
        <w:t xml:space="preserve"> </w:t>
      </w:r>
      <w:r>
        <w:rPr>
          <w:i/>
          <w:iCs/>
        </w:rPr>
        <w:t xml:space="preserve">figure is retired — Project MFA-COMPLETE closed out at 100% in November 2024.</w:t>
      </w:r>
      <w:r>
        <w:rPr>
          <w:i/>
          <w:iCs/>
        </w:rPr>
        <w:t xml:space="preserve"> </w:t>
      </w:r>
      <w:r>
        <w:rPr>
          <w:i/>
          <w:iCs/>
        </w:rPr>
        <w:t xml:space="preserve">Remove any deck or dashboard still quoting the old partial number.]</w:t>
      </w:r>
    </w:p>
    <w:p>
      <w:pPr>
        <w:pStyle w:val="FirstParagraph"/>
      </w:pPr>
      <w:r>
        <w:t xml:space="preserve">!!! important</w:t>
      </w:r>
    </w:p>
    <w:p>
      <w:pPr>
        <w:pStyle w:val="SourceCode"/>
      </w:pPr>
      <w:r>
        <w:rPr>
          <w:rStyle w:val="VerbatimChar"/>
        </w:rPr>
        <w:t xml:space="preserve">**Approved MFA methods:**</w:t>
      </w:r>
      <w:r>
        <w:br/>
      </w:r>
      <w:r>
        <w:br/>
      </w:r>
      <w:r>
        <w:rPr>
          <w:rStyle w:val="VerbatimChar"/>
        </w:rPr>
        <w:t xml:space="preserve">- Push notification via the Authenticator mobile app (default and preferred for end-user access)</w:t>
      </w:r>
      <w:r>
        <w:br/>
      </w:r>
      <w:r>
        <w:rPr>
          <w:rStyle w:val="VerbatimChar"/>
        </w:rPr>
        <w:t xml:space="preserve">- Hardware security key (required for the root user of AWS accounts)</w:t>
      </w:r>
      <w:r>
        <w:br/>
      </w:r>
      <w:r>
        <w:rPr>
          <w:rStyle w:val="VerbatimChar"/>
        </w:rPr>
        <w:t xml:space="preserve">- A unique cryptographic certificate bound to a device</w:t>
      </w:r>
      <w:r>
        <w:br/>
      </w:r>
      <w:r>
        <w:rPr>
          <w:rStyle w:val="VerbatimChar"/>
        </w:rPr>
        <w:t xml:space="preserve">- Time-based one-time password (TOTP) via an authenticator app</w:t>
      </w:r>
      <w:r>
        <w:br/>
      </w:r>
      <w:r>
        <w:rPr>
          <w:rStyle w:val="VerbatimChar"/>
        </w:rPr>
        <w:t xml:space="preserve">- One-time passcode via SMS, only where it is the sole method a target supports</w:t>
      </w:r>
      <w:r>
        <w:br/>
      </w:r>
      <w:r>
        <w:rPr>
          <w:rStyle w:val="VerbatimChar"/>
        </w:rPr>
        <w:t xml:space="preserve">- Secure physical facility, where a system can only be accessed at that location</w:t>
      </w:r>
    </w:p>
    <w:p>
      <w:pPr>
        <w:pStyle w:val="BlockText"/>
      </w:pPr>
      <w:r>
        <w:rPr>
          <w:i/>
          <w:iCs/>
        </w:rPr>
        <w:t xml:space="preserve">[Reviewer, 2025-03-06: SMS remains listed as a last-resort factor. NIST SP</w:t>
      </w:r>
      <w:r>
        <w:rPr>
          <w:i/>
          <w:iCs/>
        </w:rPr>
        <w:t xml:space="preserve"> </w:t>
      </w:r>
      <w:r>
        <w:rPr>
          <w:i/>
          <w:iCs/>
        </w:rPr>
        <w:t xml:space="preserve">800-63B deprecates SMS for authentication; the plan is to retire it once the</w:t>
      </w:r>
      <w:r>
        <w:rPr>
          <w:i/>
          <w:iCs/>
        </w:rPr>
        <w:t xml:space="preserve"> </w:t>
      </w:r>
      <w:r>
        <w:rPr>
          <w:i/>
          <w:iCs/>
        </w:rPr>
        <w:t xml:space="preserve">two remaining integrations move to TOTP — track under the MFA-COMPLETE</w:t>
      </w:r>
      <w:r>
        <w:rPr>
          <w:i/>
          <w:iCs/>
        </w:rPr>
        <w:t xml:space="preserve"> </w:t>
      </w:r>
      <w:r>
        <w:rPr>
          <w:i/>
          <w:iCs/>
        </w:rPr>
        <w:t xml:space="preserve">closure ticket.]</w:t>
      </w:r>
    </w:p>
    <w:bookmarkEnd w:id="27"/>
    <w:bookmarkStart w:id="28" w:name="role-based-access-control"/>
    <w:p>
      <w:pPr>
        <w:pStyle w:val="Heading3"/>
      </w:pPr>
      <w:r>
        <w:t xml:space="preserve">3.5 Role-based access control</w:t>
      </w:r>
    </w:p>
    <w:p>
      <w:pPr>
        <w:pStyle w:val="FirstParagraph"/>
      </w:pPr>
      <w:r>
        <w:t xml:space="preserve">By default, user access is granted according to job function, for example:</w:t>
      </w:r>
    </w:p>
    <w:p>
      <w:pPr>
        <w:pStyle w:val="Compact"/>
        <w:numPr>
          <w:ilvl w:val="0"/>
          <w:numId w:val="1016"/>
        </w:numPr>
      </w:pPr>
      <w:r>
        <w:t xml:space="preserve">Developer</w:t>
      </w:r>
    </w:p>
    <w:p>
      <w:pPr>
        <w:pStyle w:val="Compact"/>
        <w:numPr>
          <w:ilvl w:val="0"/>
          <w:numId w:val="1016"/>
        </w:numPr>
      </w:pPr>
      <w:r>
        <w:t xml:space="preserve">Security</w:t>
      </w:r>
    </w:p>
    <w:p>
      <w:pPr>
        <w:pStyle w:val="Compact"/>
        <w:numPr>
          <w:ilvl w:val="0"/>
          <w:numId w:val="1016"/>
        </w:numPr>
      </w:pPr>
      <w:r>
        <w:t xml:space="preserve">IT</w:t>
      </w:r>
    </w:p>
    <w:p>
      <w:pPr>
        <w:pStyle w:val="Compact"/>
        <w:numPr>
          <w:ilvl w:val="0"/>
          <w:numId w:val="1016"/>
        </w:numPr>
      </w:pPr>
      <w:r>
        <w:t xml:space="preserve">Administrative</w:t>
      </w:r>
    </w:p>
    <w:p>
      <w:pPr>
        <w:pStyle w:val="Compact"/>
        <w:numPr>
          <w:ilvl w:val="0"/>
          <w:numId w:val="1016"/>
        </w:numPr>
      </w:pPr>
      <w:r>
        <w:t xml:space="preserve">Marketing / Sales</w:t>
      </w:r>
    </w:p>
    <w:p>
      <w:pPr>
        <w:pStyle w:val="FirstParagraph"/>
      </w:pPr>
      <w:r>
        <w:t xml:space="preserve">Roles are defined as</w:t>
      </w:r>
      <w:r>
        <w:t xml:space="preserve"> </w:t>
      </w:r>
      <w:r>
        <w:rPr>
          <w:b/>
          <w:bCs/>
        </w:rPr>
        <w:t xml:space="preserve">user groups</w:t>
      </w:r>
      <w:r>
        <w:t xml:space="preserve"> </w:t>
      </w:r>
      <w:r>
        <w:t xml:space="preserve">in the IdP (Auth0), and entitlements are</w:t>
      </w:r>
      <w:r>
        <w:t xml:space="preserve"> </w:t>
      </w:r>
      <w:r>
        <w:t xml:space="preserve">derived from group membership rather than granted to individuals.</w:t>
      </w:r>
    </w:p>
    <w:p>
      <w:pPr>
        <w:pStyle w:val="BodyText"/>
      </w:pPr>
      <w:r>
        <w:t xml:space="preserve">Access to sensitive data and production tenant data is highly restricted and is</w:t>
      </w:r>
      <w:r>
        <w:t xml:space="preserve"> </w:t>
      </w:r>
      <w:r>
        <w:t xml:space="preserve">further defined in the Data Classification &amp; Lifecycle Policy (POL-DATA-002,</w:t>
      </w:r>
      <w:r>
        <w:t xml:space="preserve"> </w:t>
      </w:r>
      <w:r>
        <w:t xml:space="preserve">formerly POL-DATA-001).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status: v1.4, last reviewed 03-03-2025.</w:t>
      </w:r>
      <w:r>
        <w:t xml:space="preserve"> </w:t>
      </w:r>
      <w:r>
        <w:t xml:space="preserve">Next scheduled review:</w:t>
      </w:r>
      <w:r>
        <w:t xml:space="preserve"> </w:t>
      </w:r>
      <w:r>
        <w:t xml:space="preserve">10-03-2026. Questions about this policy go to</w:t>
      </w:r>
      <w:r>
        <w:t xml:space="preserve"> </w:t>
      </w:r>
      <w:r>
        <w:rPr>
          <w:rStyle w:val="VerbatimChar"/>
        </w:rPr>
        <w:t xml:space="preserve">security@tessera.locoensayo.org</w:t>
      </w:r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data_protection.md" TargetMode="External" /><Relationship Type="http://schemas.openxmlformats.org/officeDocument/2006/relationships/hyperlink" Id="rId21" Target="hr.md" TargetMode="External" /><Relationship Type="http://schemas.openxmlformats.org/officeDocument/2006/relationships/hyperlink" Id="rId25" Target="https://www.ssllabs.com/" TargetMode="External" /><Relationship Type="http://schemas.openxmlformats.org/officeDocument/2006/relationships/hyperlink" Id="rId23" Target="mailto:itsupport@tessera.locoensayo.org" TargetMode="External" /><Relationship Type="http://schemas.openxmlformats.org/officeDocument/2006/relationships/hyperlink" Id="rId22" Target="mailto:security@tessera.locoensay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ata_protection.md" TargetMode="External" /><Relationship Type="http://schemas.openxmlformats.org/officeDocument/2006/relationships/hyperlink" Id="rId21" Target="hr.md" TargetMode="External" /><Relationship Type="http://schemas.openxmlformats.org/officeDocument/2006/relationships/hyperlink" Id="rId25" Target="https://www.ssllabs.com/" TargetMode="External" /><Relationship Type="http://schemas.openxmlformats.org/officeDocument/2006/relationships/hyperlink" Id="rId23" Target="mailto:itsupport@tessera.locoensayo.org" TargetMode="External" /><Relationship Type="http://schemas.openxmlformats.org/officeDocument/2006/relationships/hyperlink" Id="rId22" Target="mailto:security@tessera.locoensay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Policy</dc:title>
  <dc:creator/>
  <dc:description>Defines how access to Tessera systems and information is granted, reviewed and revoked on a least-privilege basis, in line with APP 11 of the Privacy Act 1988 (Cth) and ISO/IEC 27001:2022 Annex A controls A.5.15, A.5.16, A.5.18, A.8.2 and A.8.3.</dc:description>
  <cp:keywords/>
  <dcterms:created xsi:type="dcterms:W3CDTF">2026-08-17T05:16:54Z</dcterms:created>
  <dcterms:modified xsi:type="dcterms:W3CDTF">2026-08-17T05:16:54Z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sources">
    <vt:lpwstr/>
  </property>
  <property fmtid="{D5CDD505-2E9C-101B-9397-08002B2CF9AE}" pid="10" name="toc-title">
    <vt:lpwstr>Table of contents</vt:lpwstr>
  </property>
</Properties>
</file>