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jpg" ContentType="image/jpeg"/>
  <Override PartName="/word/media/rId83.jpg" ContentType="image/jpeg"/>
  <Override PartName="/word/media/rId48.jpg" ContentType="image/jpeg"/>
  <Override PartName="/word/media/rId36.jpg" ContentType="image/jpeg"/>
  <Override PartName="/word/media/rId24.jpg" ContentType="image/jpeg"/>
  <Override PartName="/word/media/rId18.jpg" ContentType="image/jpeg"/>
  <Override PartName="/word/media/rId68.jpg" ContentType="image/jpeg"/>
  <Override PartName="/word/media/rId64.jpg" ContentType="image/jpeg"/>
  <Override PartName="/word/media/rId60.jpg" ContentType="image/jpeg"/>
  <Override PartName="/word/media/rId55.svg" ContentType="image/svg+xml"/>
  <Override PartName="/word/media/rId89.jpg" ContentType="image/jpeg"/>
  <Override PartName="/word/media/rId28.svg" ContentType="image/svg+xml"/>
  <Override PartName="/word/media/rId42.jpg" ContentType="image/jpeg"/>
  <Override PartName="/word/media/rId72.jpg" ContentType="image/jpeg"/>
  <Override PartName="/word/media/rId76.jpg" ContentType="image/jpeg"/>
  <Override PartName="/word/media/rId31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Human Edge</w:t>
      </w:r>
    </w:p>
    <w:p>
      <w:pPr>
        <w:pStyle w:val="Subtitle"/>
      </w:pPr>
      <w:r>
        <w:t xml:space="preserve">Using and Delivering AI with Judgement</w:t>
      </w:r>
    </w:p>
    <w:p>
      <w:pPr>
        <w:pStyle w:val="Author"/>
      </w:pPr>
      <w:r>
        <w:t xml:space="preserve">Dr. Michael Borck</w:t>
      </w:r>
    </w:p>
    <w:bookmarkStart w:id="9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rPr>
          <w:b/>
          <w:bCs/>
        </w:rPr>
        <w:t xml:space="preserve">The Human Edge: Using and Delivering AI with Judgement</w:t>
      </w:r>
    </w:p>
    <w:p>
      <w:pPr>
        <w:pStyle w:val="BodyText"/>
      </w:pPr>
      <w:r>
        <w:t xml:space="preserve">A one-day masterclass · Curtin Executive Education</w:t>
      </w:r>
    </w:p>
    <w:p>
      <w:pPr>
        <w:pStyle w:val="Compact"/>
        <w:numPr>
          <w:ilvl w:val="0"/>
          <w:numId w:val="1001"/>
        </w:numPr>
      </w:pPr>
      <w:r>
        <w:t xml:space="preserve">Welcome everyone. Today is about</w:t>
      </w:r>
      <w:r>
        <w:t xml:space="preserve"> </w:t>
      </w:r>
      <w:r>
        <w:rPr>
          <w:i/>
          <w:iCs/>
        </w:rPr>
        <w:t xml:space="preserve">doing</w:t>
      </w:r>
      <w:r>
        <w:t xml:space="preserve">, not just listening.</w:t>
      </w:r>
    </w:p>
    <w:p>
      <w:pPr>
        <w:pStyle w:val="Compact"/>
        <w:numPr>
          <w:ilvl w:val="0"/>
          <w:numId w:val="1001"/>
        </w:numPr>
      </w:pPr>
      <w:r>
        <w:t xml:space="preserve">One idea, applied at two scales: at your desk in the morning, across a project in the afternoon.</w:t>
      </w:r>
    </w:p>
    <w:p>
      <w:pPr>
        <w:pStyle w:val="Compact"/>
        <w:numPr>
          <w:ilvl w:val="0"/>
          <w:numId w:val="1001"/>
        </w:numPr>
      </w:pPr>
      <w:r>
        <w:t xml:space="preserve">The one idea: AI produces a convincing average. Knowing when to trust it, and where</w:t>
      </w:r>
      <w:r>
        <w:t xml:space="preserve"> </w:t>
      </w:r>
      <w:r>
        <w:rPr>
          <w:i/>
          <w:iCs/>
        </w:rPr>
        <w:t xml:space="preserve">you</w:t>
      </w:r>
      <w:r>
        <w:t xml:space="preserve"> </w:t>
      </w:r>
      <w:r>
        <w:t xml:space="preserve">must stay in charge, is the skill that lasts. Tools don’t; judgement does.</w:t>
      </w:r>
    </w:p>
    <w:p>
      <w:pPr>
        <w:pStyle w:val="Compact"/>
        <w:numPr>
          <w:ilvl w:val="0"/>
          <w:numId w:val="1001"/>
        </w:numPr>
      </w:pPr>
      <w:r>
        <w:t xml:space="preserve">Bring your device. You’ll work on your own tasks and on a real project scenario.</w:t>
      </w:r>
    </w:p>
    <w:p>
      <w:pPr>
        <w:pStyle w:val="Compact"/>
        <w:numPr>
          <w:ilvl w:val="0"/>
          <w:numId w:val="1001"/>
        </w:numPr>
      </w:pPr>
      <w:r>
        <w:t xml:space="preserve">Ground rule: no stupid questions. The technology is new and everyone is figuring it out.</w:t>
      </w:r>
    </w:p>
    <w:p>
      <w:r>
        <w:pict>
          <v:rect style="width:0;height:1.5pt" o:hralign="center" o:hrstd="t" o:hr="t"/>
        </w:pict>
      </w:r>
    </w:p>
    <w:bookmarkEnd w:id="9"/>
    <w:bookmarkStart w:id="10" w:name="the-provocation-well-spend-the-day-on"/>
    <w:p>
      <w:pPr>
        <w:pStyle w:val="Heading1"/>
      </w:pPr>
      <w:r>
        <w:t xml:space="preserve">The provocation we’ll spend the day on</w:t>
      </w:r>
    </w:p>
    <w:p>
      <w:pPr>
        <w:pStyle w:val="BlockText"/>
      </w:pPr>
      <w:r>
        <w:t xml:space="preserve">If the AI is genuinely good at running your work, it’s equally good at running everyone else’s.</w:t>
      </w:r>
      <w:r>
        <w:t xml:space="preserve"> </w:t>
      </w:r>
      <w:r>
        <w:t xml:space="preserve">Generic competence, with no variation, is the baseline — not an advantage.</w:t>
      </w:r>
    </w:p>
    <w:p>
      <w:pPr>
        <w:pStyle w:val="FirstParagraph"/>
      </w:pPr>
      <w:r>
        <w:rPr>
          <w:b/>
          <w:bCs/>
        </w:rPr>
        <w:t xml:space="preserve">So where does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your</w:t>
      </w:r>
      <w:r>
        <w:rPr>
          <w:b/>
          <w:bCs/>
        </w:rPr>
        <w:t xml:space="preserve"> </w:t>
      </w:r>
      <w:r>
        <w:rPr>
          <w:b/>
          <w:bCs/>
        </w:rPr>
        <w:t xml:space="preserve">edge actually live?</w:t>
      </w:r>
    </w:p>
    <w:p>
      <w:pPr>
        <w:pStyle w:val="Compact"/>
        <w:numPr>
          <w:ilvl w:val="0"/>
          <w:numId w:val="1002"/>
        </w:numPr>
      </w:pPr>
      <w:r>
        <w:t xml:space="preserve">Hold this question. We’ll come back to it at the end of every session.</w:t>
      </w:r>
    </w:p>
    <w:p>
      <w:pPr>
        <w:pStyle w:val="Compact"/>
        <w:numPr>
          <w:ilvl w:val="0"/>
          <w:numId w:val="1002"/>
        </w:numPr>
      </w:pPr>
      <w:r>
        <w:t xml:space="preserve">The answer the day builds toward: your edge lives in your judgement, your taste, and the variation a rival’s identical model can’t reproduce.</w:t>
      </w:r>
    </w:p>
    <w:p>
      <w:pPr>
        <w:pStyle w:val="Compact"/>
        <w:numPr>
          <w:ilvl w:val="0"/>
          <w:numId w:val="1002"/>
        </w:numPr>
      </w:pPr>
      <w:r>
        <w:t xml:space="preserve">Everything today — from your first prompt to a project go/no-go — is in service of</w:t>
      </w:r>
      <w:r>
        <w:t xml:space="preserve"> </w:t>
      </w:r>
      <w:r>
        <w:rPr>
          <w:i/>
          <w:iCs/>
        </w:rPr>
        <w:t xml:space="preserve">locating and protecting</w:t>
      </w:r>
      <w:r>
        <w:t xml:space="preserve"> </w:t>
      </w:r>
      <w:r>
        <w:t xml:space="preserve">that edge.</w:t>
      </w:r>
    </w:p>
    <w:p>
      <w:r>
        <w:pict>
          <v:rect style="width:0;height:1.5pt" o:hralign="center" o:hrstd="t" o:hr="t"/>
        </w:pict>
      </w:r>
    </w:p>
    <w:bookmarkEnd w:id="10"/>
    <w:bookmarkStart w:id="11" w:name="todays-journey"/>
    <w:p>
      <w:pPr>
        <w:pStyle w:val="Heading1"/>
      </w:pPr>
      <w:r>
        <w:t xml:space="preserve">Today’s journey</w:t>
      </w:r>
    </w:p>
    <w:p>
      <w:pPr>
        <w:pStyle w:val="FirstParagraph"/>
      </w:pPr>
      <w:r>
        <w:rPr>
          <w:b/>
          <w:bCs/>
        </w:rPr>
        <w:t xml:space="preserve">One idea. Two scales. One day.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What we 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9:00–10:30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average, the tool, the edge</w:t>
            </w:r>
            <w:r>
              <w:t xml:space="preserve"> </w:t>
            </w:r>
            <w:r>
              <w:t xml:space="preserve">— foundations + the trust tool</w:t>
            </w:r>
            <w:r>
              <w:t xml:space="preserve"> </w:t>
            </w:r>
            <w:r>
              <w:rPr>
                <w:i/>
                <w:iCs/>
              </w:rPr>
              <w:t xml:space="preserve">(taught once)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11:00–12:30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Using AI well, yourself</w:t>
            </w:r>
            <w:r>
              <w:t xml:space="preserve"> </w:t>
            </w:r>
            <w:r>
              <w:t xml:space="preserve">— task scale: prompting, workflow redesign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1:15–2:30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Why AI delivery is different</w:t>
            </w:r>
            <w:r>
              <w:t xml:space="preserve"> </w:t>
            </w:r>
            <w:r>
              <w:t xml:space="preserve">— project scale: the five differences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3:00–4:00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Designing the human in, then shipping</w:t>
            </w:r>
            <w:r>
              <w:t xml:space="preserve"> </w:t>
            </w:r>
            <w:r>
              <w:t xml:space="preserve">— checkpoints, roadmap, go/no-go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4:00–4:30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edge that’s left to humans</w:t>
            </w:r>
            <w:r>
              <w:t xml:space="preserve"> </w:t>
            </w:r>
            <w:r>
              <w:t xml:space="preserve">+ your action plan</w:t>
            </w:r>
          </w:p>
        </w:tc>
      </w:tr>
    </w:tbl>
    <w:p>
      <w:pPr>
        <w:pStyle w:val="Compact"/>
        <w:numPr>
          <w:ilvl w:val="0"/>
          <w:numId w:val="1003"/>
        </w:numPr>
      </w:pPr>
      <w:r>
        <w:t xml:space="preserve">The trust tool is the connective tissue. We learn it once this morning at the level of a single task (</w:t>
      </w:r>
      <w:r>
        <w:t xml:space="preserve">“do I trust this output?”</w:t>
      </w:r>
      <w:r>
        <w:t xml:space="preserve">), and we reuse it this afternoon at the level of a whole project (</w:t>
      </w:r>
      <w:r>
        <w:t xml:space="preserve">“where does a human stay in the loop?”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Same grid, two scales. That’s why this works as one coherent day rather than two crammed together.</w:t>
      </w:r>
    </w:p>
    <w:p>
      <w:pPr>
        <w:pStyle w:val="Compact"/>
        <w:numPr>
          <w:ilvl w:val="0"/>
          <w:numId w:val="1003"/>
        </w:numPr>
      </w:pPr>
      <w:r>
        <w:t xml:space="preserve">The morning builds the fluency; the afternoon applies it to delivery.</w:t>
      </w:r>
    </w:p>
    <w:p>
      <w:r>
        <w:pict>
          <v:rect style="width:0;height:1.5pt" o:hralign="center" o:hrstd="t" o:hr="t"/>
        </w:pict>
      </w:r>
    </w:p>
    <w:bookmarkEnd w:id="11"/>
    <w:bookmarkStart w:id="13" w:name="part-i-morning"/>
    <w:p>
      <w:pPr>
        <w:pStyle w:val="Heading1"/>
      </w:pPr>
      <w:r>
        <w:t xml:space="preserve">PART I — MORNING</w:t>
      </w:r>
    </w:p>
    <w:bookmarkStart w:id="12" w:name="the-average-the-tool-and-your-edge"/>
    <w:p>
      <w:pPr>
        <w:pStyle w:val="Heading2"/>
      </w:pPr>
      <w:r>
        <w:t xml:space="preserve">The average, the tool, and your edge</w:t>
      </w:r>
    </w:p>
    <w:p>
      <w:pPr>
        <w:pStyle w:val="Compact"/>
        <w:numPr>
          <w:ilvl w:val="0"/>
          <w:numId w:val="1004"/>
        </w:numPr>
      </w:pPr>
      <w:r>
        <w:t xml:space="preserve">Part one is personal fluency. By lunch you’ll have directed AI at your own work, judged how far to trust the output, and redesigned one real workflow.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what-ai-actually-is"/>
    <w:p>
      <w:pPr>
        <w:pStyle w:val="Heading1"/>
      </w:pPr>
      <w:r>
        <w:t xml:space="preserve">What AI actually is</w:t>
      </w:r>
    </w:p>
    <w:p>
      <w:pPr>
        <w:pStyle w:val="CaptionedFigure"/>
      </w:pPr>
      <w:r>
        <w:drawing>
          <wp:inline>
            <wp:extent cx="5334000" cy="2907030"/>
            <wp:effectExtent b="0" l="0" r="0" t="0"/>
            <wp:docPr descr="It predicts the next word — autocomplete, scaled up." title="" id="15" name="Picture"/>
            <a:graphic>
              <a:graphicData uri="http://schemas.openxmlformats.org/drawingml/2006/picture">
                <pic:pic>
                  <pic:nvPicPr>
                    <pic:cNvPr descr="images/autocomplete-on-steroids.jp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70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It predicts the next word — autocomplete, scaled up.</w:t>
      </w:r>
    </w:p>
    <w:p>
      <w:pPr>
        <w:pStyle w:val="BodyText"/>
      </w:pPr>
      <w:r>
        <w:rPr>
          <w:b/>
          <w:bCs/>
        </w:rPr>
        <w:t xml:space="preserve">It predicts the next word.</w:t>
      </w:r>
      <w:r>
        <w:t xml:space="preserve"> </w:t>
      </w:r>
      <w:r>
        <w:t xml:space="preserve">Autocomplete, scaled up.</w:t>
      </w:r>
    </w:p>
    <w:p>
      <w:pPr>
        <w:pStyle w:val="Compact"/>
        <w:numPr>
          <w:ilvl w:val="0"/>
          <w:numId w:val="1005"/>
        </w:numPr>
      </w:pPr>
      <w:r>
        <w:t xml:space="preserve">Trained on billions of pages of text, it learned what tends to follow what. It’s autocomplete on steroids — your phone predicts one word; these predict thousands.</w:t>
      </w:r>
    </w:p>
    <w:p>
      <w:pPr>
        <w:pStyle w:val="Compact"/>
        <w:numPr>
          <w:ilvl w:val="0"/>
          <w:numId w:val="1005"/>
        </w:numPr>
      </w:pPr>
      <w:r>
        <w:t xml:space="preserve">The result often</w:t>
      </w:r>
      <w:r>
        <w:t xml:space="preserve"> </w:t>
      </w:r>
      <w:r>
        <w:rPr>
          <w:i/>
          <w:iCs/>
        </w:rPr>
        <w:t xml:space="preserve">looks</w:t>
      </w:r>
      <w:r>
        <w:t xml:space="preserve"> </w:t>
      </w:r>
      <w:r>
        <w:t xml:space="preserve">like understanding. It’s pattern-matching, not reasoning.</w:t>
      </w:r>
    </w:p>
    <w:p>
      <w:pPr>
        <w:pStyle w:val="Compact"/>
        <w:numPr>
          <w:ilvl w:val="0"/>
          <w:numId w:val="1005"/>
        </w:numPr>
      </w:pPr>
      <w:r>
        <w:t xml:space="preserve">You don’t need the maths. You need an honest mental model: what the tool can and can’t do.</w:t>
      </w:r>
    </w:p>
    <w:p>
      <w:pPr>
        <w:pStyle w:val="Compact"/>
        <w:numPr>
          <w:ilvl w:val="0"/>
          <w:numId w:val="1005"/>
        </w:numPr>
      </w:pPr>
      <w:r>
        <w:t xml:space="preserve">Driving a car well doesn’t require knowing how the engine works — but you do need to know it needs fuel and won’t go underwater.</w:t>
      </w:r>
    </w:p>
    <w:p>
      <w:r>
        <w:pict>
          <v:rect style="width:0;height:1.5pt" o:hralign="center" o:hrstd="t" o:hr="t"/>
        </w:pict>
      </w:r>
    </w:p>
    <w:bookmarkEnd w:id="17"/>
    <w:bookmarkStart w:id="21" w:name="the-one-mental-model-to-keep"/>
    <w:p>
      <w:pPr>
        <w:pStyle w:val="Heading1"/>
      </w:pPr>
      <w:r>
        <w:t xml:space="preserve">The one mental model to keep</w:t>
      </w:r>
    </w:p>
    <w:p>
      <w:pPr>
        <w:pStyle w:val="CaptionedFigure"/>
      </w:pPr>
      <w:r>
        <w:drawing>
          <wp:inline>
            <wp:extent cx="5334000" cy="2907030"/>
            <wp:effectExtent b="0" l="0" r="0" t="0"/>
            <wp:docPr descr="A convincing average — smooth, plausible, and not the same as the truth." title="" id="19" name="Picture"/>
            <a:graphic>
              <a:graphicData uri="http://schemas.openxmlformats.org/drawingml/2006/picture">
                <pic:pic>
                  <pic:nvPicPr>
                    <pic:cNvPr descr="images/convincing-average.jp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70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convincing average — smooth, plausible, and not the same as the truth.</w:t>
      </w:r>
    </w:p>
    <w:p>
      <w:pPr>
        <w:pStyle w:val="BlockText"/>
      </w:pPr>
      <w:r>
        <w:t xml:space="preserve">AI produces a</w:t>
      </w:r>
      <w:r>
        <w:t xml:space="preserve"> </w:t>
      </w:r>
      <w:r>
        <w:rPr>
          <w:b/>
          <w:bCs/>
        </w:rPr>
        <w:t xml:space="preserve">convincing average</w:t>
      </w:r>
      <w:r>
        <w:t xml:space="preserve"> </w:t>
      </w:r>
      <w:r>
        <w:t xml:space="preserve">drawn from everything it has seen.</w:t>
      </w:r>
    </w:p>
    <w:p>
      <w:pPr>
        <w:pStyle w:val="FirstParagraph"/>
      </w:pPr>
      <w:r>
        <w:rPr>
          <w:b/>
          <w:bCs/>
        </w:rPr>
        <w:t xml:space="preserve">An average, not a truth.</w:t>
      </w:r>
      <w:r>
        <w:t xml:space="preserve"> </w:t>
      </w:r>
      <w:r>
        <w:t xml:space="preserve">It predicts; it does not reason.</w:t>
      </w:r>
    </w:p>
    <w:p>
      <w:pPr>
        <w:pStyle w:val="Compact"/>
        <w:numPr>
          <w:ilvl w:val="0"/>
          <w:numId w:val="1006"/>
        </w:numPr>
      </w:pPr>
      <w:r>
        <w:t xml:space="preserve">That average is often genuinely excellent — the average of a vast amount of competent writing is itself competent.</w:t>
      </w:r>
    </w:p>
    <w:p>
      <w:pPr>
        <w:pStyle w:val="Compact"/>
        <w:numPr>
          <w:ilvl w:val="0"/>
          <w:numId w:val="1006"/>
        </w:numPr>
      </w:pPr>
      <w:r>
        <w:t xml:space="preserve">But</w:t>
      </w:r>
      <w:r>
        <w:t xml:space="preserve"> </w:t>
      </w:r>
      <w:r>
        <w:t xml:space="preserve">“about right”</w:t>
      </w:r>
      <w:r>
        <w:t xml:space="preserve"> </w:t>
      </w:r>
      <w:r>
        <w:t xml:space="preserve">and</w:t>
      </w:r>
      <w:r>
        <w:t xml:space="preserve"> </w:t>
      </w:r>
      <w:r>
        <w:t xml:space="preserve">“exactly right”</w:t>
      </w:r>
      <w:r>
        <w:t xml:space="preserve"> </w:t>
      </w:r>
      <w:r>
        <w:t xml:space="preserve">are not the same. It predicts; it does not reason, and it does not</w:t>
      </w:r>
      <w:r>
        <w:t xml:space="preserve"> </w:t>
      </w:r>
      <w:r>
        <w:t xml:space="preserve">“know.”</w:t>
      </w:r>
    </w:p>
    <w:p>
      <w:pPr>
        <w:pStyle w:val="Compact"/>
        <w:numPr>
          <w:ilvl w:val="0"/>
          <w:numId w:val="1006"/>
        </w:numPr>
      </w:pPr>
      <w:r>
        <w:t xml:space="preserve">This single distinction carries the whole day. If you remember nothing else: it produces a convincing average, and a convincing average is not the same as the truth.</w:t>
      </w:r>
    </w:p>
    <w:p>
      <w:pPr>
        <w:pStyle w:val="Compact"/>
        <w:numPr>
          <w:ilvl w:val="0"/>
          <w:numId w:val="1006"/>
        </w:numPr>
      </w:pPr>
      <w:r>
        <w:t xml:space="preserve">Everything that follows — the trust tool, prompting, the five differences, the human-in-the-loop design — is an elaboration of this one fact.</w:t>
      </w:r>
    </w:p>
    <w:p>
      <w:r>
        <w:pict>
          <v:rect style="width:0;height:1.5pt" o:hralign="center" o:hrstd="t" o:hr="t"/>
        </w:pict>
      </w:r>
    </w:p>
    <w:bookmarkEnd w:id="21"/>
    <w:bookmarkStart w:id="22" w:name="why-its-brilliant-at-some-things"/>
    <w:p>
      <w:pPr>
        <w:pStyle w:val="Heading1"/>
      </w:pPr>
      <w:r>
        <w:t xml:space="preserve">Why it’s brilliant at some things</w:t>
      </w:r>
    </w:p>
    <w:p>
      <w:pPr>
        <w:pStyle w:val="FirstParagraph"/>
      </w:pPr>
      <w:r>
        <w:rPr>
          <w:b/>
          <w:bCs/>
        </w:rPr>
        <w:t xml:space="preserve">Tasks where</w:t>
      </w:r>
      <w:r>
        <w:rPr>
          <w:b/>
          <w:bCs/>
        </w:rPr>
        <w:t xml:space="preserve"> </w:t>
      </w:r>
      <w:r>
        <w:rPr>
          <w:b/>
          <w:bCs/>
        </w:rPr>
        <w:t xml:space="preserve">“the most plausible version”</w:t>
      </w:r>
      <w:r>
        <w:rPr>
          <w:b/>
          <w:bCs/>
        </w:rPr>
        <w:t xml:space="preserve"> </w:t>
      </w:r>
      <w:r>
        <w:rPr>
          <w:b/>
          <w:bCs/>
        </w:rPr>
        <w:t xml:space="preserve">is exactly what you want:</w:t>
      </w:r>
    </w:p>
    <w:p>
      <w:pPr>
        <w:pStyle w:val="Compact"/>
        <w:numPr>
          <w:ilvl w:val="0"/>
          <w:numId w:val="1007"/>
        </w:numPr>
      </w:pPr>
      <w:r>
        <w:t xml:space="preserve">✅ Drafting and writing</w:t>
      </w:r>
    </w:p>
    <w:p>
      <w:pPr>
        <w:pStyle w:val="Compact"/>
        <w:numPr>
          <w:ilvl w:val="0"/>
          <w:numId w:val="1007"/>
        </w:numPr>
      </w:pPr>
      <w:r>
        <w:t xml:space="preserve">✅ Summarising documents</w:t>
      </w:r>
    </w:p>
    <w:p>
      <w:pPr>
        <w:pStyle w:val="Compact"/>
        <w:numPr>
          <w:ilvl w:val="0"/>
          <w:numId w:val="1007"/>
        </w:numPr>
      </w:pPr>
      <w:r>
        <w:t xml:space="preserve">✅ Formatting and transforming</w:t>
      </w:r>
    </w:p>
    <w:p>
      <w:pPr>
        <w:pStyle w:val="Compact"/>
        <w:numPr>
          <w:ilvl w:val="0"/>
          <w:numId w:val="1007"/>
        </w:numPr>
      </w:pPr>
      <w:r>
        <w:t xml:space="preserve">✅ Brainstorming</w:t>
      </w:r>
    </w:p>
    <w:p>
      <w:pPr>
        <w:pStyle w:val="Compact"/>
        <w:numPr>
          <w:ilvl w:val="0"/>
          <w:numId w:val="1007"/>
        </w:numPr>
      </w:pPr>
      <w:r>
        <w:t xml:space="preserve">✅ Explaining concepts in simpler terms</w:t>
      </w:r>
    </w:p>
    <w:p>
      <w:pPr>
        <w:pStyle w:val="Compact"/>
        <w:numPr>
          <w:ilvl w:val="0"/>
          <w:numId w:val="1007"/>
        </w:numPr>
      </w:pPr>
      <w:r>
        <w:t xml:space="preserve">✅ Finding patterns in data</w:t>
      </w:r>
    </w:p>
    <w:p>
      <w:pPr>
        <w:pStyle w:val="Compact"/>
        <w:numPr>
          <w:ilvl w:val="0"/>
          <w:numId w:val="1008"/>
        </w:numPr>
      </w:pPr>
      <w:r>
        <w:t xml:space="preserve">If a task has clear patterns, AI can probably help. There are billions of email examples, summaries, and explanations in the training data.</w:t>
      </w:r>
    </w:p>
    <w:p>
      <w:r>
        <w:pict>
          <v:rect style="width:0;height:1.5pt" o:hralign="center" o:hrstd="t" o:hr="t"/>
        </w:pict>
      </w:r>
    </w:p>
    <w:bookmarkEnd w:id="22"/>
    <w:bookmarkStart w:id="23" w:name="and-quietly-unreliable-at-others"/>
    <w:p>
      <w:pPr>
        <w:pStyle w:val="Heading1"/>
      </w:pPr>
      <w:r>
        <w:t xml:space="preserve">…and quietly unreliable at others</w:t>
      </w:r>
    </w:p>
    <w:p>
      <w:pPr>
        <w:pStyle w:val="FirstParagraph"/>
      </w:pPr>
      <w:r>
        <w:rPr>
          <w:b/>
          <w:bCs/>
        </w:rPr>
        <w:t xml:space="preserve">Tasks that need a single correct answer:</w:t>
      </w:r>
    </w:p>
    <w:p>
      <w:pPr>
        <w:pStyle w:val="Compact"/>
        <w:numPr>
          <w:ilvl w:val="0"/>
          <w:numId w:val="1009"/>
        </w:numPr>
      </w:pPr>
      <w:r>
        <w:t xml:space="preserve">❌ Factual accuracy (plausible text, not verified truth)</w:t>
      </w:r>
    </w:p>
    <w:p>
      <w:pPr>
        <w:pStyle w:val="Compact"/>
        <w:numPr>
          <w:ilvl w:val="0"/>
          <w:numId w:val="1009"/>
        </w:numPr>
      </w:pPr>
      <w:r>
        <w:t xml:space="preserve">❌ Precise figures and calculations</w:t>
      </w:r>
    </w:p>
    <w:p>
      <w:pPr>
        <w:pStyle w:val="Compact"/>
        <w:numPr>
          <w:ilvl w:val="0"/>
          <w:numId w:val="1009"/>
        </w:numPr>
      </w:pPr>
      <w:r>
        <w:t xml:space="preserve">❌ Multi-step logical reasoning</w:t>
      </w:r>
    </w:p>
    <w:p>
      <w:pPr>
        <w:pStyle w:val="Compact"/>
        <w:numPr>
          <w:ilvl w:val="0"/>
          <w:numId w:val="1009"/>
        </w:numPr>
      </w:pPr>
      <w:r>
        <w:t xml:space="preserve">❌</w:t>
      </w:r>
      <w:r>
        <w:t xml:space="preserve"> </w:t>
      </w:r>
      <w:r>
        <w:rPr>
          <w:i/>
          <w:iCs/>
        </w:rPr>
        <w:t xml:space="preserve">Your</w:t>
      </w:r>
      <w:r>
        <w:t xml:space="preserve"> </w:t>
      </w:r>
      <w:r>
        <w:t xml:space="preserve">context — it doesn’t know your company, team, or politics</w:t>
      </w:r>
    </w:p>
    <w:p>
      <w:pPr>
        <w:pStyle w:val="Compact"/>
        <w:numPr>
          <w:ilvl w:val="0"/>
          <w:numId w:val="1009"/>
        </w:numPr>
      </w:pPr>
      <w:r>
        <w:t xml:space="preserve">❌ Ethical judgement</w:t>
      </w:r>
    </w:p>
    <w:p>
      <w:pPr>
        <w:pStyle w:val="Compact"/>
        <w:numPr>
          <w:ilvl w:val="0"/>
          <w:numId w:val="1010"/>
        </w:numPr>
      </w:pPr>
      <w:r>
        <w:t xml:space="preserve">The critical point: AI never says</w:t>
      </w:r>
      <w:r>
        <w:t xml:space="preserve"> </w:t>
      </w:r>
      <w:r>
        <w:t xml:space="preserve">“I don’t know.”</w:t>
      </w:r>
      <w:r>
        <w:t xml:space="preserve"> </w:t>
      </w:r>
      <w:r>
        <w:t xml:space="preserve">It gives you a confident, well-structured, completely wrong answer — and it looks identical to a right one.</w:t>
      </w:r>
    </w:p>
    <w:p>
      <w:pPr>
        <w:pStyle w:val="Compact"/>
        <w:numPr>
          <w:ilvl w:val="0"/>
          <w:numId w:val="1010"/>
        </w:numPr>
      </w:pPr>
      <w:r>
        <w:t xml:space="preserve">Nothing in the tone warns you. That’s the danger: not that it refuses to help, but that it helps convincingly when it shouldn’t.</w:t>
      </w:r>
    </w:p>
    <w:p>
      <w:r>
        <w:pict>
          <v:rect style="width:0;height:1.5pt" o:hralign="center" o:hrstd="t" o:hr="t"/>
        </w:pict>
      </w:r>
    </w:p>
    <w:bookmarkEnd w:id="23"/>
    <w:bookmarkStart w:id="27" w:name="confident-nonsense-is-not-a-bug"/>
    <w:p>
      <w:pPr>
        <w:pStyle w:val="Heading1"/>
      </w:pPr>
      <w:r>
        <w:t xml:space="preserve">“Confident nonsense”</w:t>
      </w:r>
      <w:r>
        <w:t xml:space="preserve"> </w:t>
      </w:r>
      <w:r>
        <w:t xml:space="preserve">is not a bug</w:t>
      </w:r>
    </w:p>
    <w:p>
      <w:pPr>
        <w:pStyle w:val="CaptionedFigure"/>
      </w:pPr>
      <w:r>
        <w:drawing>
          <wp:inline>
            <wp:extent cx="5334000" cy="2907030"/>
            <wp:effectExtent b="0" l="0" r="0" t="0"/>
            <wp:docPr descr="Confident and wrong, with the same polish as a right answer." title="" id="25" name="Picture"/>
            <a:graphic>
              <a:graphicData uri="http://schemas.openxmlformats.org/drawingml/2006/picture">
                <pic:pic>
                  <pic:nvPicPr>
                    <pic:cNvPr descr="images/confident-nonsense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70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Confident and wrong, with the same polish as a right answer.</w:t>
      </w:r>
    </w:p>
    <w:p>
      <w:pPr>
        <w:pStyle w:val="BodyText"/>
      </w:pPr>
      <w:r>
        <w:t xml:space="preserve">Ask a colleague →</w:t>
      </w:r>
      <w:r>
        <w:t xml:space="preserve"> </w:t>
      </w:r>
      <w:r>
        <w:rPr>
          <w:i/>
          <w:iCs/>
        </w:rPr>
        <w:t xml:space="preserve">“I’m not sure, let me check.”</w:t>
      </w:r>
      <w:r>
        <w:t xml:space="preserve"> </w:t>
      </w:r>
      <w:r>
        <w:t xml:space="preserve">Ask AI → confident, well-structured, completely wrong.</w:t>
      </w:r>
    </w:p>
    <w:p>
      <w:pPr>
        <w:pStyle w:val="Compact"/>
        <w:numPr>
          <w:ilvl w:val="0"/>
          <w:numId w:val="1011"/>
        </w:numPr>
      </w:pPr>
      <w:r>
        <w:t xml:space="preserve">Hallucination isn’t a glitch. It’s the same machinery working as designed — sometimes the most plausible-sounding continuation simply isn’t true.</w:t>
      </w:r>
    </w:p>
    <w:p>
      <w:pPr>
        <w:pStyle w:val="Compact"/>
        <w:numPr>
          <w:ilvl w:val="0"/>
          <w:numId w:val="1011"/>
        </w:numPr>
      </w:pPr>
      <w:r>
        <w:t xml:space="preserve">If you take one thing from this morning: AI output needs human verification. Always — especially facts, numbers, names, quotes, and references.</w:t>
      </w:r>
    </w:p>
    <w:p>
      <w:pPr>
        <w:pStyle w:val="Compact"/>
        <w:numPr>
          <w:ilvl w:val="0"/>
          <w:numId w:val="1011"/>
        </w:numPr>
      </w:pPr>
      <w:r>
        <w:t xml:space="preserve">This isn’t something a future model will</w:t>
      </w:r>
      <w:r>
        <w:t xml:space="preserve"> </w:t>
      </w:r>
      <w:r>
        <w:t xml:space="preserve">“fix.”</w:t>
      </w:r>
      <w:r>
        <w:t xml:space="preserve"> </w:t>
      </w:r>
      <w:r>
        <w:t xml:space="preserve">It’s a property of how the technology works.</w:t>
      </w:r>
    </w:p>
    <w:p>
      <w:r>
        <w:pict>
          <v:rect style="width:0;height:1.5pt" o:hralign="center" o:hrstd="t" o:hr="t"/>
        </w:pict>
      </w:r>
    </w:p>
    <w:bookmarkEnd w:id="27"/>
    <w:bookmarkStart w:id="32" w:name="framework-1-the-trust-tool"/>
    <w:p>
      <w:pPr>
        <w:pStyle w:val="Heading1"/>
      </w:pPr>
      <w:r>
        <w:t xml:space="preserve">Framework 1: the trust tool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The trust tool: two questions, four corners." title="" id="29" name="Picture"/>
            <a:graphic>
              <a:graphicData uri="http://schemas.openxmlformats.org/drawingml/2006/picture">
                <pic:pic>
                  <pic:nvPicPr>
                    <pic:cNvPr descr="images/trust-tool-matrix.sv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trust tool: two questions, four corners.</w:t>
      </w:r>
    </w:p>
    <w:p>
      <w:pPr>
        <w:pStyle w:val="Compact"/>
        <w:numPr>
          <w:ilvl w:val="0"/>
          <w:numId w:val="1012"/>
        </w:numPr>
      </w:pPr>
      <w:r>
        <w:t xml:space="preserve">Two questions turn</w:t>
      </w:r>
      <w:r>
        <w:t xml:space="preserve"> </w:t>
      </w:r>
      <w:r>
        <w:t xml:space="preserve">“can we just let the AI do this?”</w:t>
      </w:r>
      <w:r>
        <w:t xml:space="preserve"> </w:t>
      </w:r>
      <w:r>
        <w:t xml:space="preserve">from a gut feel into a decision you can defend.</w:t>
      </w:r>
    </w:p>
    <w:p>
      <w:pPr>
        <w:pStyle w:val="Compact"/>
        <w:numPr>
          <w:ilvl w:val="0"/>
          <w:numId w:val="1012"/>
        </w:numPr>
      </w:pPr>
      <w:r>
        <w:t xml:space="preserve">This grid is the spine of the day. We use it at the task level this morning and the project level this afternoon.</w:t>
      </w:r>
    </w:p>
    <w:p>
      <w:r>
        <w:pict>
          <v:rect style="width:0;height:1.5pt" o:hralign="center" o:hrstd="t" o:hr="t"/>
        </w:pict>
      </w:r>
    </w:p>
    <w:bookmarkEnd w:id="32"/>
    <w:bookmarkStart w:id="33" w:name="two-questions-four-corners"/>
    <w:p>
      <w:pPr>
        <w:pStyle w:val="Heading1"/>
      </w:pPr>
      <w:r>
        <w:t xml:space="preserve">Two questions, four corners</w:t>
      </w:r>
    </w:p>
    <w:p>
      <w:pPr>
        <w:pStyle w:val="FirstParagraph"/>
      </w:pPr>
      <w:r>
        <w:rPr>
          <w:b/>
          <w:bCs/>
        </w:rPr>
        <w:t xml:space="preserve">Q1: do you need an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average</w:t>
      </w:r>
      <w:r>
        <w:rPr>
          <w:b/>
          <w:bCs/>
        </w:rPr>
        <w:t xml:space="preserve">, or do you need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precision</w:t>
      </w:r>
      <w:r>
        <w:rPr>
          <w:b/>
          <w:bCs/>
        </w:rPr>
        <w:t xml:space="preserve">?</w:t>
      </w:r>
    </w:p>
    <w:p>
      <w:pPr>
        <w:pStyle w:val="BodyText"/>
      </w:pPr>
      <w:r>
        <w:t xml:space="preserve">An</w:t>
      </w:r>
      <w:r>
        <w:t xml:space="preserve"> </w:t>
      </w:r>
      <w:r>
        <w:rPr>
          <w:i/>
          <w:iCs/>
        </w:rPr>
        <w:t xml:space="preserve">average</w:t>
      </w:r>
      <w:r>
        <w:t xml:space="preserve"> </w:t>
      </w:r>
      <w:r>
        <w:t xml:space="preserve">answer is</w:t>
      </w:r>
      <w:r>
        <w:t xml:space="preserve"> </w:t>
      </w:r>
      <w:r>
        <w:t xml:space="preserve">“in the right ballpark”</w:t>
      </w:r>
      <w:r>
        <w:t xml:space="preserve"> </w:t>
      </w:r>
      <w:r>
        <w:t xml:space="preserve">— a first draft, a summary, a starting point. A</w:t>
      </w:r>
      <w:r>
        <w:t xml:space="preserve"> </w:t>
      </w:r>
      <w:r>
        <w:rPr>
          <w:i/>
          <w:iCs/>
        </w:rPr>
        <w:t xml:space="preserve">precise</w:t>
      </w:r>
      <w:r>
        <w:t xml:space="preserve"> </w:t>
      </w:r>
      <w:r>
        <w:t xml:space="preserve">answer has one correct value: a contract figure, a dosage, a citation, an account balance.</w:t>
      </w:r>
    </w:p>
    <w:p>
      <w:pPr>
        <w:pStyle w:val="BodyText"/>
      </w:pPr>
      <w:r>
        <w:rPr>
          <w:b/>
          <w:bCs/>
        </w:rPr>
        <w:t xml:space="preserve">Q2: is the decision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small</w:t>
      </w:r>
      <w:r>
        <w:rPr>
          <w:b/>
          <w:bCs/>
        </w:rPr>
        <w:t xml:space="preserve"> </w:t>
      </w:r>
      <w:r>
        <w:rPr>
          <w:b/>
          <w:bCs/>
        </w:rPr>
        <w:t xml:space="preserve">or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large</w:t>
      </w:r>
      <w:r>
        <w:rPr>
          <w:b/>
          <w:bCs/>
        </w:rPr>
        <w:t xml:space="preserve">?</w:t>
      </w:r>
    </w:p>
    <w:p>
      <w:pPr>
        <w:pStyle w:val="BodyText"/>
      </w:pPr>
      <w:r>
        <w:rPr>
          <w:i/>
          <w:iCs/>
        </w:rPr>
        <w:t xml:space="preserve">Small</w:t>
      </w:r>
      <w:r>
        <w:t xml:space="preserve"> </w:t>
      </w:r>
      <w:r>
        <w:t xml:space="preserve">= low stakes, easy to reverse, no one harmed.</w:t>
      </w:r>
      <w:r>
        <w:t xml:space="preserve"> </w:t>
      </w:r>
      <w:r>
        <w:rPr>
          <w:i/>
          <w:iCs/>
        </w:rPr>
        <w:t xml:space="preserve">Large</w:t>
      </w:r>
      <w:r>
        <w:t xml:space="preserve"> </w:t>
      </w:r>
      <w:r>
        <w:t xml:space="preserve">= real consequences: money, safety, reputation, someone’s job.</w:t>
      </w:r>
    </w:p>
    <w:p>
      <w:pPr>
        <w:pStyle w:val="Compact"/>
        <w:numPr>
          <w:ilvl w:val="0"/>
          <w:numId w:val="1013"/>
        </w:numPr>
      </w:pPr>
      <w:r>
        <w:t xml:space="preserve">Walk through the grid:</w:t>
      </w:r>
    </w:p>
    <w:p>
      <w:pPr>
        <w:pStyle w:val="Compact"/>
        <w:numPr>
          <w:ilvl w:val="1"/>
          <w:numId w:val="1014"/>
        </w:numPr>
      </w:pPr>
      <w:r>
        <w:t xml:space="preserve">Average + Small → lean in. AI’s home turf.</w:t>
      </w:r>
    </w:p>
    <w:p>
      <w:pPr>
        <w:pStyle w:val="Compact"/>
        <w:numPr>
          <w:ilvl w:val="1"/>
          <w:numId w:val="1014"/>
        </w:numPr>
      </w:pPr>
      <w:r>
        <w:t xml:space="preserve">Average + Large → lean in, but sanity-check before it goes out.</w:t>
      </w:r>
    </w:p>
    <w:p>
      <w:pPr>
        <w:pStyle w:val="Compact"/>
        <w:numPr>
          <w:ilvl w:val="1"/>
          <w:numId w:val="1014"/>
        </w:numPr>
      </w:pPr>
      <w:r>
        <w:t xml:space="preserve">Precise + Small → use, then verify the specifics.</w:t>
      </w:r>
    </w:p>
    <w:p>
      <w:pPr>
        <w:pStyle w:val="Compact"/>
        <w:numPr>
          <w:ilvl w:val="1"/>
          <w:numId w:val="1014"/>
        </w:numPr>
      </w:pPr>
      <w:r>
        <w:t xml:space="preserve">Precise + Large → human in the loop. AI may assist, but a person owns the decision.</w:t>
      </w:r>
    </w:p>
    <w:p>
      <w:pPr>
        <w:pStyle w:val="Compact"/>
        <w:numPr>
          <w:ilvl w:val="0"/>
          <w:numId w:val="1013"/>
        </w:numPr>
      </w:pPr>
      <w:r>
        <w:t xml:space="preserve">Rule of thumb: lean in where</w:t>
      </w:r>
      <w:r>
        <w:t xml:space="preserve"> </w:t>
      </w:r>
      <w:r>
        <w:t xml:space="preserve">“about right”</w:t>
      </w:r>
      <w:r>
        <w:t xml:space="preserve"> </w:t>
      </w:r>
      <w:r>
        <w:t xml:space="preserve">over low stakes is fine; keep a human in the loop where exactly-right meets high-stakes.</w:t>
      </w:r>
    </w:p>
    <w:p>
      <w:r>
        <w:pict>
          <v:rect style="width:0;height:1.5pt" o:hralign="center" o:hrstd="t" o:hr="t"/>
        </w:pict>
      </w:r>
    </w:p>
    <w:bookmarkEnd w:id="33"/>
    <w:bookmarkStart w:id="34" w:name="the-trust-tool-on-real-tasks"/>
    <w:p>
      <w:pPr>
        <w:pStyle w:val="Heading1"/>
      </w:pPr>
      <w:r>
        <w:t xml:space="preserve">The trust tool, on real tasks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Drafting an internal email.</w:t>
      </w:r>
      <w:r>
        <w:t xml:space="preserve"> </w:t>
      </w:r>
      <w:r>
        <w:t xml:space="preserve">Average is fine, stakes small → lean in.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Board paper figures.</w:t>
      </w:r>
      <w:r>
        <w:t xml:space="preserve"> </w:t>
      </w:r>
      <w:r>
        <w:t xml:space="preserve">Precision required, stakes large → human owns every number.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Summarising fifty complaints to find themes.</w:t>
      </w:r>
      <w:r>
        <w:t xml:space="preserve"> </w:t>
      </w:r>
      <w:r>
        <w:t xml:space="preserve">Average is fine → lean in, then have a person skim for the one complaint the AI smoothed away.</w:t>
      </w:r>
    </w:p>
    <w:p>
      <w:pPr>
        <w:pStyle w:val="Compact"/>
        <w:numPr>
          <w:ilvl w:val="0"/>
          <w:numId w:val="1016"/>
        </w:numPr>
      </w:pPr>
      <w:r>
        <w:t xml:space="preserve">Notice what the grid quietly does: it makes</w:t>
      </w:r>
      <w:r>
        <w:t xml:space="preserve"> </w:t>
      </w:r>
      <w:r>
        <w:t xml:space="preserve">“where does a human stay in the loop?”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answerable</w:t>
      </w:r>
      <w:r>
        <w:t xml:space="preserve"> </w:t>
      </w:r>
      <w:r>
        <w:t xml:space="preserve">question. Most teams answer it by gut — everywhere (lose speed) or nowhere (lose trust).</w:t>
      </w:r>
    </w:p>
    <w:p>
      <w:pPr>
        <w:pStyle w:val="Compact"/>
        <w:numPr>
          <w:ilvl w:val="0"/>
          <w:numId w:val="1016"/>
        </w:numPr>
      </w:pPr>
      <w:r>
        <w:t xml:space="preserve">Now you have a better answer than yes or no. You have a question — average or precise, small or large? — and the question does the work.</w:t>
      </w:r>
    </w:p>
    <w:p>
      <w:r>
        <w:pict>
          <v:rect style="width:0;height:1.5pt" o:hralign="center" o:hrstd="t" o:hr="t"/>
        </w:pict>
      </w:r>
    </w:p>
    <w:bookmarkEnd w:id="34"/>
    <w:bookmarkStart w:id="35" w:name="exercise-1-the-ai-tool-test-drive"/>
    <w:p>
      <w:pPr>
        <w:pStyle w:val="Heading1"/>
      </w:pPr>
      <w:r>
        <w:t xml:space="preserve">Exercise 1: the AI tool test drive</w:t>
      </w:r>
    </w:p>
    <w:p>
      <w:pPr>
        <w:pStyle w:val="FirstParagraph"/>
      </w:pPr>
      <w:r>
        <w:rPr>
          <w:b/>
          <w:bCs/>
        </w:rPr>
        <w:t xml:space="preserve">Same task. Your tool of choice. Judge the result with the trust tool.</w:t>
      </w:r>
    </w:p>
    <w:p>
      <w:pPr>
        <w:pStyle w:val="BodyText"/>
      </w:pPr>
      <w:r>
        <w:rPr>
          <w:b/>
          <w:bCs/>
        </w:rPr>
        <w:t xml:space="preserve">Setup (2 min):</w:t>
      </w:r>
      <w:r>
        <w:t xml:space="preserve"> </w:t>
      </w:r>
      <w:r>
        <w:t xml:space="preserve">- Pick a real, small task from your work — an email, a summary, a first draft of something you genuinely need.</w:t>
      </w:r>
      <w:r>
        <w:t xml:space="preserve"> </w:t>
      </w:r>
      <w:r>
        <w:t xml:space="preserve">- Run it through an AI tool.</w:t>
      </w:r>
    </w:p>
    <w:p>
      <w:pPr>
        <w:pStyle w:val="BodyText"/>
      </w:pPr>
      <w:r>
        <w:rPr>
          <w:b/>
          <w:bCs/>
        </w:rPr>
        <w:t xml:space="preserve">Do (8 min):</w:t>
      </w:r>
      <w:r>
        <w:t xml:space="preserve"> </w:t>
      </w:r>
      <w:r>
        <w:t xml:space="preserve">- Look at the output. Where on the trust tool grid does this task sit?</w:t>
      </w:r>
      <w:r>
        <w:t xml:space="preserve"> </w:t>
      </w:r>
      <w:r>
        <w:t xml:space="preserve">- Is the output</w:t>
      </w:r>
      <w:r>
        <w:t xml:space="preserve"> </w:t>
      </w:r>
      <w:r>
        <w:t xml:space="preserve">“about right”</w:t>
      </w:r>
      <w:r>
        <w:t xml:space="preserve"> </w:t>
      </w:r>
      <w:r>
        <w:t xml:space="preserve">or does it need exactness? Where would it be confidently wrong?</w:t>
      </w:r>
    </w:p>
    <w:p>
      <w:pPr>
        <w:pStyle w:val="BodyText"/>
      </w:pPr>
      <w:r>
        <w:rPr>
          <w:b/>
          <w:bCs/>
        </w:rPr>
        <w:t xml:space="preserve">Debrief (10 min):</w:t>
      </w:r>
      <w:r>
        <w:t xml:space="preserve"> </w:t>
      </w:r>
      <w:r>
        <w:t xml:space="preserve">- Share one place the output was genuinely useful, and one place it was confidently off.</w:t>
      </w:r>
      <w:r>
        <w:t xml:space="preserve"> </w:t>
      </w:r>
      <w:r>
        <w:t xml:space="preserve">- Connect each to a corner of the grid.</w:t>
      </w:r>
      <w:r>
        <w:t xml:space="preserve"> </w:t>
      </w:r>
      <w:r>
        <w:t xml:space="preserve">- Key message: there’s no objectively</w:t>
      </w:r>
      <w:r>
        <w:t xml:space="preserve"> </w:t>
      </w:r>
      <w:r>
        <w:t xml:space="preserve">“best”</w:t>
      </w:r>
      <w:r>
        <w:t xml:space="preserve"> </w:t>
      </w:r>
      <w:r>
        <w:t xml:space="preserve">tool. What matters is never assuming the first output is ready to use.</w:t>
      </w:r>
    </w:p>
    <w:p>
      <w:r>
        <w:pict>
          <v:rect style="width:0;height:1.5pt" o:hralign="center" o:hrstd="t" o:hr="t"/>
        </w:pict>
      </w:r>
    </w:p>
    <w:bookmarkEnd w:id="35"/>
    <w:bookmarkStart w:id="39" w:name="morning-tea-1030"/>
    <w:p>
      <w:pPr>
        <w:pStyle w:val="Heading1"/>
      </w:pPr>
      <w:r>
        <w:t xml:space="preserve">Morning tea — 10:30</w:t>
      </w:r>
    </w:p>
    <w:p>
      <w:pPr>
        <w:pStyle w:val="CaptionedFigure"/>
      </w:pPr>
      <w:r>
        <w:drawing>
          <wp:inline>
            <wp:extent cx="5334000" cy="2907030"/>
            <wp:effectExtent b="0" l="0" r="0" t="0"/>
            <wp:docPr descr="Grab a coffee. Back at 11:00." title="" id="37" name="Picture"/>
            <a:graphic>
              <a:graphicData uri="http://schemas.openxmlformats.org/drawingml/2006/picture">
                <pic:pic>
                  <pic:nvPicPr>
                    <pic:cNvPr descr="images/break-morning-tea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70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Grab a coffee. Back at 11:00.</w:t>
      </w:r>
    </w:p>
    <w:p>
      <w:pPr>
        <w:pStyle w:val="Compact"/>
        <w:numPr>
          <w:ilvl w:val="0"/>
          <w:numId w:val="1017"/>
        </w:numPr>
      </w:pPr>
      <w:r>
        <w:t xml:space="preserve">30-minute break. Encourage people to bring a real task to mind for the RTCF exercise after tea.</w:t>
      </w:r>
    </w:p>
    <w:p>
      <w:r>
        <w:pict>
          <v:rect style="width:0;height:1.5pt" o:hralign="center" o:hrstd="t" o:hr="t"/>
        </w:pict>
      </w:r>
    </w:p>
    <w:bookmarkEnd w:id="39"/>
    <w:bookmarkStart w:id="40" w:name="framework-2-rtcf-talking-to-ai-well"/>
    <w:p>
      <w:pPr>
        <w:pStyle w:val="Heading1"/>
      </w:pPr>
      <w:r>
        <w:t xml:space="preserve">Framework 2: RTCF — talking to AI well</w:t>
      </w:r>
    </w:p>
    <w:p>
      <w:pPr>
        <w:pStyle w:val="FirstParagraph"/>
      </w:pPr>
      <w:r>
        <w:rPr>
          <w:b/>
          <w:bCs/>
        </w:rPr>
        <w:t xml:space="preserve">The quality of your input decides the quality of your output.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</w:t>
      </w:r>
      <w:r>
        <w:t xml:space="preserve"> </w:t>
      </w:r>
      <w:r>
        <w:t xml:space="preserve">— Role (who should the AI be?)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</w:t>
      </w:r>
      <w:r>
        <w:t xml:space="preserve"> </w:t>
      </w:r>
      <w:r>
        <w:t xml:space="preserve">— Task (what exactly should it do?)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</w:t>
      </w:r>
      <w:r>
        <w:t xml:space="preserve"> </w:t>
      </w:r>
      <w:r>
        <w:t xml:space="preserve">— Context (what does it need to know?)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</w:t>
      </w:r>
      <w:r>
        <w:t xml:space="preserve"> </w:t>
      </w:r>
      <w:r>
        <w:t xml:space="preserve">— Format (how should the output look?)</w:t>
      </w:r>
    </w:p>
    <w:p>
      <w:pPr>
        <w:pStyle w:val="Compact"/>
        <w:numPr>
          <w:ilvl w:val="0"/>
          <w:numId w:val="1019"/>
        </w:numPr>
      </w:pPr>
      <w:r>
        <w:t xml:space="preserve">Most people type vague prompts, get vague results, and blame the tool.</w:t>
      </w:r>
    </w:p>
    <w:p>
      <w:pPr>
        <w:pStyle w:val="Compact"/>
        <w:numPr>
          <w:ilvl w:val="0"/>
          <w:numId w:val="1019"/>
        </w:numPr>
      </w:pPr>
      <w:r>
        <w:t xml:space="preserve">Not every prompt needs all four. But for anything important, all four transform the result.</w:t>
      </w:r>
    </w:p>
    <w:p>
      <w:pPr>
        <w:pStyle w:val="Compact"/>
        <w:numPr>
          <w:ilvl w:val="0"/>
          <w:numId w:val="1019"/>
        </w:numPr>
      </w:pPr>
      <w:r>
        <w:t xml:space="preserve">RTCF isn’t a trick — it’s just being clear about what you actually want, which is the skill underneath all good prompting.</w:t>
      </w:r>
    </w:p>
    <w:p>
      <w:r>
        <w:pict>
          <v:rect style="width:0;height:1.5pt" o:hralign="center" o:hrstd="t" o:hr="t"/>
        </w:pict>
      </w:r>
    </w:p>
    <w:bookmarkEnd w:id="40"/>
    <w:bookmarkStart w:id="41" w:name="before-and-after"/>
    <w:p>
      <w:pPr>
        <w:pStyle w:val="Heading1"/>
      </w:pPr>
      <w:r>
        <w:t xml:space="preserve">Before and after</w:t>
      </w:r>
    </w:p>
    <w:p>
      <w:pPr>
        <w:pStyle w:val="FirstParagraph"/>
      </w:pPr>
      <w:r>
        <w:rPr>
          <w:b/>
          <w:bCs/>
        </w:rPr>
        <w:t xml:space="preserve">Without RTCF:</w:t>
      </w:r>
      <w:r>
        <w:t xml:space="preserve"> </w:t>
      </w:r>
      <w:r>
        <w:t xml:space="preserve">&gt;</w:t>
      </w:r>
      <w:r>
        <w:t xml:space="preserve"> </w:t>
      </w:r>
      <w:r>
        <w:t xml:space="preserve">“Write an email about the project delay”</w:t>
      </w:r>
    </w:p>
    <w:p>
      <w:pPr>
        <w:pStyle w:val="BodyText"/>
      </w:pPr>
      <w:r>
        <w:rPr>
          <w:b/>
          <w:bCs/>
        </w:rPr>
        <w:t xml:space="preserve">With RTCF: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Role:</w:t>
      </w:r>
      <w:r>
        <w:t xml:space="preserve"> </w:t>
      </w:r>
      <w:r>
        <w:t xml:space="preserve">Senior project manager, professional and empathetic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Task:</w:t>
      </w:r>
      <w:r>
        <w:t xml:space="preserve"> </w:t>
      </w:r>
      <w:r>
        <w:t xml:space="preserve">Write a client email explaining a 2-week delivery delay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Context:</w:t>
      </w:r>
      <w:r>
        <w:t xml:space="preserve"> </w:t>
      </w:r>
      <w:r>
        <w:t xml:space="preserve">Delay caused by a vendor integration. The client values transparency. New date: March 15.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Format:</w:t>
      </w:r>
      <w:r>
        <w:t xml:space="preserve"> </w:t>
      </w:r>
      <w:r>
        <w:t xml:space="preserve">Under 200 words. Acknowledge → explain → new date → recommit.</w:t>
      </w:r>
    </w:p>
    <w:p>
      <w:pPr>
        <w:pStyle w:val="Compact"/>
        <w:numPr>
          <w:ilvl w:val="0"/>
          <w:numId w:val="1020"/>
        </w:numPr>
      </w:pPr>
      <w:r>
        <w:t xml:space="preserve">The difference is unusable vs. sendable.</w:t>
      </w:r>
    </w:p>
    <w:p>
      <w:pPr>
        <w:pStyle w:val="Compact"/>
        <w:numPr>
          <w:ilvl w:val="0"/>
          <w:numId w:val="1020"/>
        </w:numPr>
      </w:pPr>
      <w:r>
        <w:t xml:space="preserve">Context is where</w:t>
      </w:r>
      <w:r>
        <w:t xml:space="preserve"> </w:t>
      </w:r>
      <w:r>
        <w:rPr>
          <w:i/>
          <w:iCs/>
        </w:rPr>
        <w:t xml:space="preserve">your</w:t>
      </w:r>
      <w:r>
        <w:t xml:space="preserve"> </w:t>
      </w:r>
      <w:r>
        <w:t xml:space="preserve">edge enters: the specifics only you hold — the relationship, the history, the tone this client needs.</w:t>
      </w:r>
    </w:p>
    <w:p>
      <w:r>
        <w:pict>
          <v:rect style="width:0;height:1.5pt" o:hralign="center" o:hrstd="t" o:hr="t"/>
        </w:pict>
      </w:r>
    </w:p>
    <w:bookmarkEnd w:id="41"/>
    <w:bookmarkStart w:id="45" w:name="the-two-pass-demo-where-your-edge-lives"/>
    <w:p>
      <w:pPr>
        <w:pStyle w:val="Heading1"/>
      </w:pPr>
      <w:r>
        <w:t xml:space="preserve">The two-pass demo: where your edge lives</w:t>
      </w:r>
    </w:p>
    <w:p>
      <w:pPr>
        <w:pStyle w:val="CaptionedFigure"/>
      </w:pPr>
      <w:r>
        <w:drawing>
          <wp:inline>
            <wp:extent cx="5334000" cy="2907030"/>
            <wp:effectExtent b="0" l="0" r="0" t="0"/>
            <wp:docPr descr="Pass 1 — everyone gets the same generic answer. Pass 2 — add your edge, it gets a soul." title="" id="43" name="Picture"/>
            <a:graphic>
              <a:graphicData uri="http://schemas.openxmlformats.org/drawingml/2006/picture">
                <pic:pic>
                  <pic:nvPicPr>
                    <pic:cNvPr descr="images/two-pass-demo.jp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70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Pass 1 — everyone gets the same generic answer. Pass 2 — add your edge, it gets a soul.</w:t>
      </w:r>
    </w:p>
    <w:p>
      <w:pPr>
        <w:pStyle w:val="BodyText"/>
      </w:pPr>
      <w:r>
        <w:rPr>
          <w:b/>
          <w:bCs/>
        </w:rPr>
        <w:t xml:space="preserve">One task, run twice — live.</w:t>
      </w:r>
    </w:p>
    <w:p>
      <w:pPr>
        <w:pStyle w:val="BlockText"/>
      </w:pPr>
      <w:r>
        <w:t xml:space="preserve">“This is good. Every one of you got this same good answer. So where’s your edge?”</w:t>
      </w:r>
    </w:p>
    <w:p>
      <w:pPr>
        <w:pStyle w:val="Compact"/>
        <w:numPr>
          <w:ilvl w:val="0"/>
          <w:numId w:val="1021"/>
        </w:numPr>
      </w:pPr>
      <w:r>
        <w:t xml:space="preserve">Run one real task twice, live (projector, follow-along optional).</w:t>
      </w:r>
    </w:p>
    <w:p>
      <w:pPr>
        <w:pStyle w:val="Compact"/>
        <w:numPr>
          <w:ilvl w:val="0"/>
          <w:numId w:val="1021"/>
        </w:numPr>
      </w:pPr>
      <w:r>
        <w:t xml:space="preserve">Pass 1 — generic: a naive prompt. The output is slick, correct, and</w:t>
      </w:r>
      <w:r>
        <w:t xml:space="preserve"> </w:t>
      </w:r>
      <w:r>
        <w:rPr>
          <w:i/>
          <w:iCs/>
        </w:rPr>
        <w:t xml:space="preserve">identical to what anyone in this room would get.</w:t>
      </w:r>
      <w:r>
        <w:t xml:space="preserve"> </w:t>
      </w:r>
      <w:r>
        <w:t xml:space="preserve">Point at it:</w:t>
      </w:r>
      <w:r>
        <w:t xml:space="preserve"> </w:t>
      </w:r>
      <w:r>
        <w:t xml:space="preserve">“This is good. Every one of you got this same good answer. So where’s your edge?”</w:t>
      </w:r>
    </w:p>
    <w:p>
      <w:pPr>
        <w:pStyle w:val="Compact"/>
        <w:numPr>
          <w:ilvl w:val="0"/>
          <w:numId w:val="1021"/>
        </w:numPr>
      </w:pPr>
      <w:r>
        <w:t xml:space="preserve">Pass 2 — with edge: layer in what only</w:t>
      </w:r>
      <w:r>
        <w:t xml:space="preserve"> </w:t>
      </w:r>
      <w:r>
        <w:rPr>
          <w:i/>
          <w:iCs/>
        </w:rPr>
        <w:t xml:space="preserve">you</w:t>
      </w:r>
      <w:r>
        <w:t xml:space="preserve"> </w:t>
      </w:r>
      <w:r>
        <w:t xml:space="preserve">hold — a customer only you’ve talked to, a contrarian bet, a taste call, domain knowledge the model lacks. Watch the output get a soul.</w:t>
      </w:r>
    </w:p>
    <w:p>
      <w:pPr>
        <w:pStyle w:val="Compact"/>
        <w:numPr>
          <w:ilvl w:val="0"/>
          <w:numId w:val="1021"/>
        </w:numPr>
      </w:pPr>
      <w:r>
        <w:t xml:space="preserve">This is the thesis, felt in the gut rather than heard as a quote. Pass 1 is the baseline (generic, anyone-could-have-it); Pass 2 is the edge (the variation the tool can’t manufacture).</w:t>
      </w:r>
    </w:p>
    <w:p>
      <w:pPr>
        <w:pStyle w:val="Compact"/>
        <w:numPr>
          <w:ilvl w:val="0"/>
          <w:numId w:val="1021"/>
        </w:numPr>
      </w:pPr>
      <w:r>
        <w:t xml:space="preserve">Make it interactive — let the room shout the</w:t>
      </w:r>
      <w:r>
        <w:t xml:space="preserve"> </w:t>
      </w:r>
      <w:r>
        <w:t xml:space="preserve">“edge”</w:t>
      </w:r>
      <w:r>
        <w:t xml:space="preserve"> </w:t>
      </w:r>
      <w:r>
        <w:t xml:space="preserve">inputs.</w:t>
      </w:r>
    </w:p>
    <w:p>
      <w:pPr>
        <w:pStyle w:val="Compact"/>
        <w:numPr>
          <w:ilvl w:val="0"/>
          <w:numId w:val="1021"/>
        </w:numPr>
      </w:pPr>
      <w:r>
        <w:t xml:space="preserve">The lesson: the AI is your starting point, not your finish line. Your judgement, taste and relationships are what turn generic into</w:t>
      </w:r>
      <w:r>
        <w:t xml:space="preserve"> </w:t>
      </w:r>
      <w:r>
        <w:rPr>
          <w:i/>
          <w:iCs/>
        </w:rPr>
        <w:t xml:space="preserve">yours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5"/>
    <w:bookmarkStart w:id="46" w:name="exercise-2-redesign-your-workflow"/>
    <w:p>
      <w:pPr>
        <w:pStyle w:val="Heading1"/>
      </w:pPr>
      <w:r>
        <w:t xml:space="preserve">Exercise 2: redesign your workflow</w:t>
      </w:r>
    </w:p>
    <w:p>
      <w:pPr>
        <w:pStyle w:val="FirstParagraph"/>
      </w:pPr>
      <w:r>
        <w:rPr>
          <w:b/>
          <w:bCs/>
        </w:rPr>
        <w:t xml:space="preserve">Pick one real task from your own role. Map it. Put AI where it helps.</w:t>
      </w:r>
    </w:p>
    <w:p>
      <w:pPr>
        <w:pStyle w:val="BodyText"/>
      </w:pPr>
      <w:r>
        <w:rPr>
          <w:b/>
          <w:bCs/>
        </w:rPr>
        <w:t xml:space="preserve">Do (20 min):</w:t>
      </w:r>
      <w:r>
        <w:t xml:space="preserve"> </w:t>
      </w:r>
      <w:r>
        <w:t xml:space="preserve">1. Pick a task you do repeatedly — one you own.</w:t>
      </w:r>
      <w:r>
        <w:t xml:space="preserve"> </w:t>
      </w:r>
      <w:r>
        <w:t xml:space="preserve">2. List its steps.</w:t>
      </w:r>
      <w:r>
        <w:t xml:space="preserve"> </w:t>
      </w:r>
      <w:r>
        <w:t xml:space="preserve">3. For each step: where does it sit on the trust tool? Where does AI genuinely help, and where must your judgement stay in charge?</w:t>
      </w:r>
      <w:r>
        <w:t xml:space="preserve"> </w:t>
      </w:r>
      <w:r>
        <w:t xml:space="preserve">4. Redesign: let AI handle the average, low-stakes steps. Protect the precise, high-stakes ones.</w:t>
      </w:r>
    </w:p>
    <w:p>
      <w:pPr>
        <w:pStyle w:val="BodyText"/>
      </w:pPr>
      <w:r>
        <w:rPr>
          <w:b/>
          <w:bCs/>
        </w:rPr>
        <w:t xml:space="preserve">Debrief:</w:t>
      </w:r>
      <w:r>
        <w:t xml:space="preserve"> </w:t>
      </w:r>
      <w:r>
        <w:t xml:space="preserve">- You leave with a redesigned workflow you can trial next week — AI at the steps where it adds value, you in charge where it counts.</w:t>
      </w:r>
      <w:r>
        <w:t xml:space="preserve"> </w:t>
      </w:r>
      <w:r>
        <w:t xml:space="preserve">- This is the morning’s takeaway applied: not</w:t>
      </w:r>
      <w:r>
        <w:t xml:space="preserve"> </w:t>
      </w:r>
      <w:r>
        <w:t xml:space="preserve">“use AI more,”</w:t>
      </w:r>
      <w:r>
        <w:t xml:space="preserve"> </w:t>
      </w:r>
      <w:r>
        <w:t xml:space="preserve">but</w:t>
      </w:r>
      <w:r>
        <w:t xml:space="preserve"> </w:t>
      </w:r>
      <w:r>
        <w:t xml:space="preserve">“use AI</w:t>
      </w:r>
      <w:r>
        <w:t xml:space="preserve"> </w:t>
      </w:r>
      <w:r>
        <w:rPr>
          <w:i/>
          <w:iCs/>
        </w:rPr>
        <w:t xml:space="preserve">deliberately</w:t>
      </w:r>
      <w:r>
        <w:t xml:space="preserve">, exactly where it belongs.”</w:t>
      </w:r>
    </w:p>
    <w:p>
      <w:r>
        <w:pict>
          <v:rect style="width:0;height:1.5pt" o:hralign="center" o:hrstd="t" o:hr="t"/>
        </w:pict>
      </w:r>
    </w:p>
    <w:bookmarkEnd w:id="46"/>
    <w:bookmarkStart w:id="47" w:name="morning-recap-where-we-are"/>
    <w:p>
      <w:pPr>
        <w:pStyle w:val="Heading1"/>
      </w:pPr>
      <w:r>
        <w:t xml:space="preserve">Morning recap: where we are</w:t>
      </w:r>
    </w:p>
    <w:p>
      <w:pPr>
        <w:pStyle w:val="FirstParagraph"/>
      </w:pPr>
      <w:r>
        <w:t xml:space="preserve">You now have:</w:t>
      </w:r>
    </w:p>
    <w:p>
      <w:pPr>
        <w:pStyle w:val="Compact"/>
        <w:numPr>
          <w:ilvl w:val="0"/>
          <w:numId w:val="1022"/>
        </w:numPr>
      </w:pPr>
      <w:r>
        <w:t xml:space="preserve">A mental model: AI produces a convincing average.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The trust tool</w:t>
      </w:r>
      <w:r>
        <w:t xml:space="preserve"> </w:t>
      </w:r>
      <w:r>
        <w:t xml:space="preserve">— average/precise × small/large.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RTCF</w:t>
      </w:r>
      <w:r>
        <w:t xml:space="preserve"> </w:t>
      </w:r>
      <w:r>
        <w:t xml:space="preserve">— how to direct AI well.</w:t>
      </w:r>
    </w:p>
    <w:p>
      <w:pPr>
        <w:pStyle w:val="Compact"/>
        <w:numPr>
          <w:ilvl w:val="0"/>
          <w:numId w:val="1022"/>
        </w:numPr>
      </w:pPr>
      <w:r>
        <w:t xml:space="preserve">A redesigned workflow from your own role.</w:t>
      </w:r>
    </w:p>
    <w:p>
      <w:pPr>
        <w:pStyle w:val="FirstParagraph"/>
      </w:pPr>
      <w:r>
        <w:rPr>
          <w:b/>
          <w:bCs/>
        </w:rPr>
        <w:t xml:space="preserve">One question to carry into the afternoon:</w:t>
      </w:r>
      <w:r>
        <w:t xml:space="preserve"> </w:t>
      </w:r>
      <w:r>
        <w:rPr>
          <w:i/>
          <w:iCs/>
        </w:rPr>
        <w:t xml:space="preserve">if this is how I trust AI on a single task, how do I trust it across a whole project?</w:t>
      </w:r>
    </w:p>
    <w:p>
      <w:pPr>
        <w:pStyle w:val="Compact"/>
        <w:numPr>
          <w:ilvl w:val="0"/>
          <w:numId w:val="1023"/>
        </w:numPr>
      </w:pPr>
      <w:r>
        <w:t xml:space="preserve">Bridge to the afternoon: the trust tool doesn’t stop at your desk. It scales.</w:t>
      </w:r>
    </w:p>
    <w:p>
      <w:pPr>
        <w:pStyle w:val="Compact"/>
        <w:numPr>
          <w:ilvl w:val="0"/>
          <w:numId w:val="1023"/>
        </w:numPr>
      </w:pPr>
      <w:r>
        <w:t xml:space="preserve">This afternoon we lift the same grid to the project level — where the question becomes</w:t>
      </w:r>
      <w:r>
        <w:t xml:space="preserve"> </w:t>
      </w:r>
      <w:r>
        <w:t xml:space="preserve">“where does a human stay in the loop across an entire AI initiative?”</w:t>
      </w:r>
    </w:p>
    <w:p>
      <w:pPr>
        <w:pStyle w:val="Compact"/>
        <w:numPr>
          <w:ilvl w:val="0"/>
          <w:numId w:val="1023"/>
        </w:numPr>
      </w:pPr>
      <w:r>
        <w:t xml:space="preserve">Same idea, bigger canvas.</w:t>
      </w:r>
    </w:p>
    <w:p>
      <w:r>
        <w:pict>
          <v:rect style="width:0;height:1.5pt" o:hralign="center" o:hrstd="t" o:hr="t"/>
        </w:pict>
      </w:r>
    </w:p>
    <w:bookmarkEnd w:id="47"/>
    <w:bookmarkStart w:id="51" w:name="lunch-1230"/>
    <w:p>
      <w:pPr>
        <w:pStyle w:val="Heading1"/>
      </w:pPr>
      <w:r>
        <w:t xml:space="preserve">Lunch — 12:30</w:t>
      </w:r>
    </w:p>
    <w:p>
      <w:pPr>
        <w:pStyle w:val="CaptionedFigure"/>
      </w:pPr>
      <w:r>
        <w:drawing>
          <wp:inline>
            <wp:extent cx="5334000" cy="2907030"/>
            <wp:effectExtent b="0" l="0" r="0" t="0"/>
            <wp:docPr descr="Lunch break. Back at 1:15." title="" id="49" name="Picture"/>
            <a:graphic>
              <a:graphicData uri="http://schemas.openxmlformats.org/drawingml/2006/picture">
                <pic:pic>
                  <pic:nvPicPr>
                    <pic:cNvPr descr="images/break-lunch.jp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70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Lunch break. Back at 1:15.</w:t>
      </w:r>
    </w:p>
    <w:p>
      <w:pPr>
        <w:pStyle w:val="Compact"/>
        <w:numPr>
          <w:ilvl w:val="0"/>
          <w:numId w:val="1024"/>
        </w:numPr>
      </w:pPr>
      <w:r>
        <w:t xml:space="preserve">45-minute break. Over lunch, invite people to bring a real initiative to mind for the afternoon scoping work.</w:t>
      </w:r>
    </w:p>
    <w:p>
      <w:r>
        <w:pict>
          <v:rect style="width:0;height:1.5pt" o:hralign="center" o:hrstd="t" o:hr="t"/>
        </w:pict>
      </w:r>
    </w:p>
    <w:bookmarkEnd w:id="51"/>
    <w:bookmarkStart w:id="53" w:name="part-ii-afternoon"/>
    <w:p>
      <w:pPr>
        <w:pStyle w:val="Heading1"/>
      </w:pPr>
      <w:r>
        <w:t xml:space="preserve">PART II — AFTERNOON</w:t>
      </w:r>
    </w:p>
    <w:bookmarkStart w:id="52" w:name="why-ai-delivery-is-different"/>
    <w:p>
      <w:pPr>
        <w:pStyle w:val="Heading2"/>
      </w:pPr>
      <w:r>
        <w:t xml:space="preserve">Why AI delivery is different</w:t>
      </w:r>
    </w:p>
    <w:p>
      <w:pPr>
        <w:pStyle w:val="Compact"/>
        <w:numPr>
          <w:ilvl w:val="0"/>
          <w:numId w:val="1025"/>
        </w:numPr>
      </w:pPr>
      <w:r>
        <w:t xml:space="preserve">The afternoon is for anyone who will lead, scope, or contribute to an AI project.</w:t>
      </w:r>
    </w:p>
    <w:p>
      <w:pPr>
        <w:pStyle w:val="Compact"/>
        <w:numPr>
          <w:ilvl w:val="0"/>
          <w:numId w:val="1025"/>
        </w:numPr>
      </w:pPr>
      <w:r>
        <w:t xml:space="preserve">You’re the delivery lead for one funded RetailFlow initiative. You’ll carry it through to a go/no-go decision.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the-fair-question"/>
    <w:p>
      <w:pPr>
        <w:pStyle w:val="Heading1"/>
      </w:pPr>
      <w:r>
        <w:t xml:space="preserve">The fair question</w:t>
      </w:r>
    </w:p>
    <w:p>
      <w:pPr>
        <w:pStyle w:val="BlockText"/>
      </w:pPr>
      <w:r>
        <w:rPr>
          <w:i/>
          <w:iCs/>
        </w:rPr>
        <w:t xml:space="preserve">I’ve delivered projects before. What’s actually different about an AI project?</w:t>
      </w:r>
    </w:p>
    <w:p>
      <w:pPr>
        <w:pStyle w:val="FirstParagraph"/>
      </w:pPr>
      <w:r>
        <w:t xml:space="preserve">Most of your instincts still serve you. Stakeholders, budgets, timelines, the awkward sponsor conversation — all carry over.</w:t>
      </w:r>
    </w:p>
    <w:p>
      <w:pPr>
        <w:pStyle w:val="BodyText"/>
      </w:pPr>
      <w:r>
        <w:rPr>
          <w:b/>
          <w:bCs/>
        </w:rPr>
        <w:t xml:space="preserve">But five things behave differently</w:t>
      </w:r>
      <w:r>
        <w:t xml:space="preserve">, and each quietly breaks an assumption normal projects let you take for granted.</w:t>
      </w:r>
    </w:p>
    <w:p>
      <w:pPr>
        <w:pStyle w:val="Compact"/>
        <w:numPr>
          <w:ilvl w:val="0"/>
          <w:numId w:val="1026"/>
        </w:numPr>
      </w:pPr>
      <w:r>
        <w:t xml:space="preserve">The honest reassurance: AI projects don’t fail</w:t>
      </w:r>
      <w:r>
        <w:t xml:space="preserve"> </w:t>
      </w:r>
      <w:r>
        <w:rPr>
          <w:i/>
          <w:iCs/>
        </w:rPr>
        <w:t xml:space="preserve">more</w:t>
      </w:r>
      <w:r>
        <w:t xml:space="preserve"> </w:t>
      </w:r>
      <w:r>
        <w:t xml:space="preserve">often. They fail</w:t>
      </w:r>
      <w:r>
        <w:t xml:space="preserve"> </w:t>
      </w:r>
      <w:r>
        <w:rPr>
          <w:i/>
          <w:iCs/>
        </w:rPr>
        <w:t xml:space="preserve">differently</w:t>
      </w:r>
      <w:r>
        <w:t xml:space="preserve">. The cracks appear in different places.</w:t>
      </w:r>
    </w:p>
    <w:p>
      <w:pPr>
        <w:pStyle w:val="Compact"/>
        <w:numPr>
          <w:ilvl w:val="0"/>
          <w:numId w:val="1026"/>
        </w:numPr>
      </w:pPr>
      <w:r>
        <w:t xml:space="preserve">If you don’t adjust for the five, the project doesn’t fail more — it fails in ways you didn’t see coming.</w:t>
      </w:r>
    </w:p>
    <w:p>
      <w:r>
        <w:pict>
          <v:rect style="width:0;height:1.5pt" o:hralign="center" o:hrstd="t" o:hr="t"/>
        </w:pict>
      </w:r>
    </w:p>
    <w:bookmarkEnd w:id="54"/>
    <w:bookmarkStart w:id="59" w:name="the-five-differences"/>
    <w:p>
      <w:pPr>
        <w:pStyle w:val="Heading1"/>
      </w:pPr>
      <w:r>
        <w:t xml:space="preserve">The five differences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For each assumption a normal project relies on, why AI breaks it, and the leadership move." title="" id="56" name="Picture"/>
            <a:graphic>
              <a:graphicData uri="http://schemas.openxmlformats.org/drawingml/2006/picture">
                <pic:pic>
                  <pic:nvPicPr>
                    <pic:cNvPr descr="images/five-differences-summary.sv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For each assumption a normal project relies on, why AI breaks it, and the leadership move.</w:t>
      </w:r>
    </w:p>
    <w:p>
      <w:pPr>
        <w:pStyle w:val="Compact"/>
        <w:numPr>
          <w:ilvl w:val="0"/>
          <w:numId w:val="1027"/>
        </w:numPr>
      </w:pPr>
      <w:r>
        <w:t xml:space="preserve">Walk the table. For each: the assumption, why AI breaks it, the move good leaders make.</w:t>
      </w:r>
    </w:p>
    <w:p>
      <w:pPr>
        <w:pStyle w:val="Compact"/>
        <w:numPr>
          <w:ilvl w:val="0"/>
          <w:numId w:val="1027"/>
        </w:numPr>
      </w:pPr>
      <w:r>
        <w:t xml:space="preserve">The thread through all five: AI gives you something fluent and roughly-right, fast — then asks you to do the harder work of deciding when roughly-right is good enough, and who checks when it isn’t. That’s a leadership question, not a technical one.</w:t>
      </w:r>
    </w:p>
    <w:p>
      <w:r>
        <w:pict>
          <v:rect style="width:0;height:1.5pt" o:hralign="center" o:hrstd="t" o:hr="t"/>
        </w:pict>
      </w:r>
    </w:p>
    <w:bookmarkEnd w:id="59"/>
    <w:bookmarkStart w:id="63" w:name="difference-1-done-cant-be-specified"/>
    <w:p>
      <w:pPr>
        <w:pStyle w:val="Heading1"/>
      </w:pPr>
      <w:r>
        <w:t xml:space="preserve">Difference 1:</w:t>
      </w:r>
      <w:r>
        <w:t xml:space="preserve"> </w:t>
      </w:r>
      <w:r>
        <w:t xml:space="preserve">“done”</w:t>
      </w:r>
      <w:r>
        <w:t xml:space="preserve"> </w:t>
      </w:r>
      <w:r>
        <w:t xml:space="preserve">can’t be specified</w:t>
      </w:r>
    </w:p>
    <w:p>
      <w:pPr>
        <w:pStyle w:val="CaptionedFigure"/>
      </w:pPr>
      <w:r>
        <w:drawing>
          <wp:inline>
            <wp:extent cx="5334000" cy="2907030"/>
            <wp:effectExtent b="0" l="0" r="0" t="0"/>
            <wp:docPr descr="No single right answer — only a spread of likely ones." title="" id="61" name="Picture"/>
            <a:graphic>
              <a:graphicData uri="http://schemas.openxmlformats.org/drawingml/2006/picture">
                <pic:pic>
                  <pic:nvPicPr>
                    <pic:cNvPr descr="images/done-cant-be-specified.jp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70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 single right answer — only a spread of likely ones.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You normally assume</w:t>
            </w:r>
          </w:p>
        </w:tc>
        <w:tc>
          <w:tcPr/>
          <w:p>
            <w:pPr>
              <w:pStyle w:val="Compact"/>
            </w:pPr>
            <w:r>
              <w:t xml:space="preserve">Why AI breaks it</w:t>
            </w:r>
          </w:p>
        </w:tc>
        <w:tc>
          <w:tcPr/>
          <w:p>
            <w:pPr>
              <w:pStyle w:val="Compact"/>
            </w:pPr>
            <w:r>
              <w:t xml:space="preserve">The move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Write the requirement, check it was met.</w:t>
            </w:r>
          </w:p>
        </w:tc>
        <w:tc>
          <w:tcPr/>
          <w:p>
            <w:pPr>
              <w:pStyle w:val="Compact"/>
            </w:pPr>
            <w:r>
              <w:t xml:space="preserve">AI is non-deterministic. Ask twice, get two answers. No single correct output — only a spread of likely ones.</w:t>
            </w:r>
          </w:p>
        </w:tc>
        <w:tc>
          <w:tcPr/>
          <w:p>
            <w:pPr>
              <w:pStyle w:val="Compact"/>
            </w:pPr>
            <w:r>
              <w:t xml:space="preserve">Stop chasing a fixed</w:t>
            </w:r>
            <w:r>
              <w:t xml:space="preserve"> </w:t>
            </w:r>
            <w:r>
              <w:t xml:space="preserve">“done.”</w:t>
            </w:r>
            <w:r>
              <w:t xml:space="preserve"> </w:t>
            </w:r>
            <w:r>
              <w:t xml:space="preserve">Manage a probability distribution. Decide up front what</w:t>
            </w:r>
            <w:r>
              <w:t xml:space="preserve"> </w:t>
            </w:r>
            <w:r>
              <w:t xml:space="preserve">“good enough”</w:t>
            </w:r>
            <w:r>
              <w:t xml:space="preserve"> </w:t>
            </w:r>
            <w:r>
              <w:t xml:space="preserve">looks like</w:t>
            </w:r>
            <w:r>
              <w:t xml:space="preserve"> </w:t>
            </w:r>
            <w:r>
              <w:rPr>
                <w:i/>
                <w:iCs/>
              </w:rPr>
              <w:t xml:space="preserve">for this use</w:t>
            </w:r>
            <w:r>
              <w:t xml:space="preserve">.</w:t>
            </w:r>
          </w:p>
        </w:tc>
      </w:tr>
    </w:tbl>
    <w:p>
      <w:pPr>
        <w:pStyle w:val="Compact"/>
        <w:numPr>
          <w:ilvl w:val="0"/>
          <w:numId w:val="1028"/>
        </w:numPr>
      </w:pPr>
      <w:r>
        <w:t xml:space="preserve">This is the trust tool at project scale: you can’t tick a box, you have to set an acceptable band and monitor it.</w:t>
      </w:r>
    </w:p>
    <w:p>
      <w:r>
        <w:pict>
          <v:rect style="width:0;height:1.5pt" o:hralign="center" o:hrstd="t" o:hr="t"/>
        </w:pict>
      </w:r>
    </w:p>
    <w:bookmarkEnd w:id="63"/>
    <w:bookmarkStart w:id="67" w:name="difference-2-the-demo-is-a-trap"/>
    <w:p>
      <w:pPr>
        <w:pStyle w:val="Heading1"/>
      </w:pPr>
      <w:r>
        <w:t xml:space="preserve">Difference 2: the demo is a trap</w:t>
      </w:r>
    </w:p>
    <w:p>
      <w:pPr>
        <w:pStyle w:val="CaptionedFigure"/>
      </w:pPr>
      <w:r>
        <w:drawing>
          <wp:inline>
            <wp:extent cx="5334000" cy="2907030"/>
            <wp:effectExtent b="0" l="0" r="0" t="0"/>
            <wp:docPr descr="An impressive demo hides the hard part still ahead." title="" id="65" name="Picture"/>
            <a:graphic>
              <a:graphicData uri="http://schemas.openxmlformats.org/drawingml/2006/picture">
                <pic:pic>
                  <pic:nvPicPr>
                    <pic:cNvPr descr="images/demo-is-a-trap.jp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70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An impressive demo hides the hard part still ahead.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You normally assume</w:t>
            </w:r>
          </w:p>
        </w:tc>
        <w:tc>
          <w:tcPr/>
          <w:p>
            <w:pPr>
              <w:pStyle w:val="Compact"/>
            </w:pPr>
            <w:r>
              <w:t xml:space="preserve">Why AI breaks it</w:t>
            </w:r>
          </w:p>
        </w:tc>
        <w:tc>
          <w:tcPr/>
          <w:p>
            <w:pPr>
              <w:pStyle w:val="Compact"/>
            </w:pPr>
            <w:r>
              <w:t xml:space="preserve">The move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working demo means we’re nearly there.</w:t>
            </w:r>
          </w:p>
        </w:tc>
        <w:tc>
          <w:tcPr/>
          <w:p>
            <w:pPr>
              <w:pStyle w:val="Compact"/>
            </w:pPr>
            <w:r>
              <w:t xml:space="preserve">The demo shows the happy path. The messy real-world cases are where it falls over. Progress feels real but is largely illusory.</w:t>
            </w:r>
          </w:p>
        </w:tc>
        <w:tc>
          <w:tcPr/>
          <w:p>
            <w:pPr>
              <w:pStyle w:val="Compact"/>
            </w:pPr>
            <w:r>
              <w:t xml:space="preserve">Treat the demo as the</w:t>
            </w:r>
            <w:r>
              <w:t xml:space="preserve"> </w:t>
            </w:r>
            <w:r>
              <w:rPr>
                <w:i/>
                <w:iCs/>
              </w:rPr>
              <w:t xml:space="preserve">start</w:t>
            </w:r>
            <w:r>
              <w:t xml:space="preserve"> </w:t>
            </w:r>
            <w:r>
              <w:t xml:space="preserve">of the hard part, not the end. Refuse to let an impressive demo set the timeline.</w:t>
            </w:r>
          </w:p>
        </w:tc>
      </w:tr>
    </w:tbl>
    <w:p>
      <w:pPr>
        <w:pStyle w:val="Compact"/>
        <w:numPr>
          <w:ilvl w:val="0"/>
          <w:numId w:val="1029"/>
        </w:numPr>
      </w:pPr>
      <w:r>
        <w:t xml:space="preserve">The gap between an impressive demonstration and a dependable production system is wide and deceptive.</w:t>
      </w:r>
    </w:p>
    <w:p>
      <w:pPr>
        <w:pStyle w:val="Compact"/>
        <w:numPr>
          <w:ilvl w:val="0"/>
          <w:numId w:val="1029"/>
        </w:numPr>
      </w:pPr>
      <w:r>
        <w:t xml:space="preserve">Sponsors see the demo and assume the rest is engineering. It isn’t.</w:t>
      </w:r>
    </w:p>
    <w:p>
      <w:r>
        <w:pict>
          <v:rect style="width:0;height:1.5pt" o:hralign="center" o:hrstd="t" o:hr="t"/>
        </w:pict>
      </w:r>
    </w:p>
    <w:bookmarkEnd w:id="67"/>
    <w:bookmarkStart w:id="71" w:name="difference-3-the-data-is-the-uncertainty"/>
    <w:p>
      <w:pPr>
        <w:pStyle w:val="Heading1"/>
      </w:pPr>
      <w:r>
        <w:t xml:space="preserve">Difference 3: the data is the uncertainty</w:t>
      </w:r>
    </w:p>
    <w:p>
      <w:pPr>
        <w:pStyle w:val="CaptionedFigure"/>
      </w:pPr>
      <w:r>
        <w:drawing>
          <wp:inline>
            <wp:extent cx="5334000" cy="2907030"/>
            <wp:effectExtent b="0" l="0" r="0" t="0"/>
            <wp:docPr descr="Data is discovered and messy, not a clean known input." title="" id="69" name="Picture"/>
            <a:graphic>
              <a:graphicData uri="http://schemas.openxmlformats.org/drawingml/2006/picture">
                <pic:pic>
                  <pic:nvPicPr>
                    <pic:cNvPr descr="images/data-is-the-uncertainty.jp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70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Data is discovered and messy, not a clean known input.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You normally assume</w:t>
            </w:r>
          </w:p>
        </w:tc>
        <w:tc>
          <w:tcPr/>
          <w:p>
            <w:pPr>
              <w:pStyle w:val="Compact"/>
            </w:pPr>
            <w:r>
              <w:t xml:space="preserve">Why AI breaks it</w:t>
            </w:r>
          </w:p>
        </w:tc>
        <w:tc>
          <w:tcPr/>
          <w:p>
            <w:pPr>
              <w:pStyle w:val="Compact"/>
            </w:pPr>
            <w:r>
              <w:t xml:space="preserve">The move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data is a known input. We specify it, someone supplies it.</w:t>
            </w:r>
          </w:p>
        </w:tc>
        <w:tc>
          <w:tcPr/>
          <w:p>
            <w:pPr>
              <w:pStyle w:val="Compact"/>
            </w:pPr>
            <w:r>
              <w:t xml:space="preserve">The data is</w:t>
            </w:r>
            <w:r>
              <w:t xml:space="preserve"> </w:t>
            </w:r>
            <w:r>
              <w:rPr>
                <w:i/>
                <w:iCs/>
              </w:rPr>
              <w:t xml:space="preserve">the</w:t>
            </w:r>
            <w:r>
              <w:t xml:space="preserve"> </w:t>
            </w:r>
            <w:r>
              <w:t xml:space="preserve">uncertainty. You discover what you actually have — its gaps, biases, surprises — only by working with it.</w:t>
            </w:r>
          </w:p>
        </w:tc>
        <w:tc>
          <w:tcPr/>
          <w:p>
            <w:pPr>
              <w:pStyle w:val="Compact"/>
            </w:pPr>
            <w:r>
              <w:t xml:space="preserve">Run delivery as organisational discovery. Build the learning into the plan, don’t treat it as slippage.</w:t>
            </w:r>
          </w:p>
        </w:tc>
      </w:tr>
    </w:tbl>
    <w:p>
      <w:pPr>
        <w:pStyle w:val="Compact"/>
        <w:numPr>
          <w:ilvl w:val="0"/>
          <w:numId w:val="1030"/>
        </w:numPr>
      </w:pPr>
      <w:r>
        <w:t xml:space="preserve">On an ordinary project, data is something you order. On an AI project, data is something you find — and it’s rarely what you expected.</w:t>
      </w:r>
    </w:p>
    <w:p>
      <w:r>
        <w:pict>
          <v:rect style="width:0;height:1.5pt" o:hralign="center" o:hrstd="t" o:hr="t"/>
        </w:pict>
      </w:r>
    </w:p>
    <w:bookmarkEnd w:id="71"/>
    <w:bookmarkStart w:id="75" w:name="difference-4-verification-is-the-product"/>
    <w:p>
      <w:pPr>
        <w:pStyle w:val="Heading1"/>
      </w:pPr>
      <w:r>
        <w:t xml:space="preserve">Difference 4: verification is the product</w:t>
      </w:r>
    </w:p>
    <w:p>
      <w:pPr>
        <w:pStyle w:val="CaptionedFigure"/>
      </w:pPr>
      <w:r>
        <w:drawing>
          <wp:inline>
            <wp:extent cx="5334000" cy="2907030"/>
            <wp:effectExtent b="0" l="0" r="0" t="0"/>
            <wp:docPr descr="The checking is the product — not the raw output." title="" id="73" name="Picture"/>
            <a:graphic>
              <a:graphicData uri="http://schemas.openxmlformats.org/drawingml/2006/picture">
                <pic:pic>
                  <pic:nvPicPr>
                    <pic:cNvPr descr="images/verification-is-the-product.jp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70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checking is the product — not the raw output.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You normally assume</w:t>
            </w:r>
          </w:p>
        </w:tc>
        <w:tc>
          <w:tcPr/>
          <w:p>
            <w:pPr>
              <w:pStyle w:val="Compact"/>
            </w:pPr>
            <w:r>
              <w:t xml:space="preserve">Why AI breaks it</w:t>
            </w:r>
          </w:p>
        </w:tc>
        <w:tc>
          <w:tcPr/>
          <w:p>
            <w:pPr>
              <w:pStyle w:val="Compact"/>
            </w:pPr>
            <w:r>
              <w:t xml:space="preserve">The move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build is the product. Ship the thing, you’re finished.</w:t>
            </w:r>
          </w:p>
        </w:tc>
        <w:tc>
          <w:tcPr/>
          <w:p>
            <w:pPr>
              <w:pStyle w:val="Compact"/>
            </w:pPr>
            <w:r>
              <w:t xml:space="preserve">With AI, outputs vary and can be confidently wrong. The value lives in how you check them, and where a human stays in the loop.</w:t>
            </w:r>
          </w:p>
        </w:tc>
        <w:tc>
          <w:tcPr/>
          <w:p>
            <w:pPr>
              <w:pStyle w:val="Compact"/>
            </w:pPr>
            <w:r>
              <w:t xml:space="preserve">Design the checking deliberately. Make it part of what you ship, not an afterthought.</w:t>
            </w:r>
          </w:p>
        </w:tc>
      </w:tr>
    </w:tbl>
    <w:p>
      <w:pPr>
        <w:pStyle w:val="Compact"/>
        <w:numPr>
          <w:ilvl w:val="0"/>
          <w:numId w:val="1031"/>
        </w:numPr>
      </w:pPr>
      <w:r>
        <w:t xml:space="preserve">This is the trust tool again:</w:t>
      </w:r>
      <w:r>
        <w:t xml:space="preserve"> </w:t>
      </w:r>
      <w:r>
        <w:t xml:space="preserve">“where does a human stay in the loop?”</w:t>
      </w:r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design decision</w:t>
      </w:r>
      <w:r>
        <w:t xml:space="preserve">, not something to figure out after something goes wrong.</w:t>
      </w:r>
    </w:p>
    <w:p>
      <w:pPr>
        <w:pStyle w:val="Compact"/>
        <w:numPr>
          <w:ilvl w:val="0"/>
          <w:numId w:val="1031"/>
        </w:numPr>
      </w:pPr>
      <w:r>
        <w:t xml:space="preserve">The checkpoints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w:r>
        <w:t xml:space="preserve">the product. A system without them is a demo.</w:t>
      </w:r>
    </w:p>
    <w:p>
      <w:r>
        <w:pict>
          <v:rect style="width:0;height:1.5pt" o:hralign="center" o:hrstd="t" o:hr="t"/>
        </w:pict>
      </w:r>
    </w:p>
    <w:bookmarkEnd w:id="75"/>
    <w:bookmarkStart w:id="79" w:name="X6eea6ea274a7ce6d446ed09489d21de9b6fef24"/>
    <w:p>
      <w:pPr>
        <w:pStyle w:val="Heading1"/>
      </w:pPr>
      <w:r>
        <w:t xml:space="preserve">Difference 5: generic competence is the baseline</w:t>
      </w:r>
    </w:p>
    <w:p>
      <w:pPr>
        <w:pStyle w:val="CaptionedFigure"/>
      </w:pPr>
      <w:r>
        <w:drawing>
          <wp:inline>
            <wp:extent cx="5334000" cy="2907030"/>
            <wp:effectExtent b="0" l="0" r="0" t="0"/>
            <wp:docPr descr="The edge isn’t the model — it’s the human variation only you bring." title="" id="77" name="Picture"/>
            <a:graphic>
              <a:graphicData uri="http://schemas.openxmlformats.org/drawingml/2006/picture">
                <pic:pic>
                  <pic:nvPicPr>
                    <pic:cNvPr descr="images/where-your-edge-lives.jp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70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edge isn’t the model — it’s the human variation only you bring.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You normally assume</w:t>
            </w:r>
          </w:p>
        </w:tc>
        <w:tc>
          <w:tcPr/>
          <w:p>
            <w:pPr>
              <w:pStyle w:val="Compact"/>
            </w:pPr>
            <w:r>
              <w:t xml:space="preserve">Why AI breaks it</w:t>
            </w:r>
          </w:p>
        </w:tc>
        <w:tc>
          <w:tcPr/>
          <w:p>
            <w:pPr>
              <w:pStyle w:val="Compact"/>
            </w:pPr>
            <w:r>
              <w:t xml:space="preserve">The move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 we build something clever, that’s our edge.</w:t>
            </w:r>
          </w:p>
        </w:tc>
        <w:tc>
          <w:tcPr/>
          <w:p>
            <w:pPr>
              <w:pStyle w:val="Compact"/>
            </w:pPr>
            <w:r>
              <w:t xml:space="preserve">When every rival can run the same models, the model isn’t your advantage — anyone can have it.</w:t>
            </w:r>
          </w:p>
        </w:tc>
        <w:tc>
          <w:tcPr/>
          <w:p>
            <w:pPr>
              <w:pStyle w:val="Compact"/>
            </w:pPr>
            <w:r>
              <w:t xml:space="preserve">Compete on the human variation a rival’s identical model can’t reproduce: your taste, your judgement, how your people apply it.</w:t>
            </w:r>
          </w:p>
        </w:tc>
      </w:tr>
    </w:tbl>
    <w:p>
      <w:pPr>
        <w:pStyle w:val="Compact"/>
        <w:numPr>
          <w:ilvl w:val="0"/>
          <w:numId w:val="1032"/>
        </w:numPr>
      </w:pPr>
      <w:r>
        <w:t xml:space="preserve">This is the morning’s thesis, at organisational scale.</w:t>
      </w:r>
    </w:p>
    <w:p>
      <w:pPr>
        <w:pStyle w:val="Compact"/>
        <w:numPr>
          <w:ilvl w:val="0"/>
          <w:numId w:val="1032"/>
        </w:numPr>
      </w:pPr>
      <w:r>
        <w:t xml:space="preserve">The edge isn’t the model. It’s the judgement you design into the project — and the data, processes and people that are uniquely yours.</w:t>
      </w:r>
    </w:p>
    <w:p>
      <w:r>
        <w:pict>
          <v:rect style="width:0;height:1.5pt" o:hralign="center" o:hrstd="t" o:hr="t"/>
        </w:pict>
      </w:r>
    </w:p>
    <w:bookmarkEnd w:id="79"/>
    <w:bookmarkStart w:id="80" w:name="the-thread-through-all-five"/>
    <w:p>
      <w:pPr>
        <w:pStyle w:val="Heading1"/>
      </w:pPr>
      <w:r>
        <w:t xml:space="preserve">The thread through all five</w:t>
      </w:r>
    </w:p>
    <w:p>
      <w:pPr>
        <w:pStyle w:val="BlockText"/>
      </w:pPr>
      <w:r>
        <w:t xml:space="preserve">AI gives you something fluent, plausible, and</w:t>
      </w:r>
      <w:r>
        <w:t xml:space="preserve"> </w:t>
      </w:r>
      <w:r>
        <w:rPr>
          <w:i/>
          <w:iCs/>
        </w:rPr>
        <w:t xml:space="preserve">roughly</w:t>
      </w:r>
      <w:r>
        <w:t xml:space="preserve"> </w:t>
      </w:r>
      <w:r>
        <w:t xml:space="preserve">right, fast — then asks you to do the harder work of deciding when roughly-right is good enough, and who checks when it isn’t.</w:t>
      </w:r>
    </w:p>
    <w:p>
      <w:pPr>
        <w:pStyle w:val="FirstParagraph"/>
      </w:pPr>
      <w:r>
        <w:t xml:space="preserve">That’s a</w:t>
      </w:r>
      <w:r>
        <w:t xml:space="preserve"> </w:t>
      </w:r>
      <w:r>
        <w:rPr>
          <w:b/>
          <w:bCs/>
        </w:rPr>
        <w:t xml:space="preserve">leadership question</w:t>
      </w:r>
      <w:r>
        <w:t xml:space="preserve">, not a technical one. Which is exactly why it lands on your desk.</w:t>
      </w:r>
    </w:p>
    <w:p>
      <w:pPr>
        <w:pStyle w:val="Compact"/>
        <w:numPr>
          <w:ilvl w:val="0"/>
          <w:numId w:val="1033"/>
        </w:numPr>
      </w:pPr>
      <w:r>
        <w:t xml:space="preserve">Pause here. The five differences are not cause for alarm or hype. They just describe where the cracks appear.</w:t>
      </w:r>
    </w:p>
    <w:p>
      <w:pPr>
        <w:pStyle w:val="Compact"/>
        <w:numPr>
          <w:ilvl w:val="0"/>
          <w:numId w:val="1033"/>
        </w:numPr>
      </w:pPr>
      <w:r>
        <w:t xml:space="preserve">Every standard PM tool still applies — it just</w:t>
      </w:r>
      <w:r>
        <w:t xml:space="preserve"> </w:t>
      </w:r>
      <w:r>
        <w:rPr>
          <w:i/>
          <w:iCs/>
        </w:rPr>
        <w:t xml:space="preserve">bends</w:t>
      </w:r>
      <w:r>
        <w:t xml:space="preserve"> </w:t>
      </w:r>
      <w:r>
        <w:t xml:space="preserve">under these five forces. The afternoon is about learning the bend.</w:t>
      </w:r>
    </w:p>
    <w:p>
      <w:r>
        <w:pict>
          <v:rect style="width:0;height:1.5pt" o:hralign="center" o:hrstd="t" o:hr="t"/>
        </w:pict>
      </w:r>
    </w:p>
    <w:bookmarkEnd w:id="80"/>
    <w:bookmarkStart w:id="81" w:name="your-project-retailflow"/>
    <w:p>
      <w:pPr>
        <w:pStyle w:val="Heading1"/>
      </w:pPr>
      <w:r>
        <w:t xml:space="preserve">Your project: RetailFlow</w:t>
      </w:r>
    </w:p>
    <w:p>
      <w:pPr>
        <w:pStyle w:val="FirstParagraph"/>
      </w:pPr>
      <w:r>
        <w:t xml:space="preserve">You are the</w:t>
      </w:r>
      <w:r>
        <w:t xml:space="preserve"> </w:t>
      </w:r>
      <w:r>
        <w:rPr>
          <w:b/>
          <w:bCs/>
        </w:rPr>
        <w:t xml:space="preserve">delivery lead</w:t>
      </w:r>
      <w:r>
        <w:t xml:space="preserve">. The board has funded one AI initiative at RetailFlow. Ship it without the predictable failures.</w:t>
      </w:r>
    </w:p>
    <w:p>
      <w:pPr>
        <w:pStyle w:val="BodyText"/>
      </w:pPr>
      <w:r>
        <w:t xml:space="preserve">You’ll carry one project through three moves, scoping and stress-testing it by</w:t>
      </w:r>
      <w:r>
        <w:t xml:space="preserve"> </w:t>
      </w:r>
      <w:r>
        <w:rPr>
          <w:b/>
          <w:bCs/>
        </w:rPr>
        <w:t xml:space="preserve">interviewing the RetailFlow team</w:t>
      </w:r>
      <w:r>
        <w:t xml:space="preserve"> </w:t>
      </w:r>
      <w:r>
        <w:t xml:space="preserve">— live AI chatbots who have opinions, disagree with each other, and won’t do your job for you.</w:t>
      </w:r>
    </w:p>
    <w:p>
      <w:pPr>
        <w:pStyle w:val="Compact"/>
        <w:numPr>
          <w:ilvl w:val="0"/>
          <w:numId w:val="1034"/>
        </w:numPr>
      </w:pPr>
      <w:r>
        <w:t xml:space="preserve">Each group takes a different initiative, so no two designs look alike.</w:t>
      </w:r>
    </w:p>
    <w:p>
      <w:pPr>
        <w:pStyle w:val="Compact"/>
        <w:numPr>
          <w:ilvl w:val="0"/>
          <w:numId w:val="1034"/>
        </w:numPr>
      </w:pPr>
      <w:r>
        <w:t xml:space="preserve">The bots are fluent and confident even when they don’t know — exactly the AI behaviour you’re learning to lead. Treat what they tell you with the same scrutiny as any AI output.</w:t>
      </w:r>
    </w:p>
    <w:p>
      <w:r>
        <w:pict>
          <v:rect style="width:0;height:1.5pt" o:hralign="center" o:hrstd="t" o:hr="t"/>
        </w:pict>
      </w:r>
    </w:p>
    <w:bookmarkEnd w:id="81"/>
    <w:bookmarkStart w:id="82" w:name="sprint-1-scope-it-against-reality"/>
    <w:p>
      <w:pPr>
        <w:pStyle w:val="Heading1"/>
      </w:pPr>
      <w:r>
        <w:t xml:space="preserve">Sprint 1: scope it against reality</w:t>
      </w:r>
    </w:p>
    <w:p>
      <w:pPr>
        <w:pStyle w:val="FirstParagraph"/>
      </w:pPr>
      <w:r>
        <w:t xml:space="preserve">Interview</w:t>
      </w:r>
      <w:r>
        <w:t xml:space="preserve"> </w:t>
      </w:r>
      <w:r>
        <w:rPr>
          <w:b/>
          <w:bCs/>
        </w:rPr>
        <w:t xml:space="preserve">Priya</w:t>
      </w:r>
      <w:r>
        <w:t xml:space="preserve"> </w:t>
      </w:r>
      <w:r>
        <w:t xml:space="preserve">(Data) and</w:t>
      </w:r>
      <w:r>
        <w:t xml:space="preserve"> </w:t>
      </w:r>
      <w:r>
        <w:rPr>
          <w:b/>
          <w:bCs/>
        </w:rPr>
        <w:t xml:space="preserve">Marcus</w:t>
      </w:r>
      <w:r>
        <w:t xml:space="preserve"> </w:t>
      </w:r>
      <w:r>
        <w:t xml:space="preserve">(CIO). Reconcile</w:t>
      </w:r>
      <w:r>
        <w:t xml:space="preserve"> </w:t>
      </w:r>
      <w:r>
        <w:t xml:space="preserve">“move fast”</w:t>
      </w:r>
      <w:r>
        <w:t xml:space="preserve"> </w:t>
      </w:r>
      <w:r>
        <w:t xml:space="preserve">with</w:t>
      </w:r>
      <w:r>
        <w:t xml:space="preserve"> </w:t>
      </w:r>
      <w:r>
        <w:t xml:space="preserve">“the data isn’t ready.”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Scoped objectives, data requirements, and a defined</w:t>
      </w:r>
      <w:r>
        <w:rPr>
          <w:b/>
          <w:bCs/>
        </w:rPr>
        <w:t xml:space="preserve"> </w:t>
      </w:r>
      <w:r>
        <w:rPr>
          <w:b/>
          <w:bCs/>
        </w:rPr>
        <w:t xml:space="preserve">“good enough.”</w:t>
      </w:r>
    </w:p>
    <w:p>
      <w:pPr>
        <w:pStyle w:val="Compact"/>
        <w:numPr>
          <w:ilvl w:val="0"/>
          <w:numId w:val="1035"/>
        </w:numPr>
      </w:pPr>
      <w:r>
        <w:t xml:space="preserve">This is differences 1 and 3 in action: define</w:t>
      </w:r>
      <w:r>
        <w:t xml:space="preserve"> </w:t>
      </w:r>
      <w:r>
        <w:t xml:space="preserve">“good enough”</w:t>
      </w:r>
      <w:r>
        <w:t xml:space="preserve"> </w:t>
      </w:r>
      <w:r>
        <w:t xml:space="preserve">as a band, and treat data as discovery.</w:t>
      </w:r>
    </w:p>
    <w:p>
      <w:pPr>
        <w:pStyle w:val="Compact"/>
        <w:numPr>
          <w:ilvl w:val="0"/>
          <w:numId w:val="1035"/>
        </w:numPr>
      </w:pPr>
      <w:r>
        <w:t xml:space="preserve">Push back on both. Marcus wants speed; Priya wants realism. A good plan reconciles them — don’t take either as gospel.</w:t>
      </w:r>
    </w:p>
    <w:p>
      <w:r>
        <w:pict>
          <v:rect style="width:0;height:1.5pt" o:hralign="center" o:hrstd="t" o:hr="t"/>
        </w:pict>
      </w:r>
    </w:p>
    <w:bookmarkEnd w:id="82"/>
    <w:bookmarkStart w:id="86" w:name="afternoon-tea-230"/>
    <w:p>
      <w:pPr>
        <w:pStyle w:val="Heading1"/>
      </w:pPr>
      <w:r>
        <w:t xml:space="preserve">Afternoon tea — 2:30</w:t>
      </w:r>
    </w:p>
    <w:p>
      <w:pPr>
        <w:pStyle w:val="CaptionedFigure"/>
      </w:pPr>
      <w:r>
        <w:drawing>
          <wp:inline>
            <wp:extent cx="5334000" cy="2907030"/>
            <wp:effectExtent b="0" l="0" r="0" t="0"/>
            <wp:docPr descr="Afternoon tea. Back at 3:00." title="" id="84" name="Picture"/>
            <a:graphic>
              <a:graphicData uri="http://schemas.openxmlformats.org/drawingml/2006/picture">
                <pic:pic>
                  <pic:nvPicPr>
                    <pic:cNvPr descr="images/break-afternoon-tea.jp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70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Afternoon tea. Back at 3:00.</w:t>
      </w:r>
    </w:p>
    <w:p>
      <w:pPr>
        <w:pStyle w:val="Compact"/>
        <w:numPr>
          <w:ilvl w:val="0"/>
          <w:numId w:val="1036"/>
        </w:numPr>
      </w:pPr>
      <w:r>
        <w:t xml:space="preserve">30-minute break. The final sprint after tea builds the roadmap and makes the go/no-go call — keep people anchored to their scoped project.</w:t>
      </w:r>
    </w:p>
    <w:p>
      <w:r>
        <w:pict>
          <v:rect style="width:0;height:1.5pt" o:hralign="center" o:hrstd="t" o:hr="t"/>
        </w:pict>
      </w:r>
    </w:p>
    <w:bookmarkEnd w:id="86"/>
    <w:bookmarkStart w:id="87" w:name="sprint-2-stakeholders-human-in-the-loop"/>
    <w:p>
      <w:pPr>
        <w:pStyle w:val="Heading1"/>
      </w:pPr>
      <w:r>
        <w:t xml:space="preserve">Sprint 2: stakeholders &amp; human-in-the-loop</w:t>
      </w:r>
    </w:p>
    <w:p>
      <w:pPr>
        <w:pStyle w:val="FirstParagraph"/>
      </w:pPr>
      <w:r>
        <w:t xml:space="preserve">Interview</w:t>
      </w:r>
      <w:r>
        <w:t xml:space="preserve"> </w:t>
      </w:r>
      <w:r>
        <w:rPr>
          <w:b/>
          <w:bCs/>
        </w:rPr>
        <w:t xml:space="preserve">Emma</w:t>
      </w:r>
      <w:r>
        <w:t xml:space="preserve"> </w:t>
      </w:r>
      <w:r>
        <w:t xml:space="preserve">(MD),</w:t>
      </w:r>
      <w:r>
        <w:t xml:space="preserve"> </w:t>
      </w:r>
      <w:r>
        <w:rPr>
          <w:b/>
          <w:bCs/>
        </w:rPr>
        <w:t xml:space="preserve">Tom</w:t>
      </w:r>
      <w:r>
        <w:t xml:space="preserve"> </w:t>
      </w:r>
      <w:r>
        <w:t xml:space="preserve">(Customer Service), and</w:t>
      </w:r>
      <w:r>
        <w:t xml:space="preserve"> </w:t>
      </w:r>
      <w:r>
        <w:rPr>
          <w:b/>
          <w:bCs/>
        </w:rPr>
        <w:t xml:space="preserve">David</w:t>
      </w:r>
      <w:r>
        <w:t xml:space="preserve"> </w:t>
      </w:r>
      <w:r>
        <w:t xml:space="preserve">(CFO). Decide where a human must stay in charge.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A stakeholder plan and a human-in-the-loop checkpoint design.</w:t>
      </w:r>
    </w:p>
    <w:p>
      <w:pPr>
        <w:pStyle w:val="Compact"/>
        <w:numPr>
          <w:ilvl w:val="0"/>
          <w:numId w:val="1037"/>
        </w:numPr>
      </w:pPr>
      <w:r>
        <w:t xml:space="preserve">This is the trust tool and difference 4 in action: design the checking deliberately. Where does verification sit? Where must a person own the decision?</w:t>
      </w:r>
    </w:p>
    <w:p>
      <w:pPr>
        <w:pStyle w:val="Compact"/>
        <w:numPr>
          <w:ilvl w:val="0"/>
          <w:numId w:val="1037"/>
        </w:numPr>
      </w:pPr>
      <w:r>
        <w:t xml:space="preserve">The checkpoints are part of the product, not an afterthought.</w:t>
      </w:r>
    </w:p>
    <w:p>
      <w:r>
        <w:pict>
          <v:rect style="width:0;height:1.5pt" o:hralign="center" o:hrstd="t" o:hr="t"/>
        </w:pict>
      </w:r>
    </w:p>
    <w:bookmarkEnd w:id="87"/>
    <w:bookmarkStart w:id="88" w:name="sprint-3-roadmap-risk-the-gono-go"/>
    <w:p>
      <w:pPr>
        <w:pStyle w:val="Heading1"/>
      </w:pPr>
      <w:r>
        <w:t xml:space="preserve">Sprint 3: roadmap, risk &amp; the go/no-go</w:t>
      </w:r>
    </w:p>
    <w:p>
      <w:pPr>
        <w:pStyle w:val="FirstParagraph"/>
      </w:pPr>
      <w:r>
        <w:t xml:space="preserve">Build the delivery roadmap with</w:t>
      </w:r>
      <w:r>
        <w:t xml:space="preserve"> </w:t>
      </w:r>
      <w:r>
        <w:rPr>
          <w:b/>
          <w:bCs/>
        </w:rPr>
        <w:t xml:space="preserve">go/no-go gates</w:t>
      </w:r>
      <w:r>
        <w:t xml:space="preserve"> </w:t>
      </w:r>
      <w:r>
        <w:t xml:space="preserve">and a risk register.</w:t>
      </w:r>
    </w:p>
    <w:p>
      <w:pPr>
        <w:pStyle w:val="BodyText"/>
      </w:pPr>
      <w:r>
        <w:t xml:space="preserve">Then make the call:</w:t>
      </w:r>
      <w:r>
        <w:t xml:space="preserve"> </w:t>
      </w:r>
      <w:r>
        <w:rPr>
          <w:b/>
          <w:bCs/>
        </w:rPr>
        <w:t xml:space="preserve">Scale, Pivot, or Kill.</w:t>
      </w:r>
    </w:p>
    <w:p>
      <w:pPr>
        <w:pStyle w:val="Compact"/>
        <w:numPr>
          <w:ilvl w:val="0"/>
          <w:numId w:val="1038"/>
        </w:numPr>
      </w:pPr>
      <w:r>
        <w:t xml:space="preserve">The honest question at each gate isn’t</w:t>
      </w:r>
      <w:r>
        <w:t xml:space="preserve"> </w:t>
      </w:r>
      <w:r>
        <w:t xml:space="preserve">“is it perfect?”</w:t>
      </w:r>
      <w:r>
        <w:t xml:space="preserve"> </w:t>
      </w:r>
      <w:r>
        <w:t xml:space="preserve">It’s whether the evidence justifies continuing.</w:t>
      </w:r>
    </w:p>
    <w:p>
      <w:pPr>
        <w:pStyle w:val="Compact"/>
        <w:numPr>
          <w:ilvl w:val="0"/>
          <w:numId w:val="1038"/>
        </w:numPr>
      </w:pPr>
      <w:r>
        <w:t xml:space="preserve">Killing a project that isn’t working, early, is success — not failure. The cost of wrongly scaling is far higher than the cost of wrongly killing.</w:t>
      </w:r>
    </w:p>
    <w:p>
      <w:r>
        <w:pict>
          <v:rect style="width:0;height:1.5pt" o:hralign="center" o:hrstd="t" o:hr="t"/>
        </w:pict>
      </w:r>
    </w:p>
    <w:bookmarkEnd w:id="88"/>
    <w:bookmarkStart w:id="92" w:name="the-scale-pivot-kill-call"/>
    <w:p>
      <w:pPr>
        <w:pStyle w:val="Heading1"/>
      </w:pPr>
      <w:r>
        <w:t xml:space="preserve">The Scale / Pivot / Kill call</w:t>
      </w:r>
    </w:p>
    <w:p>
      <w:pPr>
        <w:pStyle w:val="CaptionedFigure"/>
      </w:pPr>
      <w:r>
        <w:drawing>
          <wp:inline>
            <wp:extent cx="5334000" cy="2907030"/>
            <wp:effectExtent b="0" l="0" r="0" t="0"/>
            <wp:docPr descr="Three paths from one gate: scale, pivot, or kill." title="" id="90" name="Picture"/>
            <a:graphic>
              <a:graphicData uri="http://schemas.openxmlformats.org/drawingml/2006/picture">
                <pic:pic>
                  <pic:nvPicPr>
                    <pic:cNvPr descr="images/scale-pivot-kill.jp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70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Three paths from one gate: scale, pivot, or kill.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Scale</w:t>
      </w:r>
      <w:r>
        <w:t xml:space="preserve"> </w:t>
      </w:r>
      <w:r>
        <w:t xml:space="preserve">— the evidence supports it.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Pivot</w:t>
      </w:r>
      <w:r>
        <w:t xml:space="preserve"> </w:t>
      </w:r>
      <w:r>
        <w:t xml:space="preserve">— right idea, wrong approach.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Kill</w:t>
      </w:r>
      <w:r>
        <w:t xml:space="preserve"> </w:t>
      </w:r>
      <w:r>
        <w:t xml:space="preserve">— it isn’t working.</w:t>
      </w:r>
      <w:r>
        <w:t xml:space="preserve"> </w:t>
      </w:r>
      <w:r>
        <w:rPr>
          <w:i/>
          <w:iCs/>
        </w:rPr>
        <w:t xml:space="preserve">This is a good outcome.</w:t>
      </w:r>
    </w:p>
    <w:p>
      <w:pPr>
        <w:pStyle w:val="Compact"/>
        <w:numPr>
          <w:ilvl w:val="0"/>
          <w:numId w:val="1040"/>
        </w:numPr>
      </w:pPr>
      <w:r>
        <w:t xml:space="preserve">Scale: move toward production, with governance and monitoring that grow with the system.</w:t>
      </w:r>
    </w:p>
    <w:p>
      <w:pPr>
        <w:pStyle w:val="Compact"/>
        <w:numPr>
          <w:ilvl w:val="0"/>
          <w:numId w:val="1040"/>
        </w:numPr>
      </w:pPr>
      <w:r>
        <w:t xml:space="preserve">Pivot: change the shape, keep the intent.</w:t>
      </w:r>
    </w:p>
    <w:p>
      <w:pPr>
        <w:pStyle w:val="Compact"/>
        <w:numPr>
          <w:ilvl w:val="0"/>
          <w:numId w:val="1040"/>
        </w:numPr>
      </w:pPr>
      <w:r>
        <w:t xml:space="preserve">Kill: stop early, before it consumes more budget and goodwill. Normalise killing — a portfolio that never kills can’t learn.</w:t>
      </w:r>
    </w:p>
    <w:p>
      <w:pPr>
        <w:pStyle w:val="Compact"/>
        <w:numPr>
          <w:ilvl w:val="0"/>
          <w:numId w:val="1040"/>
        </w:numPr>
      </w:pPr>
      <w:r>
        <w:t xml:space="preserve">The honest question at each gate isn’t</w:t>
      </w:r>
      <w:r>
        <w:t xml:space="preserve"> </w:t>
      </w:r>
      <w:r>
        <w:t xml:space="preserve">“is it perfect?”</w:t>
      </w:r>
      <w:r>
        <w:t xml:space="preserve"> </w:t>
      </w:r>
      <w:r>
        <w:t xml:space="preserve">It’s whether the evidence justifies continuing. The cost of wrongly scaling is far higher than wrongly killing.</w:t>
      </w:r>
    </w:p>
    <w:p>
      <w:pPr>
        <w:pStyle w:val="Compact"/>
        <w:numPr>
          <w:ilvl w:val="0"/>
          <w:numId w:val="1040"/>
        </w:numPr>
      </w:pPr>
      <w:r>
        <w:t xml:space="preserve">Frame killing to your sponsor as disciplined decision-making under uncertainty, not failure.</w:t>
      </w:r>
    </w:p>
    <w:p>
      <w:r>
        <w:pict>
          <v:rect style="width:0;height:1.5pt" o:hralign="center" o:hrstd="t" o:hr="t"/>
        </w:pict>
      </w:r>
    </w:p>
    <w:bookmarkEnd w:id="92"/>
    <w:bookmarkStart w:id="93" w:name="what-youve-built-by-400"/>
    <w:p>
      <w:pPr>
        <w:pStyle w:val="Heading1"/>
      </w:pPr>
      <w:r>
        <w:t xml:space="preserve">What you’ve built by 4:00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delivery design for a real AI project</w:t>
      </w:r>
      <w:r>
        <w:t xml:space="preserve">, not a theory to apply later:</w:t>
      </w:r>
    </w:p>
    <w:p>
      <w:pPr>
        <w:pStyle w:val="Compact"/>
        <w:numPr>
          <w:ilvl w:val="0"/>
          <w:numId w:val="1041"/>
        </w:numPr>
      </w:pPr>
      <w:r>
        <w:t xml:space="preserve">Scoped objectives, data requirements, and a defined</w:t>
      </w:r>
      <w:r>
        <w:t xml:space="preserve"> </w:t>
      </w:r>
      <w:r>
        <w:t xml:space="preserve">“good enough”</w:t>
      </w:r>
    </w:p>
    <w:p>
      <w:pPr>
        <w:pStyle w:val="Compact"/>
        <w:numPr>
          <w:ilvl w:val="0"/>
          <w:numId w:val="1041"/>
        </w:numPr>
      </w:pPr>
      <w:r>
        <w:t xml:space="preserve">A delivery roadmap with milestones and go/no-go gates</w:t>
      </w:r>
    </w:p>
    <w:p>
      <w:pPr>
        <w:pStyle w:val="Compact"/>
        <w:numPr>
          <w:ilvl w:val="0"/>
          <w:numId w:val="1041"/>
        </w:numPr>
      </w:pPr>
      <w:r>
        <w:t xml:space="preserve">A stakeholder plan and a human-in-the-loop checkpoint design</w:t>
      </w:r>
    </w:p>
    <w:p>
      <w:pPr>
        <w:pStyle w:val="Compact"/>
        <w:numPr>
          <w:ilvl w:val="0"/>
          <w:numId w:val="1041"/>
        </w:numPr>
      </w:pPr>
      <w:r>
        <w:t xml:space="preserve">A risk register and a Scale/Pivot/Kill decision you can defend</w:t>
      </w:r>
    </w:p>
    <w:p>
      <w:pPr>
        <w:pStyle w:val="Compact"/>
        <w:numPr>
          <w:ilvl w:val="0"/>
          <w:numId w:val="1042"/>
        </w:numPr>
      </w:pPr>
      <w:r>
        <w:t xml:space="preserve">Pause. Look at what the trust tool — learned once this morning — became by the afternoon: a whole project’s human-in-the-loop architecture.</w:t>
      </w:r>
    </w:p>
    <w:p>
      <w:pPr>
        <w:pStyle w:val="Compact"/>
        <w:numPr>
          <w:ilvl w:val="0"/>
          <w:numId w:val="1042"/>
        </w:numPr>
      </w:pPr>
      <w:r>
        <w:t xml:space="preserve">Same grid. Two scales. One coherent day.</w:t>
      </w:r>
    </w:p>
    <w:p>
      <w:r>
        <w:pict>
          <v:rect style="width:0;height:1.5pt" o:hralign="center" o:hrstd="t" o:hr="t"/>
        </w:pict>
      </w:r>
    </w:p>
    <w:bookmarkEnd w:id="93"/>
    <w:bookmarkStart w:id="95" w:name="part-iii-close"/>
    <w:p>
      <w:pPr>
        <w:pStyle w:val="Heading1"/>
      </w:pPr>
      <w:r>
        <w:t xml:space="preserve">PART III — CLOSE</w:t>
      </w:r>
    </w:p>
    <w:bookmarkStart w:id="94" w:name="the-edge-thats-left-to-humans"/>
    <w:p>
      <w:pPr>
        <w:pStyle w:val="Heading2"/>
      </w:pPr>
      <w:r>
        <w:t xml:space="preserve">The edge that’s left to humans</w:t>
      </w:r>
    </w:p>
    <w:p>
      <w:pPr>
        <w:pStyle w:val="Compact"/>
        <w:numPr>
          <w:ilvl w:val="0"/>
          <w:numId w:val="1043"/>
        </w:numPr>
      </w:pPr>
      <w:r>
        <w:t xml:space="preserve">We close where we opened: the provocation.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8" w:name="back-to-the-provocation"/>
    <w:p>
      <w:pPr>
        <w:pStyle w:val="Heading1"/>
      </w:pPr>
      <w:r>
        <w:t xml:space="preserve">Back to the provocation</w:t>
      </w:r>
    </w:p>
    <w:p>
      <w:pPr>
        <w:pStyle w:val="CaptionedFigure"/>
      </w:pPr>
      <w:r>
        <w:drawing>
          <wp:inline>
            <wp:extent cx="5334000" cy="2907030"/>
            <wp:effectExtent b="0" l="0" r="0" t="0"/>
            <wp:docPr descr="The robots all produce the same generic output; one human holds the edge they can’t." title="" id="96" name="Picture"/>
            <a:graphic>
              <a:graphicData uri="http://schemas.openxmlformats.org/drawingml/2006/picture">
                <pic:pic>
                  <pic:nvPicPr>
                    <pic:cNvPr descr="images/where-your-edge-lives.jp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70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robots all produce the same generic output; one human holds the edge they can’t.</w:t>
      </w:r>
    </w:p>
    <w:p>
      <w:pPr>
        <w:pStyle w:val="BlockText"/>
      </w:pPr>
      <w:r>
        <w:t xml:space="preserve">If the AI is genuinely good at running your work, it’s equally good at running everyone else’s.</w:t>
      </w:r>
      <w:r>
        <w:t xml:space="preserve"> </w:t>
      </w:r>
      <w:r>
        <w:t xml:space="preserve">Generic competence, with no variation, is the baseline — not an advantage.</w:t>
      </w:r>
    </w:p>
    <w:p>
      <w:pPr>
        <w:pStyle w:val="FirstParagraph"/>
      </w:pPr>
      <w:r>
        <w:t xml:space="preserve">So where does your edge live?</w:t>
      </w:r>
    </w:p>
    <w:p>
      <w:pPr>
        <w:pStyle w:val="Compact"/>
        <w:numPr>
          <w:ilvl w:val="0"/>
          <w:numId w:val="1044"/>
        </w:numPr>
      </w:pPr>
      <w:r>
        <w:t xml:space="preserve">You’ve spent the day answering this — at your desk and across a project.</w:t>
      </w:r>
    </w:p>
    <w:p>
      <w:pPr>
        <w:pStyle w:val="Compact"/>
        <w:numPr>
          <w:ilvl w:val="0"/>
          <w:numId w:val="1044"/>
        </w:numPr>
      </w:pPr>
      <w:r>
        <w:t xml:space="preserve">The answer is the same at both scales: your edge lives in the judgement the tool can’t supply.</w:t>
      </w:r>
    </w:p>
    <w:p>
      <w:r>
        <w:pict>
          <v:rect style="width:0;height:1.5pt" o:hralign="center" o:hrstd="t" o:hr="t"/>
        </w:pict>
      </w:r>
    </w:p>
    <w:bookmarkEnd w:id="98"/>
    <w:bookmarkStart w:id="99" w:name="where-the-edge-lives"/>
    <w:p>
      <w:pPr>
        <w:pStyle w:val="Heading1"/>
      </w:pPr>
      <w:r>
        <w:t xml:space="preserve">Where the edge lives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At the task:</w:t>
      </w:r>
      <w:r>
        <w:t xml:space="preserve"> </w:t>
      </w:r>
      <w:r>
        <w:t xml:space="preserve">knowing what to ask for, what to keep, what to throw away. (RTCF, the trust tool.)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At the workflow:</w:t>
      </w:r>
      <w:r>
        <w:t xml:space="preserve"> </w:t>
      </w:r>
      <w:r>
        <w:t xml:space="preserve">deciding where AI handles the average and your thinking stays in charge. (Your redesigned process.)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At the project:</w:t>
      </w:r>
      <w:r>
        <w:t xml:space="preserve"> </w:t>
      </w:r>
      <w:r>
        <w:t xml:space="preserve">designing the human in, defining</w:t>
      </w:r>
      <w:r>
        <w:t xml:space="preserve"> </w:t>
      </w:r>
      <w:r>
        <w:t xml:space="preserve">“good enough,”</w:t>
      </w:r>
      <w:r>
        <w:t xml:space="preserve"> </w:t>
      </w:r>
      <w:r>
        <w:t xml:space="preserve">making the go/no-go call. (Your delivery design.)</w:t>
      </w:r>
    </w:p>
    <w:p>
      <w:pPr>
        <w:pStyle w:val="FirstParagraph"/>
      </w:pPr>
      <w:r>
        <w:rPr>
          <w:b/>
          <w:bCs/>
        </w:rPr>
        <w:t xml:space="preserve">The AI is your starting point, not your finish line.</w:t>
      </w:r>
      <w:r>
        <w:t xml:space="preserve"> </w:t>
      </w:r>
      <w:r>
        <w:t xml:space="preserve">What turns generic into</w:t>
      </w:r>
      <w:r>
        <w:t xml:space="preserve"> </w:t>
      </w:r>
      <w:r>
        <w:rPr>
          <w:i/>
          <w:iCs/>
        </w:rPr>
        <w:t xml:space="preserve">yours</w:t>
      </w:r>
      <w:r>
        <w:t xml:space="preserve"> </w:t>
      </w:r>
      <w:r>
        <w:t xml:space="preserve">is the judgement, taste, and variation only you bring.</w:t>
      </w:r>
    </w:p>
    <w:p>
      <w:pPr>
        <w:pStyle w:val="Compact"/>
        <w:numPr>
          <w:ilvl w:val="0"/>
          <w:numId w:val="1046"/>
        </w:numPr>
      </w:pPr>
      <w:r>
        <w:t xml:space="preserve">The variation matters precisely because the model produces an average. Averages converge. Variation diverges. Divergence — your taste, your contrarian calls, your specific customers — is where competitive edge survives.</w:t>
      </w:r>
    </w:p>
    <w:p>
      <w:pPr>
        <w:pStyle w:val="Compact"/>
        <w:numPr>
          <w:ilvl w:val="0"/>
          <w:numId w:val="1046"/>
        </w:numPr>
      </w:pPr>
      <w:r>
        <w:t xml:space="preserve">This is why hollowing out your team’s expertise for short-term speed is a strategic error, not just an ethical one. You’re deleting the only edge you have.</w:t>
      </w:r>
    </w:p>
    <w:p>
      <w:r>
        <w:pict>
          <v:rect style="width:0;height:1.5pt" o:hralign="center" o:hrstd="t" o:hr="t"/>
        </w:pict>
      </w:r>
    </w:p>
    <w:bookmarkEnd w:id="99"/>
    <w:bookmarkStart w:id="100" w:name="your-action-plan"/>
    <w:p>
      <w:pPr>
        <w:pStyle w:val="Heading1"/>
      </w:pPr>
      <w:r>
        <w:t xml:space="preserve">Your action plan</w:t>
      </w:r>
    </w:p>
    <w:p>
      <w:pPr>
        <w:pStyle w:val="FirstParagraph"/>
      </w:pPr>
      <w:r>
        <w:rPr>
          <w:b/>
          <w:bCs/>
        </w:rPr>
        <w:t xml:space="preserve">This week.</w:t>
      </w:r>
      <w:r>
        <w:t xml:space="preserve"> </w:t>
      </w:r>
      <w:r>
        <w:t xml:space="preserve">Trial your redesigned workflow. Run one task through the trust tool before you act on it.</w:t>
      </w:r>
    </w:p>
    <w:p>
      <w:pPr>
        <w:pStyle w:val="BodyText"/>
      </w:pPr>
      <w:r>
        <w:rPr>
          <w:b/>
          <w:bCs/>
        </w:rPr>
        <w:t xml:space="preserve">This month.</w:t>
      </w:r>
      <w:r>
        <w:t xml:space="preserve"> </w:t>
      </w:r>
      <w:r>
        <w:t xml:space="preserve">Apply RTCF until it’s habit. Start one conversation at work about where a human must stay in the loop.</w:t>
      </w:r>
    </w:p>
    <w:p>
      <w:pPr>
        <w:pStyle w:val="BodyText"/>
      </w:pPr>
      <w:r>
        <w:rPr>
          <w:b/>
          <w:bCs/>
        </w:rPr>
        <w:t xml:space="preserve">This quarter.</w:t>
      </w:r>
      <w:r>
        <w:t xml:space="preserve"> </w:t>
      </w:r>
      <w:r>
        <w:t xml:space="preserve">Scope one real AI initiative using what you built this afternoon — objectives,</w:t>
      </w:r>
      <w:r>
        <w:t xml:space="preserve"> </w:t>
      </w:r>
      <w:r>
        <w:t xml:space="preserve">“good enough,”</w:t>
      </w:r>
      <w:r>
        <w:t xml:space="preserve"> </w:t>
      </w:r>
      <w:r>
        <w:t xml:space="preserve">checkpoints, a go/no-go gate. Defend the Scale/Pivot/Kill call.</w:t>
      </w:r>
    </w:p>
    <w:p>
      <w:pPr>
        <w:pStyle w:val="Compact"/>
        <w:numPr>
          <w:ilvl w:val="0"/>
          <w:numId w:val="1047"/>
        </w:numPr>
      </w:pPr>
      <w:r>
        <w:t xml:space="preserve">Make the commitments specific. Vague plans don’t survive Monday.</w:t>
      </w:r>
    </w:p>
    <w:p>
      <w:pPr>
        <w:pStyle w:val="Compact"/>
        <w:numPr>
          <w:ilvl w:val="0"/>
          <w:numId w:val="1047"/>
        </w:numPr>
      </w:pPr>
      <w:r>
        <w:t xml:space="preserve">Trade plans with the person next to you — you’ll check in with each other.</w:t>
      </w:r>
    </w:p>
    <w:p>
      <w:r>
        <w:pict>
          <v:rect style="width:0;height:1.5pt" o:hralign="center" o:hrstd="t" o:hr="t"/>
        </w:pict>
      </w:r>
    </w:p>
    <w:bookmarkEnd w:id="100"/>
    <w:bookmarkStart w:id="101" w:name="what-you-leave-with"/>
    <w:p>
      <w:pPr>
        <w:pStyle w:val="Heading1"/>
      </w:pPr>
      <w:r>
        <w:t xml:space="preserve">What you leave with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Reusable decision tools</w:t>
      </w:r>
      <w:r>
        <w:t xml:space="preserve"> </w:t>
      </w:r>
      <w:r>
        <w:t xml:space="preserve">— the trust tool, RTCF, the five differences, Scale/Pivot/Kill. Tool-agnostic; they don’t expire when the next model ships.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A redesigned workflow</w:t>
      </w:r>
      <w:r>
        <w:t xml:space="preserve"> </w:t>
      </w:r>
      <w:r>
        <w:t xml:space="preserve">from your own role, ready to trial.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A project design</w:t>
      </w:r>
      <w:r>
        <w:t xml:space="preserve"> </w:t>
      </w:r>
      <w:r>
        <w:t xml:space="preserve">— scope, roadmap, checkpoints, risk — for a real scenario.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A personal action plan</w:t>
      </w:r>
      <w:r>
        <w:t xml:space="preserve"> </w:t>
      </w:r>
      <w:r>
        <w:t xml:space="preserve">for the week, month, and quarter.</w:t>
      </w:r>
    </w:p>
    <w:p>
      <w:pPr>
        <w:pStyle w:val="Compact"/>
        <w:numPr>
          <w:ilvl w:val="0"/>
          <w:numId w:val="1048"/>
        </w:numPr>
      </w:pPr>
      <w:r>
        <w:t xml:space="preserve">A free companion resource to go deeper:</w:t>
      </w:r>
      <w:r>
        <w:t xml:space="preserve"> </w:t>
      </w:r>
      <w:r>
        <w:rPr>
          <w:b/>
          <w:bCs/>
        </w:rPr>
        <w:t xml:space="preserve">michael-borck.github.io/conversation-not-delegation</w:t>
      </w:r>
    </w:p>
    <w:p>
      <w:pPr>
        <w:pStyle w:val="Compact"/>
        <w:numPr>
          <w:ilvl w:val="0"/>
          <w:numId w:val="1049"/>
        </w:numPr>
      </w:pPr>
      <w:r>
        <w:t xml:space="preserve">The frameworks are the durable part. The specific tools will change; the judgement won’t.</w:t>
      </w:r>
    </w:p>
    <w:p>
      <w:pPr>
        <w:pStyle w:val="Compact"/>
        <w:numPr>
          <w:ilvl w:val="0"/>
          <w:numId w:val="1049"/>
        </w:numPr>
      </w:pPr>
      <w:r>
        <w:t xml:space="preserve">Thank everyone. Open the floor for questions.</w:t>
      </w:r>
    </w:p>
    <w:bookmarkEnd w:id="1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jpg" /><Relationship Type="http://schemas.openxmlformats.org/officeDocument/2006/relationships/image" Id="rId83" Target="media/rId83.jpg" /><Relationship Type="http://schemas.openxmlformats.org/officeDocument/2006/relationships/image" Id="rId48" Target="media/rId48.jpg" /><Relationship Type="http://schemas.openxmlformats.org/officeDocument/2006/relationships/image" Id="rId36" Target="media/rId36.jpg" /><Relationship Type="http://schemas.openxmlformats.org/officeDocument/2006/relationships/image" Id="rId24" Target="media/rId24.jpg" /><Relationship Type="http://schemas.openxmlformats.org/officeDocument/2006/relationships/image" Id="rId18" Target="media/rId18.jpg" /><Relationship Type="http://schemas.openxmlformats.org/officeDocument/2006/relationships/image" Id="rId68" Target="media/rId68.jpg" /><Relationship Type="http://schemas.openxmlformats.org/officeDocument/2006/relationships/image" Id="rId64" Target="media/rId64.jpg" /><Relationship Type="http://schemas.openxmlformats.org/officeDocument/2006/relationships/image" Id="rId60" Target="media/rId60.jpg" /><Relationship Type="http://schemas.openxmlformats.org/officeDocument/2006/relationships/image" Id="rId55" Target="media/rId55.svg" /><Relationship Type="http://schemas.openxmlformats.org/officeDocument/2006/relationships/image" Id="rId89" Target="media/rId89.jpg" /><Relationship Type="http://schemas.openxmlformats.org/officeDocument/2006/relationships/image" Id="rId28" Target="media/rId28.svg" /><Relationship Type="http://schemas.openxmlformats.org/officeDocument/2006/relationships/image" Id="rId42" Target="media/rId42.jpg" /><Relationship Type="http://schemas.openxmlformats.org/officeDocument/2006/relationships/image" Id="rId72" Target="media/rId72.jpg" /><Relationship Type="http://schemas.openxmlformats.org/officeDocument/2006/relationships/image" Id="rId76" Target="media/rId76.jpg" /><Relationship Type="http://schemas.openxmlformats.org/officeDocument/2006/relationships/image" Id="rId31" Target="media/rId31.png" /><Relationship Type="http://schemas.openxmlformats.org/officeDocument/2006/relationships/image" Id="rId58" Target="media/rId5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Human Edge</dc:title>
  <dc:creator>Dr. Michael Borck</dc:creator>
  <cp:keywords/>
  <dcterms:created xsi:type="dcterms:W3CDTF">2026-06-25T11:01:56Z</dcterms:created>
  <dcterms:modified xsi:type="dcterms:W3CDTF">2026-06-25T11:01:56Z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subtitle">
    <vt:lpwstr>Using and Delivering AI with Judgement</vt:lpwstr>
  </property>
  <property fmtid="{D5CDD505-2E9C-101B-9397-08002B2CF9AE}" pid="11" name="toc-title">
    <vt:lpwstr>Table of contents</vt:lpwstr>
  </property>
</Properties>
</file>