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B87" w:rsidRDefault="002E6761">
      <w:pPr>
        <w:rPr>
          <w:lang w:val="en-US"/>
        </w:rPr>
      </w:pPr>
      <w:r>
        <w:rPr>
          <w:lang w:val="en-US"/>
        </w:rPr>
        <w:t>Existing “Big Ball of Mud” monolith</w:t>
      </w:r>
    </w:p>
    <w:p w:rsidR="002E6761" w:rsidRDefault="002E6761">
      <w:r>
        <w:rPr>
          <w:lang w:val="en-US"/>
        </w:rPr>
        <w:t xml:space="preserve">From </w:t>
      </w:r>
      <w:hyperlink r:id="rId5" w:history="1">
        <w:r>
          <w:rPr>
            <w:rStyle w:val="Hyperlink"/>
          </w:rPr>
          <w:t>https://microservices.io/book</w:t>
        </w:r>
      </w:hyperlink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It was only Monday lunchtime, but Mary, the CTO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of Food to Go, Inc. (FTGO), was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already feeling frustrated. Her day had started off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really well. She had spent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previous week with other software architects and develo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pers at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an excellent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conference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learning about the latest software development 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echniques, including continuous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deployment and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microservice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architecture.</w:t>
      </w:r>
    </w:p>
    <w:p w:rsidR="00685088" w:rsidRDefault="00685088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conference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had left her feeling empowered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eager to improve how FTGO develops software.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Unfortunately, that feeling had quickly evaporate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d. She had just spent the first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morning back in the office in yet another painful meeting with senior engine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ering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business people. They had spent two hours disc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ussing why the development team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was going to miss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another critical release date.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Sadly,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kind of meeting had become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increasingly common over the past few years. Despite adopting agile, the pace of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development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was slowing down, making it next to impossible to meet the business’</w:t>
      </w:r>
      <w:r w:rsidR="00685088">
        <w:rPr>
          <w:rFonts w:ascii="NewBaskerville-Roman" w:hAnsi="NewBaskerville-Roman" w:cs="NewBaskerville-Roman"/>
          <w:color w:val="262626"/>
          <w:sz w:val="20"/>
          <w:szCs w:val="20"/>
        </w:rPr>
        <w:t>s goals.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685088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conference had made Mary realize that FT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GO was suffering from a case of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monolithic hell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that the cure was to adopt the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mic</w:t>
      </w:r>
      <w:r w:rsidR="00685088">
        <w:rPr>
          <w:rFonts w:ascii="NewBaskerville-Roman" w:hAnsi="NewBaskerville-Roman" w:cs="NewBaskerville-Roman"/>
          <w:color w:val="262626"/>
          <w:sz w:val="20"/>
          <w:szCs w:val="20"/>
        </w:rPr>
        <w:t>roservice</w:t>
      </w:r>
      <w:proofErr w:type="spellEnd"/>
      <w:r w:rsidR="0068508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architecture.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sz w:val="25"/>
          <w:szCs w:val="25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5"/>
          <w:szCs w:val="25"/>
        </w:rPr>
        <w:t>The slow march toward monolithic hell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Since its launch in late 2005, FTGO had grown by leaps and bounds. Today, it’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 one of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leading online food delivery companies in the U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nited States. The business even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plans to expand overseas, although those plans are i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n jeopardy because of delays in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implementing the necessary features.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At its core, the FTGO application is quite simple.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Consumers use the FTGO website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or mobile application to place food orders at loca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 restaurants. FTGO coordinates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network of couriers who deliver the orders. It’s also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responsible for paying couriers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restaurants. Restaurants use the FTGO website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to edit their menus and manage orders.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application uses various web services,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including Stripe for payments,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Twilio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for messaging, and Amazon Simple Email Service (SES) for email.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Like many other aging enterprise applications,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FTGO application is a monolith,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consisting of a single Java Web Application Archive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(WAR) file. Over the years, it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has become a large, complex application. Despite the best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efforts of the FTGO development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team, it’s become an example of the Big Ball of Mud pattern (</w:t>
      </w:r>
      <w:hyperlink r:id="rId6" w:history="1">
        <w:r w:rsidRPr="00A7361D">
          <w:rPr>
            <w:rStyle w:val="Hyperlink"/>
            <w:rFonts w:ascii="NewBaskerville-Roman" w:hAnsi="NewBaskerville-Roman" w:cs="NewBaskerville-Roman"/>
            <w:sz w:val="20"/>
            <w:szCs w:val="20"/>
          </w:rPr>
          <w:t>www.laputan</w:t>
        </w:r>
      </w:hyperlink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.org/mud/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).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To quote Foote and Yoder, the authors of that pattern, it’s a “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haphazardly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structured, sprawling, sloppy, duct-tape and bailing wire, spaghetti code jungle.”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pace of software delivery has slowed. To make matt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ers worse, the FTGO application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has been written using some increasingly obsolete frameworks. The FTGO application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is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exhibiting all the symptoms of monolithic hell.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>The architecture of the FTGO application</w:t>
      </w:r>
    </w:p>
    <w:p w:rsidR="00685088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FTGO is a typical enterprise Java application. Figure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1.1 shows its architecture.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FTGO applicatio</w:t>
      </w:r>
      <w:r w:rsidR="00685088">
        <w:rPr>
          <w:rFonts w:ascii="NewBaskerville-Roman" w:hAnsi="NewBaskerville-Roman" w:cs="NewBaskerville-Roman"/>
          <w:color w:val="262626"/>
          <w:sz w:val="20"/>
          <w:szCs w:val="20"/>
        </w:rPr>
        <w:t>n has a hexagonal architecture</w:t>
      </w:r>
      <w:proofErr w:type="gramStart"/>
      <w:r w:rsidR="00685088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a hexagona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 architecture, the core of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application </w:t>
      </w:r>
      <w:r w:rsidR="00685088">
        <w:rPr>
          <w:rFonts w:ascii="NewBaskerville-Roman" w:hAnsi="NewBaskerville-Roman" w:cs="NewBaskerville-Roman"/>
          <w:color w:val="262626"/>
          <w:sz w:val="20"/>
          <w:szCs w:val="20"/>
        </w:rPr>
        <w:t>consists of the business logic.</w:t>
      </w:r>
    </w:p>
    <w:p w:rsidR="00685088" w:rsidRDefault="00685088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P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Surrounding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business logic are various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adapters that implement UIs and integrate with external systems.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2E6761" w:rsidRDefault="002E6761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D431F72" wp14:editId="75C36BC3">
            <wp:extent cx="5731510" cy="4392321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>The benefits of the monolithic architecture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the early days of FTGO, when the application was relatively small, the application’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monolithic architecture had lots of benefits: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Simple to develop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—IDEs and other developer tools 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re focused on building a single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application.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Easy to make radical changes to the application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You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can change the code and the </w:t>
      </w:r>
      <w:r w:rsidR="00685088">
        <w:rPr>
          <w:rFonts w:ascii="NewBaskerville-Roman" w:hAnsi="NewBaskerville-Roman" w:cs="NewBaskerville-Roman"/>
          <w:color w:val="262626"/>
          <w:sz w:val="20"/>
          <w:szCs w:val="20"/>
        </w:rPr>
        <w:t xml:space="preserve">database schema, build,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deploy.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Straightforward to 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The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developers wrote end-to-end tes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ts that launched the </w:t>
      </w:r>
      <w:r w:rsidR="00685088">
        <w:rPr>
          <w:rFonts w:ascii="NewBaskerville-Roman" w:hAnsi="NewBaskerville-Roman" w:cs="NewBaskerville-Roman"/>
          <w:color w:val="262626"/>
          <w:sz w:val="20"/>
          <w:szCs w:val="20"/>
        </w:rPr>
        <w:t xml:space="preserve">application, invoked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REST API, and tested the UI with Selenium.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Straightforward to deploy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All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 developer had 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 do was copy the WAR file to a </w:t>
      </w:r>
      <w:r w:rsidR="00685088">
        <w:rPr>
          <w:rFonts w:ascii="NewBaskerville-Roman" w:hAnsi="NewBaskerville-Roman" w:cs="NewBaskerville-Roman"/>
          <w:color w:val="262626"/>
          <w:sz w:val="20"/>
          <w:szCs w:val="20"/>
        </w:rPr>
        <w:t xml:space="preserve">server that had Tomcat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installed.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Easy to scale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—FTGO ran multiple instances of the 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pplication behind a load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balancer.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Over time, though, </w:t>
      </w:r>
      <w:r w:rsidRPr="00685088">
        <w:rPr>
          <w:rFonts w:ascii="NewBaskerville-Roman" w:hAnsi="NewBaskerville-Roman" w:cs="NewBaskerville-Roman"/>
          <w:color w:val="262626"/>
          <w:sz w:val="20"/>
          <w:szCs w:val="20"/>
          <w:u w:val="single"/>
        </w:rPr>
        <w:t>development, testing, deploymen</w:t>
      </w:r>
      <w:r w:rsidRPr="00685088">
        <w:rPr>
          <w:rFonts w:ascii="NewBaskerville-Roman" w:hAnsi="NewBaskerville-Roman" w:cs="NewBaskerville-Roman"/>
          <w:color w:val="262626"/>
          <w:sz w:val="20"/>
          <w:szCs w:val="20"/>
          <w:u w:val="single"/>
        </w:rPr>
        <w:t>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and scaling became much more difficult.</w:t>
      </w:r>
    </w:p>
    <w:p w:rsidR="002E6761" w:rsidRDefault="002E6761" w:rsidP="002E6761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>Living in monolithic hell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Unfortunately, as the FTGO developers have discover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ed, the monolithic architecture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has a huge limitation. 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Successful applications like th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 FTGO application have a habit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outgrowing the monolithic architecture. Each sp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rint, the FTGO development team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implemented a few more stories, which made the code base larger. 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Moreover, as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company became more successful, the size of the development team steadily grew.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Not only did this increase the growth rate of the code base, i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 also increased the management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overhead.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figure 1.2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below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shows, the once small, simple FTGO application has grown over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years into a monstrous monolith. Similarly,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small development team has now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become multiple Scrum teams, each of which works 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n a particular functional area.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a result of outgrowing its architecture, FTGO is in monolithic hell. 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Development 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slow and painful. Agile developmen</w:t>
      </w:r>
      <w:r w:rsidR="001E4D3B">
        <w:rPr>
          <w:rFonts w:ascii="NewBaskerville-Roman" w:hAnsi="NewBaskerville-Roman" w:cs="NewBaskerville-Roman"/>
          <w:color w:val="262626"/>
          <w:sz w:val="20"/>
          <w:szCs w:val="20"/>
        </w:rPr>
        <w:t>t and deployment is impossible.</w:t>
      </w:r>
    </w:p>
    <w:p w:rsidR="00685088" w:rsidRDefault="00685088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Default="002E6761" w:rsidP="002E676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A89C237" wp14:editId="3B37AF9B">
            <wp:extent cx="5731510" cy="3467074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61" w:rsidRDefault="002E6761" w:rsidP="002E6761">
      <w:pPr>
        <w:rPr>
          <w:lang w:val="en-US"/>
        </w:rPr>
      </w:pP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To make matters worse, this overwhelming complexity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tends to be a downward spiral.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If the code base is difficult to understand, a developer won’t make changes c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orrectly.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Each change makes the code base incrementally more co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mplex and harder to understand.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clean, modular architecture shown earlier in figure 1.1 doesn’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 reflect reality.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FTGO is gradually becoming a monstrous, incomprehensible, big ball of mud.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sz w:val="19"/>
          <w:szCs w:val="19"/>
        </w:rPr>
        <w:t>D</w:t>
      </w:r>
      <w:r>
        <w:rPr>
          <w:rFonts w:ascii="FranklinGothic-Demi" w:hAnsi="FranklinGothic-Demi" w:cs="FranklinGothic-Demi"/>
          <w:color w:val="476B86"/>
          <w:sz w:val="15"/>
          <w:szCs w:val="15"/>
        </w:rPr>
        <w:t>EVELOPMENT IS SLOW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well as having to fight overwhelming complexity,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FTGO developers find day-to-day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development tasks slow. The large application overloads and slows down a developer’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IDE. Building the FTGO application takes a long time. 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sz w:val="19"/>
          <w:szCs w:val="19"/>
        </w:rPr>
        <w:t>P</w:t>
      </w:r>
      <w:r>
        <w:rPr>
          <w:rFonts w:ascii="FranklinGothic-Demi" w:hAnsi="FranklinGothic-Demi" w:cs="FranklinGothic-Demi"/>
          <w:color w:val="476B86"/>
          <w:sz w:val="15"/>
          <w:szCs w:val="15"/>
        </w:rPr>
        <w:t>ATH FROM COMMIT TO DEPLOYMENT IS LONG AND ARDUOUS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Another problem with the FTGO application is that de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ploying changes into production </w:t>
      </w:r>
      <w:r w:rsidR="001E4D3B">
        <w:rPr>
          <w:rFonts w:ascii="NewBaskerville-Roman" w:hAnsi="NewBaskerville-Roman" w:cs="NewBaskerville-Roman"/>
          <w:color w:val="262626"/>
          <w:sz w:val="20"/>
          <w:szCs w:val="20"/>
        </w:rPr>
        <w:t>is a long and painful process.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Apparently,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as of 2011, Amazon.com deployed a change into produc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tion every 11.6 seconds without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ever impacting the user! 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A05140" w:rsidRDefault="001E4D3B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2E6761" w:rsidRDefault="002E6761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Another reason it takes so long to get changes into production is that testing takes</w:t>
      </w:r>
      <w:r w:rsidR="00A0514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E4D3B">
        <w:rPr>
          <w:rFonts w:ascii="NewBaskerville-Roman" w:hAnsi="NewBaskerville-Roman" w:cs="NewBaskerville-Roman"/>
          <w:color w:val="262626"/>
          <w:sz w:val="20"/>
          <w:szCs w:val="20"/>
        </w:rPr>
        <w:t>a long time.</w:t>
      </w:r>
    </w:p>
    <w:p w:rsidR="00A05140" w:rsidRDefault="00A05140" w:rsidP="002E67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A05140" w:rsidRDefault="00A05140" w:rsidP="00A05140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sz w:val="19"/>
          <w:szCs w:val="19"/>
        </w:rPr>
        <w:t>S</w:t>
      </w:r>
      <w:r>
        <w:rPr>
          <w:rFonts w:ascii="FranklinGothic-Demi" w:hAnsi="FranklinGothic-Demi" w:cs="FranklinGothic-Demi"/>
          <w:color w:val="476B86"/>
          <w:sz w:val="15"/>
          <w:szCs w:val="15"/>
        </w:rPr>
        <w:t>CALING IS DIFFICULT</w:t>
      </w:r>
    </w:p>
    <w:p w:rsidR="00A05140" w:rsidRDefault="00A05140" w:rsidP="00A0514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FTGO team also has problems scaling its application. That’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 because different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application modules have conflicting resource requireme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nts. The restaurant data, for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example, is stored in a large, in-memory database, which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is ideally deployed on servers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with lots of memory. In contrast, the image process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ing module is CPU intensive and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best deployed on servers with lots of CPU. Because thes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 modules are part of the same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application, FTGO must compromise on the server configuration.</w:t>
      </w:r>
    </w:p>
    <w:p w:rsidR="00A05140" w:rsidRDefault="00A05140" w:rsidP="00A0514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A05140" w:rsidRDefault="00A05140" w:rsidP="00A05140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sz w:val="19"/>
          <w:szCs w:val="19"/>
        </w:rPr>
        <w:t>D</w:t>
      </w:r>
      <w:r>
        <w:rPr>
          <w:rFonts w:ascii="FranklinGothic-Demi" w:hAnsi="FranklinGothic-Demi" w:cs="FranklinGothic-Demi"/>
          <w:color w:val="476B86"/>
          <w:sz w:val="15"/>
          <w:szCs w:val="15"/>
        </w:rPr>
        <w:t>ELIVERING A RELIABLE MONOLITH IS CHALLENGING</w:t>
      </w:r>
    </w:p>
    <w:p w:rsidR="00A05140" w:rsidRDefault="00A05140" w:rsidP="00A0514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Another problem with the FTGO application is the lack of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reliability. As a result, there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are frequent production outages. One reason it’s unreliable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that testing the application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thoroughly is difficult, due to its large size. This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lack of testability means bugs make their way into production.</w:t>
      </w:r>
    </w:p>
    <w:p w:rsidR="00A05140" w:rsidRDefault="00A05140" w:rsidP="00A0514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A05140" w:rsidRDefault="00A05140" w:rsidP="001E4D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make matters worse, the application lacks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fault isolation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because all m</w:t>
      </w:r>
      <w:bookmarkStart w:id="0" w:name="_GoBack"/>
      <w:bookmarkEnd w:id="0"/>
      <w:r>
        <w:rPr>
          <w:rFonts w:ascii="NewBaskerville-Roman" w:hAnsi="NewBaskerville-Roman" w:cs="NewBaskerville-Roman"/>
          <w:color w:val="262626"/>
          <w:sz w:val="20"/>
          <w:szCs w:val="20"/>
        </w:rPr>
        <w:t>odules are running within the same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process. Every so often, a bug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 one module—for example, a memory leak—crashes al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 instances of the application, </w:t>
      </w:r>
      <w:r w:rsidR="001E4D3B">
        <w:rPr>
          <w:rFonts w:ascii="NewBaskerville-Roman" w:hAnsi="NewBaskerville-Roman" w:cs="NewBaskerville-Roman"/>
          <w:color w:val="262626"/>
          <w:sz w:val="20"/>
          <w:szCs w:val="20"/>
        </w:rPr>
        <w:t>one by one.</w:t>
      </w:r>
    </w:p>
    <w:p w:rsidR="00A05140" w:rsidRDefault="00A05140" w:rsidP="00A0514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A05140" w:rsidRDefault="00A05140" w:rsidP="00A05140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sz w:val="19"/>
          <w:szCs w:val="19"/>
        </w:rPr>
        <w:t>L</w:t>
      </w:r>
      <w:r>
        <w:rPr>
          <w:rFonts w:ascii="FranklinGothic-Demi" w:hAnsi="FranklinGothic-Demi" w:cs="FranklinGothic-Demi"/>
          <w:color w:val="476B86"/>
          <w:sz w:val="15"/>
          <w:szCs w:val="15"/>
        </w:rPr>
        <w:t>OCKED INTO INCREASINGLY OBSOLETE TECHNOLOGY STACK</w:t>
      </w:r>
    </w:p>
    <w:p w:rsidR="00A05140" w:rsidRDefault="00A05140" w:rsidP="00A0514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final aspect of monolithic hell experienced by the FTG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 team is that the architecture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forces them to use a technology stack that’s beco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ming increasingly obsolete.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monolithic architecture makes it difficult to adopt 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ew frameworks and languages. </w:t>
      </w:r>
    </w:p>
    <w:p w:rsidR="00A05140" w:rsidRDefault="00A05140" w:rsidP="00A0514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sz w:val="25"/>
          <w:szCs w:val="25"/>
        </w:rPr>
      </w:pPr>
      <w:proofErr w:type="spellStart"/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5"/>
          <w:szCs w:val="25"/>
        </w:rPr>
        <w:t>Microservice</w:t>
      </w:r>
      <w:proofErr w:type="spellEnd"/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5"/>
          <w:szCs w:val="25"/>
        </w:rPr>
        <w:t xml:space="preserve"> architecture to the rescue</w:t>
      </w:r>
    </w:p>
    <w:p w:rsidR="00A05140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Mary has come to the conclusion that FTGO m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ust migrate to the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microservice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architecture.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 xml:space="preserve">Scale cube and </w:t>
      </w:r>
      <w:proofErr w:type="spellStart"/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>microservices</w:t>
      </w:r>
      <w:proofErr w:type="spellEnd"/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My definition of the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microservice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architecture i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 inspired by Martin Abbott and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Michael Fisher’s excellent book,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The Art of Scalability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(Addison-Wesley, 2015). This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book describes a useful, three-dimensional scalability model: the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scale cube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shown in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figure 1.3.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3E272C21" wp14:editId="2144FEB7">
            <wp:extent cx="5731510" cy="3638529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model defines three ways to scale an application: X, Y, and Z.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sz w:val="19"/>
          <w:szCs w:val="19"/>
        </w:rPr>
        <w:t>X-</w:t>
      </w:r>
      <w:r>
        <w:rPr>
          <w:rFonts w:ascii="FranklinGothic-Demi" w:hAnsi="FranklinGothic-Demi" w:cs="FranklinGothic-Demi"/>
          <w:color w:val="476B86"/>
          <w:sz w:val="15"/>
          <w:szCs w:val="15"/>
        </w:rPr>
        <w:t>AXIS SCALING LOAD BALANCES REQUESTS ACROSS MULTIPLE INSTANCES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X-axis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scaling is a common way to scale a monolithi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 application. Figure 1.4 shows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how X-axis scaling works. You run multiple instan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ces of the application behind a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load balancer. The load balancer distributes requests among the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identical instances of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application. This is a great way of improving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capacity and availability of an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application.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sz w:val="19"/>
          <w:szCs w:val="19"/>
        </w:rPr>
        <w:t>Z-</w:t>
      </w:r>
      <w:r>
        <w:rPr>
          <w:rFonts w:ascii="FranklinGothic-Demi" w:hAnsi="FranklinGothic-Demi" w:cs="FranklinGothic-Demi"/>
          <w:color w:val="476B86"/>
          <w:sz w:val="15"/>
          <w:szCs w:val="15"/>
        </w:rPr>
        <w:t>AXIS SCALING ROUTES REQUESTS BASED ON AN ATTRIBUTE OF THE REQUEST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Z-axis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scaling also runs multiple instances of the monolith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application, but unlike X-axis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scaling, each instance is responsible for only a subset of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data. Figure 1.5 shows how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Z-axis scaling works. The router in front of the instan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ces uses a request attribute to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route it to the appropriate instance. An application mig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ht, for example, route requests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using </w:t>
      </w:r>
      <w:proofErr w:type="spellStart"/>
      <w:r>
        <w:rPr>
          <w:rFonts w:ascii="Courier" w:hAnsi="Courier" w:cs="Courier"/>
          <w:color w:val="262626"/>
          <w:sz w:val="19"/>
          <w:szCs w:val="19"/>
        </w:rPr>
        <w:t>userId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this example, each application instance is respons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ible for a subset of users. 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45ED8409" wp14:editId="45FECE66">
            <wp:extent cx="4924425" cy="481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sz w:val="19"/>
          <w:szCs w:val="19"/>
        </w:rPr>
        <w:t>Y-</w:t>
      </w:r>
      <w:r>
        <w:rPr>
          <w:rFonts w:ascii="FranklinGothic-Demi" w:hAnsi="FranklinGothic-Demi" w:cs="FranklinGothic-Demi"/>
          <w:color w:val="476B86"/>
          <w:sz w:val="15"/>
          <w:szCs w:val="15"/>
        </w:rPr>
        <w:t>AXIS SCALING FUNCTIONALLY DECOMPOSES AN APPLICATION INTO SERVICES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X- and Z-axis scaling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improve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application’s capacit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 and availability. But neither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approach solves the problem of increasing development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application complexity. To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solve those, you need to apply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Y-axis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scaling, or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functional decomposition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Figure 1.6 shows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how Y-axis scaling works: by splitting a monolithic application into a set of services.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120BF4C2" wp14:editId="38AF3577">
            <wp:extent cx="482917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1E4D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is a mini application that implements narrowly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focused functionality, such as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order management, customer m</w:t>
      </w:r>
      <w:r w:rsidR="001E4D3B">
        <w:rPr>
          <w:rFonts w:ascii="NewBaskerville-Roman" w:hAnsi="NewBaskerville-Roman" w:cs="NewBaskerville-Roman"/>
          <w:color w:val="262626"/>
          <w:sz w:val="20"/>
          <w:szCs w:val="20"/>
        </w:rPr>
        <w:t>anagement, and so on.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</w:pPr>
      <w:proofErr w:type="spellStart"/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>Microservices</w:t>
      </w:r>
      <w:proofErr w:type="spellEnd"/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 xml:space="preserve"> as a form of modularity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Modularity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is essential when developing large, complex app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lications. A modern application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like FTGO is too large to be developed by an individual. It’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 also too complex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be understood by a single person. Applications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must be decomposed into modules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that are developed and understood by different peopl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e. In a monolithic application,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modules are defined using a combination of progra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mming language constructs (such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Java packages) and build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arti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facts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(such as Java JAR files).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However, as the FTGO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developers have discovered, this approach tends not to wo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rk well in practice.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Longlived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monolithic applications usually degenerate into big balls of mud.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microservice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architecture uses services as the un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it of modularity. A service has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 API, which is an impermeable boundary that is difficult to violate. You can’t bypass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API and access an internal class as you can with a Java package. As a result, it’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much easier to preserve the modularity of the applica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tion over time. There are other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benefits of using services as building blocks, including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ability to deploy and scale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them independently.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>Each service has its own database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key characteristic of the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microservice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architecture i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 that the services are loosely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coupled and communicate only via APIs. One way to ac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hieve loose coupling is by each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service having its own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datastore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In the online store, for example, </w:t>
      </w:r>
      <w:r>
        <w:rPr>
          <w:rFonts w:ascii="Courier" w:hAnsi="Courier" w:cs="Courier"/>
          <w:color w:val="262626"/>
          <w:sz w:val="19"/>
          <w:szCs w:val="19"/>
        </w:rPr>
        <w:t xml:space="preserve">Order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has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database that includes the </w:t>
      </w:r>
      <w:r>
        <w:rPr>
          <w:rFonts w:ascii="Courier" w:hAnsi="Courier" w:cs="Courier"/>
          <w:color w:val="262626"/>
          <w:sz w:val="19"/>
          <w:szCs w:val="19"/>
        </w:rPr>
        <w:t xml:space="preserve">ORDERS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table, and </w:t>
      </w:r>
      <w:r>
        <w:rPr>
          <w:rFonts w:ascii="Courier" w:hAnsi="Courier" w:cs="Courier"/>
          <w:color w:val="262626"/>
          <w:sz w:val="19"/>
          <w:szCs w:val="19"/>
        </w:rPr>
        <w:t xml:space="preserve">Customer 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has its database, which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includes the </w:t>
      </w:r>
      <w:r>
        <w:rPr>
          <w:rFonts w:ascii="Courier" w:hAnsi="Courier" w:cs="Courier"/>
          <w:color w:val="262626"/>
          <w:sz w:val="19"/>
          <w:szCs w:val="19"/>
        </w:rPr>
        <w:t xml:space="preserve">CUSTOMERS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table. At development time, developers can change a service’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schema without having to coordinate with developer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 working on other services. At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runtime, the services are isolated from each other—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for example, one service will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never be blocked because another service holds a database lock.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 xml:space="preserve">The FTGO </w:t>
      </w:r>
      <w:proofErr w:type="spellStart"/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>microservice</w:t>
      </w:r>
      <w:proofErr w:type="spellEnd"/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 xml:space="preserve"> architecture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et’s quickly look at what it means to apply Y-axis scaling to this application.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If we apply Y-axis decomposition to the FTGO appli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cation, we get the architecture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shown in figure 1.7. The decomposed application consists of numerous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frontend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backend services. We would also apply X-axis and, p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ossibly Z-axis scaling, so that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at runtime there would be multiple instances of each service.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frontend services include an API gateway and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Restaurant Web UI. The API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gateway, which plays the rol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 of a facade, provides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REST APIs that are used by the consumers’ and couriers’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mobile applications.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Restaurant Web UI implements the web interface that’s used by the restaurants 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 manage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menus and process orders.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The FTGO application’s business logic consist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 of numerous backend services.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Each backend service has a REST API and its own private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datastore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backend services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include the following: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ind w:firstLine="72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Courier" w:hAnsi="Courier" w:cs="Courier"/>
          <w:color w:val="262626"/>
          <w:sz w:val="19"/>
          <w:szCs w:val="19"/>
        </w:rPr>
        <w:t>Order Service</w:t>
      </w: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>—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Manages orders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ind w:firstLine="72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Courier" w:hAnsi="Courier" w:cs="Courier"/>
          <w:color w:val="262626"/>
          <w:sz w:val="19"/>
          <w:szCs w:val="19"/>
        </w:rPr>
        <w:t>Delivery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—Manages delivery of orders from restaurants to consumers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ind w:firstLine="72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Courier" w:hAnsi="Courier" w:cs="Courier"/>
          <w:color w:val="262626"/>
          <w:sz w:val="19"/>
          <w:szCs w:val="19"/>
        </w:rPr>
        <w:t>Restaurant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—Maintain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 information about restaurants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ind w:firstLine="72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Courier" w:hAnsi="Courier" w:cs="Courier"/>
          <w:color w:val="262626"/>
          <w:sz w:val="19"/>
          <w:szCs w:val="19"/>
        </w:rPr>
        <w:t>Kitchen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Manages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preparation of orders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ind w:firstLine="72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Courier" w:hAnsi="Courier" w:cs="Courier"/>
          <w:color w:val="262626"/>
          <w:sz w:val="19"/>
          <w:szCs w:val="19"/>
        </w:rPr>
        <w:t>Accounting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Handles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billing and payments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33A4737E" wp14:editId="6956820A">
            <wp:extent cx="4810125" cy="3381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Many services correspond to the modules d</w:t>
      </w:r>
      <w:r w:rsidR="001E4D3B">
        <w:rPr>
          <w:rFonts w:ascii="NewBaskerville-Roman" w:hAnsi="NewBaskerville-Roman" w:cs="NewBaskerville-Roman"/>
          <w:color w:val="262626"/>
          <w:sz w:val="20"/>
          <w:szCs w:val="20"/>
        </w:rPr>
        <w:t>escribed earlier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What’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 different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is that each service and its API are very clearly defined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1E4D3B">
        <w:rPr>
          <w:rFonts w:ascii="NewBaskerville-Roman" w:hAnsi="NewBaskerville-Roman" w:cs="NewBaskerville-Roman"/>
          <w:color w:val="262626"/>
          <w:sz w:val="20"/>
          <w:szCs w:val="20"/>
          <w:u w:val="single"/>
        </w:rPr>
        <w:t xml:space="preserve">Each one can be independently </w:t>
      </w:r>
      <w:r w:rsidRPr="001E4D3B">
        <w:rPr>
          <w:rFonts w:ascii="NewBaskerville-Roman" w:hAnsi="NewBaskerville-Roman" w:cs="NewBaskerville-Roman"/>
          <w:color w:val="262626"/>
          <w:sz w:val="20"/>
          <w:szCs w:val="20"/>
          <w:u w:val="single"/>
        </w:rPr>
        <w:t>developed, tested, deployed, and scaled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Also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this architecture does a good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job of preserving modularity. A developer can’t bypass a service’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 API and access its internal components.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 xml:space="preserve">Benefits of the </w:t>
      </w:r>
      <w:proofErr w:type="spellStart"/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>microservice</w:t>
      </w:r>
      <w:proofErr w:type="spellEnd"/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 xml:space="preserve"> architecture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microservice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architecture has the following benefits: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It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enables the continuous delivery and deployment of large, complex applications.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Services are small and easily maintained.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Services are independently deployable.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Services are independently scalable.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The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microservice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architecture enables teams to be autonomous.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It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allows easy experimenting and adoption of new technologies.</w:t>
      </w:r>
    </w:p>
    <w:p w:rsidR="00C8297A" w:rsidRDefault="00C8297A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It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has better fault isolation.</w:t>
      </w:r>
    </w:p>
    <w:p w:rsidR="001E4D3B" w:rsidRDefault="001E4D3B" w:rsidP="00C8297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E4D3B" w:rsidRDefault="001E4D3B" w:rsidP="001E4D3B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 xml:space="preserve">Drawbacks of the </w:t>
      </w:r>
      <w:proofErr w:type="spellStart"/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>microservice</w:t>
      </w:r>
      <w:proofErr w:type="spellEnd"/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 xml:space="preserve"> architecture</w:t>
      </w:r>
    </w:p>
    <w:p w:rsidR="001E4D3B" w:rsidRDefault="001E4D3B" w:rsidP="001E4D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Certainly, no technology is a silver bullet, and the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m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icroservice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architecture has a number of significant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drawbacks and issues. </w:t>
      </w:r>
    </w:p>
    <w:p w:rsidR="001E4D3B" w:rsidRDefault="001E4D3B" w:rsidP="001E4D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E4D3B" w:rsidRDefault="001E4D3B" w:rsidP="001E4D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Here are the major drawbacks and issues of the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microservice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architecture:</w:t>
      </w:r>
    </w:p>
    <w:p w:rsidR="001E4D3B" w:rsidRDefault="001E4D3B" w:rsidP="001E4D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Finding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right set of services is challenging.</w:t>
      </w:r>
    </w:p>
    <w:p w:rsidR="001E4D3B" w:rsidRDefault="001E4D3B" w:rsidP="001E4D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Distributed systems are complex, which makes development, testing, and deployment</w:t>
      </w:r>
    </w:p>
    <w:p w:rsidR="001E4D3B" w:rsidRDefault="001E4D3B" w:rsidP="001E4D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difficult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1E4D3B" w:rsidRDefault="001E4D3B" w:rsidP="001E4D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Deploying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features that span multiple services requires careful coordination.</w:t>
      </w:r>
    </w:p>
    <w:p w:rsidR="001E4D3B" w:rsidRDefault="001E4D3B" w:rsidP="001E4D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Deciding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when to adopt the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microservice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architecture is difficult.</w:t>
      </w:r>
    </w:p>
    <w:p w:rsidR="001E4D3B" w:rsidRDefault="001E4D3B" w:rsidP="001E4D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E4D3B" w:rsidRDefault="001E4D3B" w:rsidP="001E4D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E4D3B" w:rsidRDefault="001E4D3B" w:rsidP="001E4D3B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sz w:val="25"/>
          <w:szCs w:val="25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5"/>
          <w:szCs w:val="25"/>
        </w:rPr>
        <w:t>Summary</w:t>
      </w:r>
    </w:p>
    <w:p w:rsidR="001E4D3B" w:rsidRDefault="001E4D3B" w:rsidP="001E4D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Monolithic architecture pattern structures the app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lication as a single deployable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unit.</w:t>
      </w:r>
    </w:p>
    <w:p w:rsidR="001E4D3B" w:rsidRDefault="001E4D3B" w:rsidP="001E4D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Microservice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architecture pattern decomposes a sys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tem into a set of independently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deployable services, each with its own database.</w:t>
      </w:r>
    </w:p>
    <w:p w:rsidR="001E4D3B" w:rsidRDefault="001E4D3B" w:rsidP="001E4D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The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monolithic architecture is a good choice for simple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applications, but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microservice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architecture is usually a better choice for large, complex applications.</w:t>
      </w:r>
    </w:p>
    <w:p w:rsidR="001E4D3B" w:rsidRDefault="001E4D3B" w:rsidP="001E4D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The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microservice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architecture accelerates the v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elocity of software development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by enabling small, autonomous teams to work in parallel.</w:t>
      </w:r>
    </w:p>
    <w:p w:rsidR="001E4D3B" w:rsidRDefault="001E4D3B" w:rsidP="001E4D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The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microservice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architecture isn’t a silver bullet—t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here are significant drawbacks,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including complexity.</w:t>
      </w:r>
    </w:p>
    <w:p w:rsidR="001E4D3B" w:rsidRDefault="001E4D3B" w:rsidP="001E4D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You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need more than just the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microservice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arch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itecture to accelerate software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delivery. Successful software development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also requires DevOps and small,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autonomous teams.</w:t>
      </w:r>
    </w:p>
    <w:p w:rsidR="001E4D3B" w:rsidRPr="002E6761" w:rsidRDefault="001E4D3B" w:rsidP="001E4D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CDA759"/>
          <w:sz w:val="17"/>
          <w:szCs w:val="17"/>
        </w:rPr>
        <w:t xml:space="preserve">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Don’t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forget about the human side of adopting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micr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oservices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need to consider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employees’ emotions in order to successful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ly transition to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microservice</w:t>
      </w:r>
      <w:proofErr w:type="spellEnd"/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architecture.</w:t>
      </w:r>
    </w:p>
    <w:sectPr w:rsidR="001E4D3B" w:rsidRPr="002E6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61"/>
    <w:rsid w:val="001E4D3B"/>
    <w:rsid w:val="002E6761"/>
    <w:rsid w:val="00685088"/>
    <w:rsid w:val="006B7B87"/>
    <w:rsid w:val="00A05140"/>
    <w:rsid w:val="00C8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67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67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aputa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icroservices.io/boo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2217</Words>
  <Characters>12639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dcterms:created xsi:type="dcterms:W3CDTF">2019-04-05T12:42:00Z</dcterms:created>
  <dcterms:modified xsi:type="dcterms:W3CDTF">2019-04-05T12:42:00Z</dcterms:modified>
</cp:coreProperties>
</file>