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33bcb4b69fb489e88496013fe4e77dcb1a48d49"/>
    <w:p>
      <w:pPr>
        <w:pStyle w:val="Heading1"/>
      </w:pPr>
      <w:r>
        <w:t xml:space="preserve">The "Am I OK?" Number: Cadence's Next-Quarter Bet Against Churn</w:t>
      </w:r>
    </w:p>
    <w:p>
      <w:pPr>
        <w:pStyle w:val="FirstParagraph"/>
      </w:pPr>
      <w:r>
        <w:rPr>
          <w:i/>
          <w:iCs/>
        </w:rPr>
        <w:t xml:space="preserve">Cadence loses users to silence, not price. The app reports what freelancers already know instead of answering the one question they actually have: "Can I afford a slow month?" Next quarter we should answer it with a single income-timing-aware runway number — the "Am I OK?" number — and re-earn the open with alerts that fire only when that number moves.</w:t>
      </w:r>
    </w:p>
    <w:bookmarkStart w:id="9" w:name="the-decision"/>
    <w:p>
      <w:pPr>
        <w:pStyle w:val="Heading2"/>
      </w:pPr>
      <w:r>
        <w:t xml:space="preserve">The Decision</w:t>
      </w:r>
    </w:p>
    <w:p>
      <w:pPr>
        <w:pStyle w:val="FirstParagraph"/>
      </w:pPr>
      <w:r>
        <w:rPr>
          <w:b/>
          <w:bCs/>
        </w:rPr>
        <w:t xml:space="preserve">The direction: ship one number — the "Am I OK?" number.</w:t>
      </w:r>
      <w:r>
        <w:t xml:space="preserve"> </w:t>
      </w:r>
      <w:r>
        <w:t xml:space="preserve">An income-timing-aware runway figure that answers "Can I afford a slow month?" Everything else in scope exists to serve that one job: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Signal-only notifications</w:t>
      </w:r>
      <w:r>
        <w:t xml:space="preserve"> </w:t>
      </w:r>
      <w:r>
        <w:t xml:space="preserve">— the re-engagement channel for the number. Alerts fire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when the runway figure meaningfully changes, never "$40 on coffee."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Automatic tax set-aside</w:t>
      </w:r>
      <w:r>
        <w:t xml:space="preserve"> </w:t>
      </w:r>
      <w:r>
        <w:t xml:space="preserve">— makes the runway number honest by separating "safe to spend" from "the tax man's money." Scoped stretch (see Sequence).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Unpaid-invoice awareness</w:t>
      </w:r>
      <w:r>
        <w:t xml:space="preserve"> </w:t>
      </w:r>
      <w:r>
        <w:t xml:space="preserve">— makes the runway number accurate by pulling in money that's owed but not yet paid. Scoped stretch (see Sequence).</w:t>
      </w:r>
    </w:p>
    <w:p>
      <w:pPr>
        <w:pStyle w:val="FirstParagraph"/>
      </w:pPr>
      <w:r>
        <w:t xml:space="preserve">This quarter commits to the runway number plus signal-only notifications. Tax set-aside and invoice awareness are scoped stretch goals pending engineering input — high-demand components of the same job, not separate bets.</w:t>
      </w:r>
    </w:p>
    <w:p>
      <w:pPr>
        <w:pStyle w:val="BodyText"/>
      </w:pPr>
      <w:r>
        <w:rPr>
          <w:b/>
          <w:bCs/>
        </w:rPr>
        <w:t xml:space="preserve">Don't build:</w:t>
      </w:r>
      <w:r>
        <w:t xml:space="preserve"> </w:t>
      </w:r>
      <w:r>
        <w:t xml:space="preserve">charts/dashboards, household/social, investment tracking, or the mobile widget.</w:t>
      </w:r>
    </w:p>
    <w:p>
      <w:pPr>
        <w:pStyle w:val="BodyText"/>
      </w:pPr>
      <w:r>
        <w:rPr>
          <w:b/>
          <w:bCs/>
        </w:rPr>
        <w:t xml:space="preserve">Why:</w:t>
      </w:r>
      <w:r>
        <w:t xml:space="preserve"> </w:t>
      </w:r>
      <w:r>
        <w:t xml:space="preserve">churn is a value-and-engagement problem, not a price one (price is 6% of churn). The runway number gives the disengaged a concrete reason to reopen the app, and gives everyone an answer instead of a report — in a lane no incumbent appears to own (YNAB is work, QuickBooks is filing, Monarch is for couples).</w:t>
      </w:r>
    </w:p>
    <w:p>
      <w:pPr>
        <w:pStyle w:val="BodyText"/>
      </w:pPr>
      <w:r>
        <w:rPr>
          <w:b/>
          <w:bCs/>
        </w:rPr>
        <w:t xml:space="preserve">Validate before full build.</w:t>
      </w:r>
      <w:r>
        <w:t xml:space="preserve"> </w:t>
      </w:r>
      <w:r>
        <w:t xml:space="preserve">The riskiest link is whether notifications actually re-engage the "forgot about it" cohort.</w:t>
      </w:r>
      <w:r>
        <w:t xml:space="preserve"> </w:t>
      </w:r>
      <w:r>
        <w:rPr>
          <w:i/>
          <w:iCs/>
        </w:rPr>
        <w:t xml:space="preserve">Proposed (not from research):</w:t>
      </w:r>
      <w:r>
        <w:t xml:space="preserve"> </w:t>
      </w:r>
      <w:r>
        <w:t xml:space="preserve">A/B test signal-only re-engagement against a reopen-within-48h target before committing the full quarter. Details in Watch.</w:t>
      </w:r>
    </w:p>
    <w:bookmarkEnd w:id="9"/>
    <w:bookmarkStart w:id="10" w:name="confidence-and-evidence-base"/>
    <w:p>
      <w:pPr>
        <w:pStyle w:val="Heading2"/>
      </w:pPr>
      <w:r>
        <w:t xml:space="preserve">Confidence and evidence base</w:t>
      </w:r>
    </w:p>
    <w:p>
      <w:pPr>
        <w:pStyle w:val="FirstParagraph"/>
      </w:pPr>
      <w:r>
        <w:t xml:space="preserve">The affirmative case below rests on four sources of differing weight. Read the case with these denominators in mind; the genuine risks are consolidated in Watch.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n=412</w:t>
      </w:r>
      <w:r>
        <w:t xml:space="preserve"> </w:t>
      </w:r>
      <w:r>
        <w:t xml:space="preserve">— full Q2 survey (active plus recently-churned users). Source for demographics and feature-request demand. Note: most respondents 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churned, so these are strong demand signals, not proven retention impact.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n=88</w:t>
      </w:r>
      <w:r>
        <w:t xml:space="preserve"> </w:t>
      </w:r>
      <w:r>
        <w:t xml:space="preserve">— the churned-user subset within that survey. Source for</w:t>
      </w:r>
      <w:r>
        <w:t xml:space="preserve"> </w:t>
      </w:r>
      <w:r>
        <w:rPr>
          <w:i/>
          <w:iCs/>
        </w:rPr>
        <w:t xml:space="preserve">churn reasons only</w:t>
      </w:r>
      <w:r>
        <w:t xml:space="preserve">. These are correlational self-reports.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Two interviews</w:t>
      </w:r>
      <w:r>
        <w:t xml:space="preserve"> </w:t>
      </w:r>
      <w:r>
        <w:t xml:space="preserve">— Marcus (churned developer) and Priya (active 3-year subscriber). Both happen to confirm the runway thesis, which is suggestive, not proof, at n=2.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One competitor scan</w:t>
      </w:r>
      <w:r>
        <w:t xml:space="preserve"> </w:t>
      </w:r>
      <w:r>
        <w:t xml:space="preserve">— an internal "rough notes" document that self-describes as non-exhaustive and "don't share." It has no methodology, market sizing, or external validation. The competitive-whitespace argument below rests entirely on it; treat those claims as directional and commission a real teardown before betting heavily on the moat.</w:t>
      </w:r>
    </w:p>
    <w:p>
      <w:pPr>
        <w:pStyle w:val="FirstParagraph"/>
      </w:pPr>
      <w:r>
        <w:t xml:space="preserve">One overlap is unproven throughout: we cannot confirm that the users who</w:t>
      </w:r>
      <w:r>
        <w:t xml:space="preserve"> </w:t>
      </w:r>
      <w:r>
        <w:rPr>
          <w:i/>
          <w:iCs/>
        </w:rPr>
        <w:t xml:space="preserve">requested</w:t>
      </w:r>
      <w:r>
        <w:t xml:space="preserve"> </w:t>
      </w:r>
      <w:r>
        <w:t xml:space="preserve">runway/tax/invoices (n=412) are the same users who</w:t>
      </w:r>
      <w:r>
        <w:t xml:space="preserve"> </w:t>
      </w:r>
      <w:r>
        <w:rPr>
          <w:i/>
          <w:iCs/>
        </w:rPr>
        <w:t xml:space="preserve">churned</w:t>
      </w:r>
      <w:r>
        <w:t xml:space="preserve"> </w:t>
      </w:r>
      <w:r>
        <w:t xml:space="preserve">(n=88). Where this matters, it's flagged.</w:t>
      </w:r>
    </w:p>
    <w:bookmarkEnd w:id="10"/>
    <w:bookmarkStart w:id="11" w:name="Xe866ae97f5f6dda0df165a54a5669f052d4e217"/>
    <w:p>
      <w:pPr>
        <w:pStyle w:val="Heading2"/>
      </w:pPr>
      <w:r>
        <w:t xml:space="preserve">Why this is the right problem: disengagement, not price</w:t>
      </w:r>
    </w:p>
    <w:p>
      <w:pPr>
        <w:pStyle w:val="FirstParagraph"/>
      </w:pPr>
      <w:r>
        <w:t xml:space="preserve">Among churned users (n=88), 70% left for value/engagement reasons — 47% "stopped opening it / forgot about it" and 23% "didn't tell me anything useful." Only 6% cited price. Cutting price or buying acquisition would pour money into a bucket whose leak is elsewhere: we'd acquire users who churn for the same reason.</w:t>
      </w:r>
    </w:p>
    <w:p>
      <w:pPr>
        <w:pStyle w:val="BodyText"/>
      </w:pPr>
      <w:r>
        <w:t xml:space="preserve">Marcus, a churned freelance developer, names the mechanism: "It's not that it's bad. I just stopped opening it." The cause is that the app never told him anything he didn't already know, borne out by what he says he wants: "I know I spent money. I want to know if I'm ok." Churn here is passive disengagement, not dissatisfaction.</w:t>
      </w:r>
    </w:p>
    <w:p>
      <w:pPr>
        <w:pStyle w:val="BodyText"/>
      </w:pPr>
      <w:r>
        <w:t xml:space="preserve">There is a sharper, behavioral signal of unmet need, though it comes from a single retained user, not the churned cohort: people pay for Cadence and still keep their own spreadsheet. Priya, an active subscriber of three years, built her own runway spreadsheet — "embarrassing because I'm paying for the app." This is one retained interviewee, not a measured churn precursor, so it is best read as evidence of a live, actively-felt value gap: even a loyal paying user does manual work the product should be doing. That gap is exactly what the runway number closes — and it is the strongest affirmative reason to believe a runway answer would pull disengaged users back: the need is real enough that someone already pays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does the work by hand.</w:t>
      </w:r>
    </w:p>
    <w:bookmarkEnd w:id="11"/>
    <w:bookmarkStart w:id="12" w:name="X582cc3faa3c53d5572d5032f796e52215771560"/>
    <w:p>
      <w:pPr>
        <w:pStyle w:val="Heading2"/>
      </w:pPr>
      <w:r>
        <w:t xml:space="preserve">What they're actually asking for: one answer, not a dashboard</w:t>
      </w:r>
    </w:p>
    <w:p>
      <w:pPr>
        <w:pStyle w:val="FirstParagraph"/>
      </w:pPr>
      <w:r>
        <w:t xml:space="preserve">Demand converges on a single job. From the full survey (n=412), the top three requests all answer one question:</w:t>
      </w:r>
    </w:p>
    <w:p>
      <w:pPr>
        <w:pStyle w:val="Compact"/>
        <w:numPr>
          <w:ilvl w:val="0"/>
          <w:numId w:val="1003"/>
        </w:numPr>
      </w:pPr>
      <w:r>
        <w:t xml:space="preserve">"Tell me how long my money will last" —</w:t>
      </w:r>
      <w:r>
        <w:t xml:space="preserve"> </w:t>
      </w:r>
      <w:r>
        <w:rPr>
          <w:b/>
          <w:bCs/>
        </w:rPr>
        <w:t xml:space="preserve">58%</w:t>
      </w:r>
      <w:r>
        <w:t xml:space="preserve"> </w:t>
      </w:r>
      <w:r>
        <w:t xml:space="preserve">(runway)</w:t>
      </w:r>
    </w:p>
    <w:p>
      <w:pPr>
        <w:pStyle w:val="Compact"/>
        <w:numPr>
          <w:ilvl w:val="0"/>
          <w:numId w:val="1003"/>
        </w:numPr>
      </w:pPr>
      <w:r>
        <w:t xml:space="preserve">"Automatically set aside money for taxes" —</w:t>
      </w:r>
      <w:r>
        <w:t xml:space="preserve"> </w:t>
      </w:r>
      <w:r>
        <w:rPr>
          <w:b/>
          <w:bCs/>
        </w:rPr>
        <w:t xml:space="preserve">51%</w:t>
      </w:r>
    </w:p>
    <w:p>
      <w:pPr>
        <w:pStyle w:val="Compact"/>
        <w:numPr>
          <w:ilvl w:val="0"/>
          <w:numId w:val="1003"/>
        </w:numPr>
      </w:pPr>
      <w:r>
        <w:t xml:space="preserve">"Connect my invoicing / see unpaid invoices" —</w:t>
      </w:r>
      <w:r>
        <w:t xml:space="preserve"> </w:t>
      </w:r>
      <w:r>
        <w:rPr>
          <w:b/>
          <w:bCs/>
        </w:rPr>
        <w:t xml:space="preserve">44%</w:t>
      </w:r>
    </w:p>
    <w:p>
      <w:pPr>
        <w:pStyle w:val="FirstParagraph"/>
      </w:pPr>
      <w:r>
        <w:t xml:space="preserve">Users phrase it the same way unprompted: "give me one number: am I going to be ok," "a runway number like a startup has" (survey free-text); "if you don't get paid for 6 weeks, here's when you run out" (Priya); "the number I actually want is 'how much of this is really mine'" (Marcus). Cadence today is "just a prettier spreadsheet" (survey) — it reports what users already know instead of interpreting it for irregular income.</w:t>
      </w:r>
    </w:p>
    <w:p>
      <w:pPr>
        <w:pStyle w:val="BodyText"/>
      </w:pPr>
      <w:r>
        <w:t xml:space="preserve">Pull for everything else is weak: charts 12%, household 9%, investing 7%. They want one answer, not a dashboard.</w:t>
      </w:r>
    </w:p>
    <w:bookmarkEnd w:id="12"/>
    <w:bookmarkStart w:id="13" w:name="how-the-build-maps-to-churn-drivers"/>
    <w:p>
      <w:pPr>
        <w:pStyle w:val="Heading2"/>
      </w:pPr>
      <w:r>
        <w:t xml:space="preserve">How the build maps to churn drivers</w:t>
      </w:r>
    </w:p>
    <w:p>
      <w:pPr>
        <w:pStyle w:val="FirstParagraph"/>
      </w:pPr>
      <w:r>
        <w:t xml:space="preserve">This is the spine of the case: each driver maps to a component of the one job. The churn-% column is exit reasons from churned users (n=88); the request-% column is stated demand from all respondents (n=412). The bet is that the build satisfying the second will retain the first — an inference across the two populations, not a measured identity.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Churn driver (n=88)</w:t>
            </w:r>
          </w:p>
        </w:tc>
        <w:tc>
          <w:tcPr/>
          <w:p>
            <w:pPr>
              <w:pStyle w:val="Compact"/>
            </w:pPr>
            <w:r>
              <w:t xml:space="preserve">What attacks it</w:t>
            </w:r>
          </w:p>
        </w:tc>
        <w:tc>
          <w:tcPr/>
          <w:p>
            <w:pPr>
              <w:pStyle w:val="Compact"/>
            </w:pPr>
            <w:r>
              <w:t xml:space="preserve">Supporting demand (n=412)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Forgot / stopped opening — 47%</w:t>
            </w:r>
          </w:p>
        </w:tc>
        <w:tc>
          <w:tcPr/>
          <w:p>
            <w:pPr>
              <w:pStyle w:val="Compact"/>
            </w:pPr>
            <w:r>
              <w:t xml:space="preserve">Signal-only runway notifications that fire only when the number moves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"Didn't tell me anything useful" — 23%</w:t>
            </w:r>
          </w:p>
        </w:tc>
        <w:tc>
          <w:tcPr/>
          <w:p>
            <w:pPr>
              <w:pStyle w:val="Compact"/>
            </w:pPr>
            <w:r>
              <w:t xml:space="preserve">The "Am I OK?" runway number itself (an answer, not a chart)</w:t>
            </w:r>
          </w:p>
        </w:tc>
        <w:tc>
          <w:tcPr/>
          <w:p>
            <w:pPr>
              <w:pStyle w:val="Compact"/>
            </w:pPr>
            <w:r>
              <w:t xml:space="preserve">runway 58%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 much manual entry — 19%</w:t>
            </w:r>
          </w:p>
        </w:tc>
        <w:tc>
          <w:tcPr/>
          <w:p>
            <w:pPr>
              <w:pStyle w:val="Compact"/>
            </w:pPr>
            <w:r>
              <w:t xml:space="preserve">Tax set-aside plus invoice awareness via existing bank sync</w:t>
            </w:r>
          </w:p>
        </w:tc>
        <w:tc>
          <w:tcPr/>
          <w:p>
            <w:pPr>
              <w:pStyle w:val="Compact"/>
            </w:pPr>
            <w:r>
              <w:t xml:space="preserve">taxes 51%, invoices 44%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 expensive — 6%</w:t>
            </w:r>
          </w:p>
        </w:tc>
        <w:tc>
          <w:tcPr/>
          <w:p>
            <w:pPr>
              <w:pStyle w:val="Compact"/>
            </w:pPr>
            <w:r>
              <w:t xml:space="preserve">Out of scope (price is not the leak)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3"/>
    <w:bookmarkStart w:id="14" w:name="X12b1af0ed4ac1aed57a63597a4849006e5fdd9d"/>
    <w:p>
      <w:pPr>
        <w:pStyle w:val="Heading2"/>
      </w:pPr>
      <w:r>
        <w:t xml:space="preserve">Why it fits the segment and wins competitively</w:t>
      </w:r>
    </w:p>
    <w:p>
      <w:pPr>
        <w:pStyle w:val="FirstParagraph"/>
      </w:pPr>
      <w:r>
        <w:t xml:space="preserve">The research is squarely on-segment: of 412 respondents, 71% identify as freelance/self-employed and 64% call income "unpredictable month to month." The product-market gap is structural — budgeting assumes salaried 1st/15th timing. Priya: "it assumes money comes in on the 1st and the 15th. Mine comes in whenever a client finally pays." That timing mismatch — not amount or categorization — is the anxiety we'd solve.</w:t>
      </w:r>
    </w:p>
    <w:p>
      <w:pPr>
        <w:pStyle w:val="BodyText"/>
      </w:pPr>
      <w:r>
        <w:t xml:space="preserve">On competition, the single internal scan concludes "nobody owns low-effort peace of mind for irregular income" and calls "runway for freelancers" an open lane: YNAB is too much work, Monarch/Copilot target households, and Mint's shutdown left an orphaned pool. QuickBooks Self-Employed is the one real overlap — it does tax estimates, mileage, and invoices, so tax set-aside is not unique to us. Our defensible wedge is the runway/timing job QBSE lacks.</w:t>
      </w:r>
    </w:p>
    <w:p>
      <w:pPr>
        <w:pStyle w:val="BodyText"/>
      </w:pPr>
      <w:r>
        <w:t xml:space="preserve">These competitive claims all trace to one rough, non-exhaustive internal document with no UX comparison or sizing. They are directionally useful for picking the lane, but the moat itself is unverified — a real competitive teardown should precede heavy investment on the "we win on feel" assumption.</w:t>
      </w:r>
    </w:p>
    <w:bookmarkEnd w:id="14"/>
    <w:bookmarkStart w:id="15" w:name="constraints-that-make-or-break-it"/>
    <w:p>
      <w:pPr>
        <w:pStyle w:val="Heading2"/>
      </w:pPr>
      <w:r>
        <w:t xml:space="preserve">Constraints that make or break it</w:t>
      </w:r>
    </w:p>
    <w:p>
      <w:pPr>
        <w:pStyle w:val="FirstParagraph"/>
      </w:pPr>
      <w:r>
        <w:t xml:space="preserve">Three non-negotiables, or we rebuild the churn we're fixing.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Near-zero manual upkeep.</w:t>
      </w:r>
      <w:r>
        <w:t xml:space="preserve"> </w:t>
      </w:r>
      <w:r>
        <w:t xml:space="preserve">Manual entry is the #3 churn reason (19%) and the named "too much work" that drove churned users off YNAB. We lean on the bank sync users already love. Priya: "love the bank sync, hate that I have to do everything else myself."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Signal-only notifications.</w:t>
      </w:r>
      <w:r>
        <w:t xml:space="preserve"> </w:t>
      </w:r>
      <w:r>
        <w:t xml:space="preserve">Daily/trivial alerts ("$40 on coffee") drove users to disable notifications and then forget the app — the survey free-text links them directly: "the daily reminders made me anxious so I turned them off and then forgot the app existed." Notifications fire only when the runway number meaningfully changes.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Built for low-frequency check-ins.</w:t>
      </w:r>
      <w:r>
        <w:t xml:space="preserve"> </w:t>
      </w:r>
      <w:r>
        <w:t xml:space="preserve">Engagement is weekly-or-less (Priya), so optimize for high-value infrequent moments, not daily habit-building.</w:t>
      </w:r>
    </w:p>
    <w:p>
      <w:pPr>
        <w:pStyle w:val="FirstParagraph"/>
      </w:pPr>
      <w:r>
        <w:rPr>
          <w:b/>
          <w:bCs/>
        </w:rPr>
        <w:t xml:space="preserve">Engineering input is required before locking scope.</w:t>
      </w:r>
      <w:r>
        <w:t xml:space="preserve"> </w:t>
      </w:r>
      <w:r>
        <w:t xml:space="preserve">The sources contain no engineering input; they establish only that users like the existing bank sync. "Powered by existing bank sync" is a fair starting point for the runway calculation, but tax set-aside needs reliable income classification and a set-aside mechanism (separate account or virtual bucket) beyond raw transaction sync, and invoice awareness needs third-party invoicing integrations —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tools is an open question. Rough sizing to set expectations: runway = M, tax set-aside = L, invoice awareness = L.</w:t>
      </w:r>
    </w:p>
    <w:bookmarkEnd w:id="15"/>
    <w:bookmarkStart w:id="16" w:name="scope-and-sequence"/>
    <w:p>
      <w:pPr>
        <w:pStyle w:val="Heading2"/>
      </w:pPr>
      <w:r>
        <w:t xml:space="preserve">Scope and sequence</w:t>
      </w:r>
    </w:p>
    <w:p>
      <w:pPr>
        <w:pStyle w:val="FirstParagraph"/>
      </w:pPr>
      <w:r>
        <w:rPr>
          <w:b/>
          <w:bCs/>
        </w:rPr>
        <w:t xml:space="preserve">Committed this quarter:</w:t>
      </w:r>
      <w:r>
        <w:t xml:space="preserve"> </w:t>
      </w:r>
      <w:r>
        <w:t xml:space="preserve">the "Am I OK?" runway number on existing bank sync, plus signal-only notifications.</w:t>
      </w:r>
    </w:p>
    <w:p>
      <w:pPr>
        <w:pStyle w:val="BodyText"/>
      </w:pPr>
      <w:r>
        <w:rPr>
          <w:b/>
          <w:bCs/>
        </w:rPr>
        <w:t xml:space="preserve">Scoped stretch (pending eng input):</w:t>
      </w:r>
      <w:r>
        <w:t xml:space="preserve"> </w:t>
      </w:r>
      <w:r>
        <w:t xml:space="preserve">automatic tax set-aside (51% demand; QBSE overlap noted) and unpaid-invoice awareness via integration with users' existing invoicing tools (44%). These are fast-follow components of the same number, not separate bets — but they carry real dependencies (L/L above) and could slip if engineering scoping says so. Do not treat them as locked.</w:t>
      </w:r>
    </w:p>
    <w:p>
      <w:pPr>
        <w:pStyle w:val="BodyText"/>
      </w:pPr>
      <w:r>
        <w:rPr>
          <w:b/>
          <w:bCs/>
        </w:rPr>
        <w:t xml:space="preserve">Out of scope, with the evidence behind each cut:</w:t>
      </w:r>
    </w:p>
    <w:p>
      <w:pPr>
        <w:pStyle w:val="Compact"/>
        <w:numPr>
          <w:ilvl w:val="0"/>
          <w:numId w:val="1005"/>
        </w:numPr>
      </w:pPr>
      <w:r>
        <w:t xml:space="preserve">Charts/reports (12%), household/social (9%), investment tracking (7%) — cut on survey demand (n=412); the recurring theme is "people want one answer, not a dashboard."</w:t>
      </w:r>
    </w:p>
    <w:p>
      <w:pPr>
        <w:pStyle w:val="Compact"/>
        <w:numPr>
          <w:ilvl w:val="0"/>
          <w:numId w:val="1005"/>
        </w:numPr>
      </w:pPr>
      <w:r>
        <w:t xml:space="preserve">Mobile widget — cut on a single interview (Marcus didn't care); weak basis, so this is low-conviction and revisitable if cheap.</w:t>
      </w:r>
    </w:p>
    <w:p>
      <w:pPr>
        <w:pStyle w:val="Compact"/>
        <w:numPr>
          <w:ilvl w:val="0"/>
          <w:numId w:val="1005"/>
        </w:numPr>
      </w:pPr>
      <w:r>
        <w:t xml:space="preserve">Mint-orphan acquisition pool (users displaced by Mint's shutdown) — real but low willingness-to-pay ("cheapskates by definition," per the scan); must not divert build effort from retention.</w:t>
      </w:r>
    </w:p>
    <w:bookmarkEnd w:id="16"/>
    <w:bookmarkStart w:id="17" w:name="X3ed4293f366ca6a4b80e15b92163f76d0697ebd"/>
    <w:p>
      <w:pPr>
        <w:pStyle w:val="Heading2"/>
      </w:pPr>
      <w:r>
        <w:t xml:space="preserve">Watch: what we're betting on and how we de-risk it</w:t>
      </w:r>
    </w:p>
    <w:p>
      <w:pPr>
        <w:pStyle w:val="FirstParagraph"/>
      </w:pPr>
      <w:r>
        <w:t xml:space="preserve">Two load-bearing risks, plus a sampling caveat. The rest of the brief reads with conviction; these are the places to stay honest.</w:t>
      </w:r>
    </w:p>
    <w:p>
      <w:pPr>
        <w:pStyle w:val="BodyText"/>
      </w:pPr>
      <w:r>
        <w:rPr>
          <w:b/>
          <w:bCs/>
        </w:rPr>
        <w:t xml:space="preserve">1. Re-engagement loop (highest risk) — and a contradiction in the channel.</w:t>
      </w:r>
      <w:r>
        <w:t xml:space="preserve"> </w:t>
      </w:r>
      <w:r>
        <w:t xml:space="preserve">The whole case assumes notifications pull back the disengaged. But the 47% "forgot about it" cohort is, by definition, people who stopped opening the app — and the free-text shows they got there by turning notifications</w:t>
      </w:r>
      <w:r>
        <w:t xml:space="preserve"> </w:t>
      </w:r>
      <w:r>
        <w:rPr>
          <w:i/>
          <w:iCs/>
        </w:rPr>
        <w:t xml:space="preserve">off</w:t>
      </w:r>
      <w:r>
        <w:t xml:space="preserve"> </w:t>
      </w:r>
      <w:r>
        <w:t xml:space="preserve">first ("I turned them off and then forgot the app existed"). Priya did the same. So signal-only notifications, however well-tuned, cannot reach the very users they're meant to re-engage if those users have already silenced the channel.</w:t>
      </w:r>
      <w:r>
        <w:t xml:space="preserve"> </w:t>
      </w:r>
      <w:r>
        <w:rPr>
          <w:i/>
          <w:iCs/>
        </w:rPr>
        <w:t xml:space="preserve">Proposed (not from research):</w:t>
      </w:r>
      <w:r>
        <w:t xml:space="preserve"> </w:t>
      </w:r>
      <w:r>
        <w:t xml:space="preserve">treat "can we even reach the disengaged" as a prerequisite test, and add a re-engagement path that does not depend on push — e.g., an email runway digest, a re-onboarding email, or surfacing the number in-app on the user's next organic open. A/B test signal-only re-engagement against a reopen-within-48h target before full build.</w:t>
      </w:r>
    </w:p>
    <w:p>
      <w:pPr>
        <w:pStyle w:val="BodyText"/>
      </w:pPr>
      <w:r>
        <w:rPr>
          <w:b/>
          <w:bCs/>
        </w:rPr>
        <w:t xml:space="preserve">2. Runway accuracy (active-harm risk).</w:t>
      </w:r>
      <w:r>
        <w:t xml:space="preserve"> </w:t>
      </w:r>
      <w:r>
        <w:t xml:space="preserve">This is the number users will make real financial decisions on. A wrong number erodes trust and could</w:t>
      </w:r>
      <w:r>
        <w:t xml:space="preserve"> </w:t>
      </w:r>
      <w:r>
        <w:rPr>
          <w:i/>
          <w:iCs/>
        </w:rPr>
        <w:t xml:space="preserve">accelerate</w:t>
      </w:r>
      <w:r>
        <w:t xml:space="preserve"> </w:t>
      </w:r>
      <w:r>
        <w:t xml:space="preserve">churn — the core failure mode of the chosen feature.</w:t>
      </w:r>
      <w:r>
        <w:t xml:space="preserve"> </w:t>
      </w:r>
      <w:r>
        <w:rPr>
          <w:i/>
          <w:iCs/>
        </w:rPr>
        <w:t xml:space="preserve">Proposed mitigation:</w:t>
      </w:r>
      <w:r>
        <w:t xml:space="preserve"> </w:t>
      </w:r>
      <w:r>
        <w:t xml:space="preserve">backtest the runway model against historical income/payment data, show a confidence range rather than a false-precision single figure, and define explicit failure behavior when payment timing is unknown (degrade to a range or withhold the number rather than guess).</w:t>
      </w:r>
    </w:p>
    <w:p>
      <w:pPr>
        <w:pStyle w:val="BodyText"/>
      </w:pPr>
      <w:r>
        <w:rPr>
          <w:b/>
          <w:bCs/>
        </w:rPr>
        <w:t xml:space="preserve">3. Sampling limits.</w:t>
      </w:r>
      <w:r>
        <w:t xml:space="preserve"> </w:t>
      </w:r>
      <w:r>
        <w:t xml:space="preserve">Churn-reason and qualitative evidence is thin: n=88 self-reports plus two interviews that both confirm the thesis, and a single non-exhaustive competitor doc. Consider a handful more churned-user interviews and a proper competitive teardown before the full-quarter commitment.</w:t>
      </w:r>
    </w:p>
    <w:p>
      <w:pPr>
        <w:pStyle w:val="BodyText"/>
      </w:pPr>
      <w:r>
        <w:rPr>
          <w:b/>
          <w:bCs/>
        </w:rPr>
        <w:t xml:space="preserve">Impact framing.</w:t>
      </w:r>
      <w:r>
        <w:t xml:space="preserve"> </w:t>
      </w:r>
      <w:r>
        <w:t xml:space="preserve">Rather than claim we "attack 70% of churn," set a baseline and test.</w:t>
      </w:r>
      <w:r>
        <w:t xml:space="preserve"> </w:t>
      </w:r>
      <w:r>
        <w:rPr>
          <w:i/>
          <w:iCs/>
        </w:rPr>
        <w:t xml:space="preserve">Proposed:</w:t>
      </w:r>
      <w:r>
        <w:t xml:space="preserve"> </w:t>
      </w:r>
      <w:r>
        <w:t xml:space="preserve">before building, measure current 90-day churn. If signal-only re-engagement reaches even a fraction of the 47% "forgot" cohort and the runway answer addresses the 23% "not useful" cohort, 90-day churn should fall. Leading indicator and go/no-go signal: % of users who reopen within 48h of a runway-change notification. Single-user enthusiasm — Marcus would "pay double" for tax set-aside; Priya would "probably never leave" with invoices plus runway — is aspirational signal, not willingness-to-pay evidence, and is not counted toward the case.</w:t>
      </w:r>
    </w:p>
    <w:p>
      <w:pPr>
        <w:pStyle w:val="BodyText"/>
      </w:pPr>
      <w:r>
        <w:rPr>
          <w:b/>
          <w:bCs/>
        </w:rPr>
        <w:t xml:space="preserve">Metric to move:</w:t>
      </w:r>
      <w:r>
        <w:t xml:space="preserve"> </w:t>
      </w:r>
      <w:r>
        <w:t xml:space="preserve">90-day churn, from a to-be-measured baseline. Leading indicator: reopen-within-48h-of-runway-notification rate.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2026-05-28T19:37:23Z</dcterms:created>
  <dcterms:modified xsi:type="dcterms:W3CDTF">2026-05-28T19:37:23Z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