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3">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5">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36">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A">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6A">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B">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w:t>
      </w:r>
      <w:r w:rsidDel="00000000" w:rsidR="00000000" w:rsidRPr="00000000">
        <w:rPr>
          <w:rtl w:val="0"/>
        </w:rPr>
      </w:r>
    </w:p>
    <w:p w:rsidR="00000000" w:rsidDel="00000000" w:rsidP="00000000" w:rsidRDefault="00000000" w:rsidRPr="00000000" w14:paraId="0000006D">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improve Botium Toys’ security posture, the principle of least privilege should be applied so that all employees don't have access to sensitive data or PII/SPII. Only IT should have access to this data as they need it to complete their job. All of the data should be encrypted and stored safely to ensure confidentiality of customers' information. An improvement and implementation of a centralized password management system is needed to improve productivity as well as security. A schedule should be in place to regularly monitor and maintain legacy systems.</w:t>
      </w:r>
    </w:p>
    <w:p w:rsidR="00000000" w:rsidDel="00000000" w:rsidP="00000000" w:rsidRDefault="00000000" w:rsidRPr="00000000" w14:paraId="0000006E">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