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left"/>
      </w:pPr>
      <w:r>
        <w:rPr>
          <w:rFonts w:ascii="Helvetica Neue" w:cs="Helvetica Neue" w:eastAsia="Helvetica Neue" w:hAnsi="Helvetica Neue"/>
          <w:b/>
          <w:bCs/>
          <w:color w:val="B4552D"/>
          <w:spacing w:val="40"/>
          <w:sz w:val="20"/>
          <w:szCs w:val="20"/>
        </w:rPr>
        <w:t xml:space="preserve">PRAXIS  ·  STRATEGY DOSSIER</w:t>
      </w:r>
    </w:p>
    <w:p>
      <w:pPr>
        <w:spacing w:after="120"/>
      </w:pPr>
      <w:r>
        <w:rPr>
          <w:rFonts w:ascii="Helvetica Neue" w:cs="Helvetica Neue" w:eastAsia="Helvetica Neue" w:hAnsi="Helvetica Neue"/>
          <w:b/>
          <w:bCs/>
          <w:color w:val="1B2A4A"/>
          <w:sz w:val="76"/>
          <w:szCs w:val="76"/>
        </w:rPr>
        <w:t xml:space="preserve">The Evidence Era</w:t>
      </w:r>
    </w:p>
    <w:p>
      <w:pPr>
        <w:spacing w:after="40"/>
      </w:pPr>
      <w:r>
        <w:rPr>
          <w:rFonts w:ascii="Georgia" w:cs="Georgia" w:eastAsia="Georgia" w:hAnsi="Georgia"/>
          <w:i/>
          <w:iCs/>
          <w:color w:val="3A3A3A"/>
          <w:sz w:val="32"/>
          <w:szCs w:val="32"/>
        </w:rPr>
        <w:t xml:space="preserve">Revolutionising the Student Journey, End to End,</w:t>
      </w:r>
    </w:p>
    <w:p>
      <w:pPr>
        <w:spacing w:after="600"/>
      </w:pPr>
      <w:r>
        <w:rPr>
          <w:rFonts w:ascii="Georgia" w:cs="Georgia" w:eastAsia="Georgia" w:hAnsi="Georgia"/>
          <w:i/>
          <w:iCs/>
          <w:color w:val="3A3A3A"/>
          <w:sz w:val="32"/>
          <w:szCs w:val="32"/>
        </w:rPr>
        <w:t xml:space="preserve">in the Age of AI and New Ways of Working</w:t>
      </w:r>
    </w:p>
    <w:p>
      <w:pPr>
        <w:spacing w:after="900"/>
      </w:pPr>
      <w:r>
        <w:rPr>
          <w:rFonts w:ascii="Georgia" w:cs="Georgia" w:eastAsia="Georgia" w:hAnsi="Georgia"/>
          <w:color w:val="6B7280"/>
          <w:sz w:val="22"/>
          <w:szCs w:val="22"/>
        </w:rPr>
        <w:t xml:space="preserve">A thesis on every touchpoint from the first day of study to the first day of work — and the philosophy, machinery, and roadmap for rebuilding them around verified evidence of capability.</w:t>
      </w:r>
    </w:p>
    <w:p>
      <w:r>
        <w:rPr>
          <w:rFonts w:ascii="Helvetica Neue" w:cs="Helvetica Neue" w:eastAsia="Helvetica Neue" w:hAnsi="Helvetica Neue"/>
          <w:color w:val="6B7280"/>
          <w:sz w:val="20"/>
          <w:szCs w:val="20"/>
        </w:rPr>
        <w:t xml:space="preserve">July 2026  ·  Confidential working draft</w:t>
      </w:r>
    </w:p>
    <w:p>
      <w:r>
        <w:r>
          <w:br w:type="page"/>
        </w:r>
      </w:r>
    </w:p>
    <w:p>
      <w:pPr>
        <w:pStyle w:val="Heading1"/>
        <w:spacing w:after="220" w:before="360"/>
      </w:pPr>
      <w:r>
        <w:rPr>
          <w:rFonts w:ascii="Helvetica Neue" w:cs="Helvetica Neue" w:eastAsia="Helvetica Neue" w:hAnsi="Helvetica Neue"/>
          <w:b/>
          <w:bCs/>
          <w:color w:val="1B2A4A"/>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20" w:before="360"/>
      </w:pPr>
      <w:r>
        <w:rPr>
          <w:rFonts w:ascii="Helvetica Neue" w:cs="Helvetica Neue" w:eastAsia="Helvetica Neue" w:hAnsi="Helvetica Neue"/>
          <w:b/>
          <w:bCs/>
          <w:color w:val="1B2A4A"/>
          <w:sz w:val="34"/>
          <w:szCs w:val="34"/>
        </w:rPr>
        <w:t xml:space="preserve">Executive Summary</w:t>
      </w:r>
    </w:p>
    <w:p>
      <w:pPr>
        <w:spacing w:after="180" w:line="300"/>
      </w:pPr>
      <w:r>
        <w:rPr>
          <w:rFonts w:ascii="Georgia" w:cs="Georgia" w:eastAsia="Georgia" w:hAnsi="Georgia"/>
          <w:color w:val="3A3A3A"/>
          <w:sz w:val="22"/>
          <w:szCs w:val="22"/>
        </w:rPr>
        <w:t xml:space="preserve">For a hundred years the journey from classroom to career has run on </w:t>
      </w:r>
      <w:r>
        <w:rPr>
          <w:rFonts w:ascii="Georgia" w:cs="Georgia" w:eastAsia="Georgia" w:hAnsi="Georgia"/>
          <w:b/>
          <w:bCs/>
          <w:color w:val="1B2A4A"/>
          <w:sz w:val="22"/>
          <w:szCs w:val="22"/>
        </w:rPr>
        <w:t xml:space="preserve">proxies</w:t>
      </w:r>
      <w:r>
        <w:rPr>
          <w:rFonts w:ascii="Georgia" w:cs="Georgia" w:eastAsia="Georgia" w:hAnsi="Georgia"/>
          <w:color w:val="3A3A3A"/>
          <w:sz w:val="22"/>
          <w:szCs w:val="22"/>
        </w:rPr>
        <w:t xml:space="preserve">: degrees standing in for knowledge, grades standing in for ability, CVs standing in for experience, and interviews standing in for judgment. The entire pipeline — how students learn, how they are examined, how they present themselves, and how employers choose them — is a chain of second-hand signals. It worked, roughly, because producing the artefacts behind those signals was expensive. An essay took days. A portfolio took months. A polished application took real effort, and effort correlated — loosely — with capability.</w:t>
      </w:r>
    </w:p>
    <w:p>
      <w:pPr>
        <w:spacing w:after="180" w:line="300"/>
      </w:pPr>
      <w:r>
        <w:rPr>
          <w:rFonts w:ascii="Georgia" w:cs="Georgia" w:eastAsia="Georgia" w:hAnsi="Georgia"/>
          <w:color w:val="3A3A3A"/>
          <w:sz w:val="22"/>
          <w:szCs w:val="22"/>
        </w:rPr>
        <w:t xml:space="preserve">Generative AI has broken that correlation, permanently and in both directions. Any student can now produce a flawless essay, a professional portfolio, and two hundred tailored applications in an afternoon. Simultaneously, the nature of work itself is shifting: the capabilities the old proxies measured — recall, unaided production, formatted self-presentation — matter less every quarter, while the capabilities they never measured — problem framing, judgment, verification, taste, and the orchestration of AI itself — now decide who is valuable.</w:t>
      </w:r>
    </w:p>
    <w:p>
      <w:pPr>
        <w:spacing w:after="180" w:line="300"/>
      </w:pPr>
      <w:r>
        <w:rPr>
          <w:rFonts w:ascii="Georgia" w:cs="Georgia" w:eastAsia="Georgia" w:hAnsi="Georgia"/>
          <w:color w:val="3A3A3A"/>
          <w:sz w:val="22"/>
          <w:szCs w:val="22"/>
        </w:rPr>
        <w:t xml:space="preserve">This dossier argues a single thesis: </w:t>
      </w:r>
      <w:r>
        <w:rPr>
          <w:rFonts w:ascii="Georgia" w:cs="Georgia" w:eastAsia="Georgia" w:hAnsi="Georgia"/>
          <w:b/>
          <w:bCs/>
          <w:color w:val="1B2A4A"/>
          <w:sz w:val="22"/>
          <w:szCs w:val="22"/>
        </w:rPr>
        <w:t xml:space="preserve">the answer to the collapse of proxies is not better proxies; it is direct evidence.</w:t>
      </w:r>
      <w:r>
        <w:rPr>
          <w:rFonts w:ascii="Georgia" w:cs="Georgia" w:eastAsia="Georgia" w:hAnsi="Georgia"/>
          <w:color w:val="3A3A3A"/>
          <w:sz w:val="22"/>
          <w:szCs w:val="22"/>
        </w:rPr>
        <w:t xml:space="preserve"> Instead of inferring capability from artefacts, we observe capability directly — watching real work happen, in consented, bounded sessions, and turning that observation into a portable, verified record that follows a person from their first semester to their first job and beyond. We call this the Evidence Era, and we believe the organisation that builds its infrastructure will own the most valuable dataset in the labour market: not what people claim, but what they can demonstrably do.</w:t>
      </w:r>
    </w:p>
    <w:p>
      <w:pPr>
        <w:spacing w:after="180" w:line="300"/>
      </w:pPr>
      <w:r>
        <w:rPr>
          <w:rFonts w:ascii="Georgia" w:cs="Georgia" w:eastAsia="Georgia" w:hAnsi="Georgia"/>
          <w:color w:val="3A3A3A"/>
          <w:sz w:val="22"/>
          <w:szCs w:val="22"/>
        </w:rPr>
        <w:t xml:space="preserve">Praxis has already built the seed of this infrastructure. Our reasoning assessment engine captures a candidate's entire working process — screen, timeline, decisions, dead ends, recoveries — under conditions that are fair, consented, and tamper-resistant, with almost zero friction: a code, a browser, fifteen minutes. This document generalises that seed into a full journey architecture: every touchpoint from enrolment to employment, what is broken about it today, how it is rebuilt around evidence, and the phased roadmap for getting there.</w:t>
      </w:r>
    </w:p>
    <w:p>
      <w:pPr>
        <w:pStyle w:val="Heading2"/>
        <w:spacing w:after="160" w:before="280"/>
      </w:pPr>
      <w:r>
        <w:rPr>
          <w:rFonts w:ascii="Helvetica Neue" w:cs="Helvetica Neue" w:eastAsia="Helvetica Neue" w:hAnsi="Helvetica Neue"/>
          <w:b/>
          <w:bCs/>
          <w:color w:val="B4552D"/>
          <w:sz w:val="26"/>
          <w:szCs w:val="26"/>
        </w:rPr>
        <w:t xml:space="preserve">The argument in five sentences</w:t>
      </w:r>
    </w:p>
    <w:p>
      <w:pPr>
        <w:pStyle w:val="ListParagraph"/>
        <w:numPr>
          <w:ilvl w:val="0"/>
          <w:numId w:val="2"/>
        </w:numPr>
        <w:spacing w:after="100" w:line="290"/>
      </w:pPr>
      <w:r>
        <w:rPr>
          <w:rFonts w:ascii="Georgia" w:cs="Georgia" w:eastAsia="Georgia" w:hAnsi="Georgia"/>
          <w:color w:val="3A3A3A"/>
          <w:sz w:val="22"/>
          <w:szCs w:val="22"/>
        </w:rPr>
        <w:t xml:space="preserve">AI has made </w:t>
      </w:r>
      <w:r>
        <w:rPr>
          <w:rFonts w:ascii="Georgia" w:cs="Georgia" w:eastAsia="Georgia" w:hAnsi="Georgia"/>
          <w:b/>
          <w:bCs/>
          <w:color w:val="1B2A4A"/>
          <w:sz w:val="22"/>
          <w:szCs w:val="22"/>
        </w:rPr>
        <w:t xml:space="preserve">outputs</w:t>
      </w:r>
      <w:r>
        <w:rPr>
          <w:rFonts w:ascii="Georgia" w:cs="Georgia" w:eastAsia="Georgia" w:hAnsi="Georgia"/>
          <w:color w:val="3A3A3A"/>
          <w:sz w:val="22"/>
          <w:szCs w:val="22"/>
        </w:rPr>
        <w:t xml:space="preserve"> abundant and therefore worthless as signals; the signal has moved to </w:t>
      </w:r>
      <w:r>
        <w:rPr>
          <w:rFonts w:ascii="Georgia" w:cs="Georgia" w:eastAsia="Georgia" w:hAnsi="Georgia"/>
          <w:b/>
          <w:bCs/>
          <w:color w:val="1B2A4A"/>
          <w:sz w:val="22"/>
          <w:szCs w:val="22"/>
        </w:rPr>
        <w:t xml:space="preserve">process</w:t>
      </w:r>
      <w:r>
        <w:rPr>
          <w:rFonts w:ascii="Georgia" w:cs="Georgia" w:eastAsia="Georgia" w:hAnsi="Georgia"/>
          <w:color w:val="3A3A3A"/>
          <w:sz w:val="22"/>
          <w:szCs w:val="22"/>
        </w:rPr>
        <w:t xml:space="preserve"> — how someone thinks, decides, verifies, and uses their tools.</w:t>
      </w:r>
    </w:p>
    <w:p>
      <w:pPr>
        <w:pStyle w:val="ListParagraph"/>
        <w:numPr>
          <w:ilvl w:val="0"/>
          <w:numId w:val="2"/>
        </w:numPr>
        <w:spacing w:after="100" w:line="290"/>
      </w:pPr>
      <w:r>
        <w:rPr>
          <w:rFonts w:ascii="Georgia" w:cs="Georgia" w:eastAsia="Georgia" w:hAnsi="Georgia"/>
          <w:color w:val="3A3A3A"/>
          <w:sz w:val="22"/>
          <w:szCs w:val="22"/>
        </w:rPr>
        <w:t xml:space="preserve">The student journey is a chain of roughly twenty-five touchpoints, and nearly every one of them still trades in outputs: essays, transcripts, CVs, interview performances.</w:t>
      </w:r>
    </w:p>
    <w:p>
      <w:pPr>
        <w:pStyle w:val="ListParagraph"/>
        <w:numPr>
          <w:ilvl w:val="0"/>
          <w:numId w:val="2"/>
        </w:numPr>
        <w:spacing w:after="100" w:line="290"/>
      </w:pPr>
      <w:r>
        <w:rPr>
          <w:rFonts w:ascii="Georgia" w:cs="Georgia" w:eastAsia="Georgia" w:hAnsi="Georgia"/>
          <w:color w:val="3A3A3A"/>
          <w:sz w:val="22"/>
          <w:szCs w:val="22"/>
        </w:rPr>
        <w:t xml:space="preserve">Each touchpoint can be rebuilt around observed, consented, verified evidence of real work — and every rebuilt touchpoint feeds a single portable capability record owned by the student.</w:t>
      </w:r>
    </w:p>
    <w:p>
      <w:pPr>
        <w:pStyle w:val="ListParagraph"/>
        <w:numPr>
          <w:ilvl w:val="0"/>
          <w:numId w:val="2"/>
        </w:numPr>
        <w:spacing w:after="100" w:line="290"/>
      </w:pPr>
      <w:r>
        <w:rPr>
          <w:rFonts w:ascii="Georgia" w:cs="Georgia" w:eastAsia="Georgia" w:hAnsi="Georgia"/>
          <w:color w:val="3A3A3A"/>
          <w:sz w:val="22"/>
          <w:szCs w:val="22"/>
        </w:rPr>
        <w:t xml:space="preserve">The capability record replaces the transcript and the CV as the unit of exchange between education and employment, converting hiring from a guessing game into an information system.</w:t>
      </w:r>
    </w:p>
    <w:p>
      <w:pPr>
        <w:pStyle w:val="ListParagraph"/>
        <w:numPr>
          <w:ilvl w:val="0"/>
          <w:numId w:val="2"/>
        </w:numPr>
        <w:spacing w:after="100" w:line="290"/>
      </w:pPr>
      <w:r>
        <w:rPr>
          <w:rFonts w:ascii="Georgia" w:cs="Georgia" w:eastAsia="Georgia" w:hAnsi="Georgia"/>
          <w:color w:val="3A3A3A"/>
          <w:sz w:val="22"/>
          <w:szCs w:val="22"/>
        </w:rPr>
        <w:t xml:space="preserve">Praxis's assessment engine — process capture, integrity guarantees, zero-friction delivery — is the working prototype of this infrastructure, and this dossier is the plan for scaling it across the entire journey.</w:t>
      </w:r>
    </w:p>
    <w:p>
      <w:pPr>
        <w:pStyle w:val="Heading2"/>
        <w:spacing w:after="160" w:before="280"/>
      </w:pPr>
      <w:r>
        <w:rPr>
          <w:rFonts w:ascii="Helvetica Neue" w:cs="Helvetica Neue" w:eastAsia="Helvetica Neue" w:hAnsi="Helvetica Neue"/>
          <w:b/>
          <w:bCs/>
          <w:color w:val="B4552D"/>
          <w:sz w:val="26"/>
          <w:szCs w:val="26"/>
        </w:rPr>
        <w:t xml:space="preserve">What this dossier contains</w:t>
      </w:r>
    </w:p>
    <w:p>
      <w:pPr>
        <w:spacing w:after="180" w:line="300"/>
      </w:pPr>
      <w:r>
        <w:rPr>
          <w:rFonts w:ascii="Georgia" w:cs="Georgia" w:eastAsia="Georgia" w:hAnsi="Georgia"/>
          <w:color w:val="3A3A3A"/>
          <w:sz w:val="22"/>
          <w:szCs w:val="22"/>
        </w:rPr>
        <w:t xml:space="preserve">Part I states the thesis and the failure it answers. Part II sets out the philosophy of work and learning in the age of AI — the first principles everything else derives from. Part III walks the student journey stage by stage. Part IV inventories every touchpoint in a single reference table. Part V describes the machinery: how the existing Praxis engine generalises. Part VI examines what changes for each actor — students, universities, employers. Part VII takes the strongest objections seriously. Parts VIII and IX give the roadmap and the measures by which we will know it is working. The conclusion is a short manifesto.</w:t>
      </w:r>
    </w:p>
    <w:p>
      <w:pPr>
        <w:pStyle w:val="Heading1"/>
        <w:pageBreakBefore/>
        <w:spacing w:after="220" w:before="360"/>
      </w:pPr>
      <w:r>
        <w:rPr>
          <w:rFonts w:ascii="Helvetica Neue" w:cs="Helvetica Neue" w:eastAsia="Helvetica Neue" w:hAnsi="Helvetica Neue"/>
          <w:b/>
          <w:bCs/>
          <w:color w:val="1B2A4A"/>
          <w:sz w:val="34"/>
          <w:szCs w:val="34"/>
        </w:rPr>
        <w:t xml:space="preserve">Part I — The Thesis: The End of the Proxy Economy</w:t>
      </w:r>
    </w:p>
    <w:p>
      <w:pPr>
        <w:pStyle w:val="Heading2"/>
        <w:spacing w:after="160" w:before="280"/>
      </w:pPr>
      <w:r>
        <w:rPr>
          <w:rFonts w:ascii="Helvetica Neue" w:cs="Helvetica Neue" w:eastAsia="Helvetica Neue" w:hAnsi="Helvetica Neue"/>
          <w:b/>
          <w:bCs/>
          <w:color w:val="B4552D"/>
          <w:sz w:val="26"/>
          <w:szCs w:val="26"/>
        </w:rPr>
        <w:t xml:space="preserve">1.1  How the pipeline actually works today</w:t>
      </w:r>
    </w:p>
    <w:p>
      <w:pPr>
        <w:spacing w:after="180" w:line="300"/>
      </w:pPr>
      <w:r>
        <w:rPr>
          <w:rFonts w:ascii="Georgia" w:cs="Georgia" w:eastAsia="Georgia" w:hAnsi="Georgia"/>
          <w:color w:val="3A3A3A"/>
          <w:sz w:val="22"/>
          <w:szCs w:val="22"/>
        </w:rPr>
        <w:t xml:space="preserve">Strip away the branding and the education-to-employment pipeline is an </w:t>
      </w:r>
      <w:r>
        <w:rPr>
          <w:rFonts w:ascii="Georgia" w:cs="Georgia" w:eastAsia="Georgia" w:hAnsi="Georgia"/>
          <w:b/>
          <w:bCs/>
          <w:color w:val="1B2A4A"/>
          <w:sz w:val="22"/>
          <w:szCs w:val="22"/>
        </w:rPr>
        <w:t xml:space="preserve">inference system</w:t>
      </w:r>
      <w:r>
        <w:rPr>
          <w:rFonts w:ascii="Georgia" w:cs="Georgia" w:eastAsia="Georgia" w:hAnsi="Georgia"/>
          <w:color w:val="3A3A3A"/>
          <w:sz w:val="22"/>
          <w:szCs w:val="22"/>
        </w:rPr>
        <w:t xml:space="preserve">. No employer can watch a candidate work before hiring them, so the market evolved a chain of proxies to approximate that observation. A university admits a student on predicted grades (a proxy for a proxy). It teaches in bulk and examines in snapshots. It emits a transcript — a one-page compression of three or four years of a human being's intellectual life into a letter and a number. The student then compresses themselves again into a CV, which a recruiter skims for eleven seconds, which an applicant-tracking system has already filtered by keyword, which leads — for the lucky few percent — to an interview: a performed conversation that decades of industrial-organisational research shows predicts job performance barely better than chance.</w:t>
      </w:r>
    </w:p>
    <w:p>
      <w:pPr>
        <w:spacing w:after="180" w:line="300"/>
      </w:pPr>
      <w:r>
        <w:rPr>
          <w:rFonts w:ascii="Georgia" w:cs="Georgia" w:eastAsia="Georgia" w:hAnsi="Georgia"/>
          <w:color w:val="3A3A3A"/>
          <w:sz w:val="22"/>
          <w:szCs w:val="22"/>
        </w:rPr>
        <w:t xml:space="preserve">Every link in this chain is lossy. Every link is also </w:t>
      </w:r>
      <w:r>
        <w:rPr>
          <w:rFonts w:ascii="Georgia" w:cs="Georgia" w:eastAsia="Georgia" w:hAnsi="Georgia"/>
          <w:i/>
          <w:iCs/>
          <w:color w:val="3A3A3A"/>
          <w:sz w:val="22"/>
          <w:szCs w:val="22"/>
        </w:rPr>
        <w:t xml:space="preserve">gameable</w:t>
      </w:r>
      <w:r>
        <w:rPr>
          <w:rFonts w:ascii="Georgia" w:cs="Georgia" w:eastAsia="Georgia" w:hAnsi="Georgia"/>
          <w:color w:val="3A3A3A"/>
          <w:sz w:val="22"/>
          <w:szCs w:val="22"/>
        </w:rPr>
        <w:t xml:space="preserve">, and the game has professionalised: admissions consultants, essay mills, CV writers, interview coaches. But the system held together for a century because the losses were roughly symmetrical and the gaming was expensive. The artefacts at each link — the essay, the dissertation, the portfolio, the cover letter — took real time to produce, and time spent correlated with something real about the person.</w:t>
      </w:r>
    </w:p>
    <w:p>
      <w:pPr>
        <w:pStyle w:val="Heading2"/>
        <w:spacing w:after="160" w:before="280"/>
      </w:pPr>
      <w:r>
        <w:rPr>
          <w:rFonts w:ascii="Helvetica Neue" w:cs="Helvetica Neue" w:eastAsia="Helvetica Neue" w:hAnsi="Helvetica Neue"/>
          <w:b/>
          <w:bCs/>
          <w:color w:val="B4552D"/>
          <w:sz w:val="26"/>
          <w:szCs w:val="26"/>
        </w:rPr>
        <w:t xml:space="preserve">1.2  The double collapse</w:t>
      </w:r>
    </w:p>
    <w:p>
      <w:pPr>
        <w:spacing w:after="180" w:line="300"/>
      </w:pPr>
      <w:r>
        <w:rPr>
          <w:rFonts w:ascii="Georgia" w:cs="Georgia" w:eastAsia="Georgia" w:hAnsi="Georgia"/>
          <w:b/>
          <w:bCs/>
          <w:color w:val="1B2A4A"/>
          <w:sz w:val="22"/>
          <w:szCs w:val="22"/>
        </w:rPr>
        <w:t xml:space="preserve">Collapse one: the artefacts no longer carry signal. </w:t>
      </w:r>
      <w:r>
        <w:rPr>
          <w:rFonts w:ascii="Georgia" w:cs="Georgia" w:eastAsia="Georgia" w:hAnsi="Georgia"/>
          <w:color w:val="3A3A3A"/>
          <w:sz w:val="22"/>
          <w:szCs w:val="22"/>
        </w:rPr>
        <w:t xml:space="preserve">A frontier language model writes a better essay than most graduates, a better cover letter than any careers adviser, and a plausible portfolio project overnight. This is not a marginal erosion; it is a step change in the cost of producing every artefact the pipeline depends on. When a signal becomes free to fake, it stops being a signal. Universities are responding with detection tools that do not work and honour codes that cannot be enforced; employers are responding by discounting written applications entirely and drowning under two-hundred-applicant-per-role volumes generated by the same tools. Both responses treat the symptom. The disease is that the proxy economy priced its signals in effort, and effort just went to zero.</w:t>
      </w:r>
    </w:p>
    <w:p>
      <w:pPr>
        <w:spacing w:after="180" w:line="300"/>
      </w:pPr>
      <w:r>
        <w:rPr>
          <w:rFonts w:ascii="Georgia" w:cs="Georgia" w:eastAsia="Georgia" w:hAnsi="Georgia"/>
          <w:b/>
          <w:bCs/>
          <w:color w:val="1B2A4A"/>
          <w:sz w:val="22"/>
          <w:szCs w:val="22"/>
        </w:rPr>
        <w:t xml:space="preserve">Collapse two: the proxies were measuring the wrong things anyway. </w:t>
      </w:r>
      <w:r>
        <w:rPr>
          <w:rFonts w:ascii="Georgia" w:cs="Georgia" w:eastAsia="Georgia" w:hAnsi="Georgia"/>
          <w:color w:val="3A3A3A"/>
          <w:sz w:val="22"/>
          <w:szCs w:val="22"/>
        </w:rPr>
        <w:t xml:space="preserve">Even where the artefacts are honestly produced, they measure capabilities whose market value is falling. Unaided recall, solitary production of polished text, mechanical execution of known methods — these are precisely the tasks AI absorbs first. The capabilities that now command a premium are the ones the pipeline has never measured: the ability to frame an ambiguous problem; to decompose it; to direct AI tools with skill and scepticism; to verify, edit, and take responsibility for machine output; to recover from dead ends; to exercise taste and judgment under time pressure. A first-class degree is silent on every one of these.</w:t>
      </w:r>
    </w:p>
    <w:p>
      <w:pPr>
        <w:pStyle w:val="Heading2"/>
        <w:spacing w:after="160" w:before="280"/>
      </w:pPr>
      <w:r>
        <w:rPr>
          <w:rFonts w:ascii="Helvetica Neue" w:cs="Helvetica Neue" w:eastAsia="Helvetica Neue" w:hAnsi="Helvetica Neue"/>
          <w:b/>
          <w:bCs/>
          <w:color w:val="B4552D"/>
          <w:sz w:val="26"/>
          <w:szCs w:val="26"/>
        </w:rPr>
        <w:t xml:space="preserve">1.3  The thesis</w:t>
      </w:r>
    </w:p>
    <w:p>
      <w:pPr>
        <w:pBdr>
          <w:left w:val="single" w:color="B4552D" w:sz="18" w:space="12"/>
        </w:pBdr>
        <w:spacing w:after="240" w:before="200" w:line="320"/>
        <w:ind w:left="720" w:right="720"/>
      </w:pPr>
      <w:r>
        <w:rPr>
          <w:rFonts w:ascii="Georgia" w:cs="Georgia" w:eastAsia="Georgia" w:hAnsi="Georgia"/>
          <w:i/>
          <w:iCs/>
          <w:color w:val="1B2A4A"/>
          <w:sz w:val="24"/>
          <w:szCs w:val="24"/>
        </w:rPr>
        <w:t xml:space="preserve">When outputs are abundant, process becomes the signal. The future of the student journey is not better proxies for capability — it is direct, consented, verified evidence of capability, captured continuously and owned by the student.</w:t>
      </w:r>
    </w:p>
    <w:p>
      <w:pPr>
        <w:spacing w:after="180" w:line="300"/>
      </w:pPr>
      <w:r>
        <w:rPr>
          <w:rFonts w:ascii="Georgia" w:cs="Georgia" w:eastAsia="Georgia" w:hAnsi="Georgia"/>
          <w:color w:val="3A3A3A"/>
          <w:sz w:val="22"/>
          <w:szCs w:val="22"/>
        </w:rPr>
        <w:t xml:space="preserve">Concretely: instead of asking </w:t>
      </w:r>
      <w:r>
        <w:rPr>
          <w:rFonts w:ascii="Georgia" w:cs="Georgia" w:eastAsia="Georgia" w:hAnsi="Georgia"/>
          <w:i/>
          <w:iCs/>
          <w:color w:val="3A3A3A"/>
          <w:sz w:val="22"/>
          <w:szCs w:val="22"/>
        </w:rPr>
        <w:t xml:space="preserve">what did you produce?</w:t>
      </w:r>
      <w:r>
        <w:rPr>
          <w:rFonts w:ascii="Georgia" w:cs="Georgia" w:eastAsia="Georgia" w:hAnsi="Georgia"/>
          <w:color w:val="3A3A3A"/>
          <w:sz w:val="22"/>
          <w:szCs w:val="22"/>
        </w:rPr>
        <w:t xml:space="preserve"> — a question AI has made unanswerable — every touchpoint in the journey learns to ask </w:t>
      </w:r>
      <w:r>
        <w:rPr>
          <w:rFonts w:ascii="Georgia" w:cs="Georgia" w:eastAsia="Georgia" w:hAnsi="Georgia"/>
          <w:i/>
          <w:iCs/>
          <w:color w:val="3A3A3A"/>
          <w:sz w:val="22"/>
          <w:szCs w:val="22"/>
        </w:rPr>
        <w:t xml:space="preserve">show me how you work</w:t>
      </w:r>
      <w:r>
        <w:rPr>
          <w:rFonts w:ascii="Georgia" w:cs="Georgia" w:eastAsia="Georgia" w:hAnsi="Georgia"/>
          <w:color w:val="3A3A3A"/>
          <w:sz w:val="22"/>
          <w:szCs w:val="22"/>
        </w:rPr>
        <w:t xml:space="preserve">. The examination becomes an observed working session. The assignment becomes a captured process, AI use included and assessed rather than banned and undetected. The CV becomes a verified evidence record. The interview becomes a replay-and-discussion of real work the candidate has actually done. The probation review becomes a continuation of the same record that got the person hired.</w:t>
      </w:r>
    </w:p>
    <w:p>
      <w:pPr>
        <w:spacing w:after="180" w:line="300"/>
      </w:pPr>
      <w:r>
        <w:rPr>
          <w:rFonts w:ascii="Georgia" w:cs="Georgia" w:eastAsia="Georgia" w:hAnsi="Georgia"/>
          <w:color w:val="3A3A3A"/>
          <w:sz w:val="22"/>
          <w:szCs w:val="22"/>
        </w:rPr>
        <w:t xml:space="preserve">This is not a bolt-on integrity tool. It is a re-architecture of the pipeline around a different primitive. The old primitive was the </w:t>
      </w:r>
      <w:r>
        <w:rPr>
          <w:rFonts w:ascii="Georgia" w:cs="Georgia" w:eastAsia="Georgia" w:hAnsi="Georgia"/>
          <w:b/>
          <w:bCs/>
          <w:color w:val="1B2A4A"/>
          <w:sz w:val="22"/>
          <w:szCs w:val="22"/>
        </w:rPr>
        <w:t xml:space="preserve">claim</w:t>
      </w:r>
      <w:r>
        <w:rPr>
          <w:rFonts w:ascii="Georgia" w:cs="Georgia" w:eastAsia="Georgia" w:hAnsi="Georgia"/>
          <w:color w:val="3A3A3A"/>
          <w:sz w:val="22"/>
          <w:szCs w:val="22"/>
        </w:rPr>
        <w:t xml:space="preserve"> (a grade, a line on a CV) — cheap to make, expensive to check. The new primitive is the </w:t>
      </w:r>
      <w:r>
        <w:rPr>
          <w:rFonts w:ascii="Georgia" w:cs="Georgia" w:eastAsia="Georgia" w:hAnsi="Georgia"/>
          <w:b/>
          <w:bCs/>
          <w:color w:val="1B2A4A"/>
          <w:sz w:val="22"/>
          <w:szCs w:val="22"/>
        </w:rPr>
        <w:t xml:space="preserve">evidence object</w:t>
      </w:r>
      <w:r>
        <w:rPr>
          <w:rFonts w:ascii="Georgia" w:cs="Georgia" w:eastAsia="Georgia" w:hAnsi="Georgia"/>
          <w:color w:val="3A3A3A"/>
          <w:sz w:val="22"/>
          <w:szCs w:val="22"/>
        </w:rPr>
        <w:t xml:space="preserve">: a bounded, consented recording of real work, machine-analysable, human-reviewable, cryptographically attributable, and portable. Claims require trust in the claimant. Evidence objects require trust only in the capture — which is an engineering problem, and one Praxis has already solved once.</w:t>
      </w:r>
    </w:p>
    <w:p>
      <w:pPr>
        <w:pStyle w:val="Heading2"/>
        <w:spacing w:after="160" w:before="280"/>
      </w:pPr>
      <w:r>
        <w:rPr>
          <w:rFonts w:ascii="Helvetica Neue" w:cs="Helvetica Neue" w:eastAsia="Helvetica Neue" w:hAnsi="Helvetica Neue"/>
          <w:b/>
          <w:bCs/>
          <w:color w:val="B4552D"/>
          <w:sz w:val="26"/>
          <w:szCs w:val="26"/>
        </w:rPr>
        <w:t xml:space="preserve">1.4  Why now, and why us</w:t>
      </w:r>
    </w:p>
    <w:p>
      <w:pPr>
        <w:spacing w:after="180" w:line="300"/>
      </w:pPr>
      <w:r>
        <w:rPr>
          <w:rFonts w:ascii="Georgia" w:cs="Georgia" w:eastAsia="Georgia" w:hAnsi="Georgia"/>
          <w:color w:val="3A3A3A"/>
          <w:sz w:val="22"/>
          <w:szCs w:val="22"/>
        </w:rPr>
        <w:t xml:space="preserve">Three curves are crossing at once. The cost of faking artefacts has hit zero (the crisis). The cost of capturing and analysing process has collapsed — browser-native screen capture, cheap storage, and models that can watch an hour of work and describe what the person actually did (the enabler). And the market's patience is exhausted: universities face an assessment-integrity emergency, employers face application floods they can no longer screen, and students face a market that ignores their claims because everyone's claims look identical (the demand). Infrastructure gets built when a crisis, an enabler, and demand align. They are aligned now.</w:t>
      </w:r>
    </w:p>
    <w:p>
      <w:pPr>
        <w:spacing w:after="180" w:line="300"/>
      </w:pPr>
      <w:r>
        <w:rPr>
          <w:rFonts w:ascii="Georgia" w:cs="Georgia" w:eastAsia="Georgia" w:hAnsi="Georgia"/>
          <w:color w:val="3A3A3A"/>
          <w:sz w:val="22"/>
          <w:szCs w:val="22"/>
        </w:rPr>
        <w:t xml:space="preserve">Praxis is positioned unusually well not because of scale but because of sequence: we started at the hardest, highest-stakes touchpoint — a tamper-resistant, fair, low-friction assessment of real reasoning under observation — and made it work in production. Every other touchpoint in this dossier is a relaxation of that problem, not an escalation. The company that owns trusted capture owns the record; the company that owns the record owns the match between talent and work.</w:t>
      </w:r>
    </w:p>
    <w:p>
      <w:pPr>
        <w:pStyle w:val="Heading1"/>
        <w:pageBreakBefore/>
        <w:spacing w:after="220" w:before="360"/>
      </w:pPr>
      <w:r>
        <w:rPr>
          <w:rFonts w:ascii="Helvetica Neue" w:cs="Helvetica Neue" w:eastAsia="Helvetica Neue" w:hAnsi="Helvetica Neue"/>
          <w:b/>
          <w:bCs/>
          <w:color w:val="1B2A4A"/>
          <w:sz w:val="34"/>
          <w:szCs w:val="34"/>
        </w:rPr>
        <w:t xml:space="preserve">Part II — The Philosophy: Work and Learning in the Age of AI</w:t>
      </w:r>
    </w:p>
    <w:p>
      <w:pPr>
        <w:spacing w:after="180" w:line="300"/>
      </w:pPr>
      <w:r>
        <w:rPr>
          <w:rFonts w:ascii="Georgia" w:cs="Georgia" w:eastAsia="Georgia" w:hAnsi="Georgia"/>
          <w:color w:val="3A3A3A"/>
          <w:sz w:val="22"/>
          <w:szCs w:val="22"/>
        </w:rPr>
        <w:t xml:space="preserve">Strategy decays; principles compound. This part sets out the seven principles from which every design decision in this dossier derives. When a future touchpoint decision is ambiguous, it should be resolved by appeal to these, in order.</w:t>
      </w:r>
    </w:p>
    <w:p>
      <w:pPr>
        <w:pStyle w:val="Heading2"/>
        <w:spacing w:after="160" w:before="280"/>
      </w:pPr>
      <w:r>
        <w:rPr>
          <w:rFonts w:ascii="Helvetica Neue" w:cs="Helvetica Neue" w:eastAsia="Helvetica Neue" w:hAnsi="Helvetica Neue"/>
          <w:b/>
          <w:bCs/>
          <w:color w:val="B4552D"/>
          <w:sz w:val="26"/>
          <w:szCs w:val="26"/>
        </w:rPr>
        <w:t xml:space="preserve">2.1  Process over output</w:t>
      </w:r>
    </w:p>
    <w:p>
      <w:pPr>
        <w:spacing w:after="180" w:line="300"/>
      </w:pPr>
      <w:r>
        <w:rPr>
          <w:rFonts w:ascii="Georgia" w:cs="Georgia" w:eastAsia="Georgia" w:hAnsi="Georgia"/>
          <w:color w:val="3A3A3A"/>
          <w:sz w:val="22"/>
          <w:szCs w:val="22"/>
        </w:rPr>
        <w:t xml:space="preserve">The foundational inversion. For all of history, process was invisible and output was scarce, so we judged people by output. AI makes output abundant and — for the first time — makes process </w:t>
      </w:r>
      <w:r>
        <w:rPr>
          <w:rFonts w:ascii="Georgia" w:cs="Georgia" w:eastAsia="Georgia" w:hAnsi="Georgia"/>
          <w:i/>
          <w:iCs/>
          <w:color w:val="3A3A3A"/>
          <w:sz w:val="22"/>
          <w:szCs w:val="22"/>
        </w:rPr>
        <w:t xml:space="preserve">observable at scale</w:t>
      </w:r>
      <w:r>
        <w:rPr>
          <w:rFonts w:ascii="Georgia" w:cs="Georgia" w:eastAsia="Georgia" w:hAnsi="Georgia"/>
          <w:color w:val="3A3A3A"/>
          <w:sz w:val="22"/>
          <w:szCs w:val="22"/>
        </w:rPr>
        <w:t xml:space="preserve">. Two students submit identical essays; one directed, interrogated, and rewrote an AI draft with evident judgment, the other pasted a prompt. The outputs are indistinguishable. The processes are not even similar. Everything of evaluative value now lives in the difference. A recorded working session — what was tried, what was abandoned, what was checked, how tools were driven — is richer than any artefact, and it is the one thing an AI cannot fake on a person's behalf, because it is the person, working.</w:t>
      </w:r>
    </w:p>
    <w:p>
      <w:pPr>
        <w:pStyle w:val="Heading2"/>
        <w:spacing w:after="160" w:before="280"/>
      </w:pPr>
      <w:r>
        <w:rPr>
          <w:rFonts w:ascii="Helvetica Neue" w:cs="Helvetica Neue" w:eastAsia="Helvetica Neue" w:hAnsi="Helvetica Neue"/>
          <w:b/>
          <w:bCs/>
          <w:color w:val="B4552D"/>
          <w:sz w:val="26"/>
          <w:szCs w:val="26"/>
        </w:rPr>
        <w:t xml:space="preserve">2.2  Evidence over claims</w:t>
      </w:r>
    </w:p>
    <w:p>
      <w:pPr>
        <w:spacing w:after="180" w:line="300"/>
      </w:pPr>
      <w:r>
        <w:rPr>
          <w:rFonts w:ascii="Georgia" w:cs="Georgia" w:eastAsia="Georgia" w:hAnsi="Georgia"/>
          <w:color w:val="3A3A3A"/>
          <w:sz w:val="22"/>
          <w:szCs w:val="22"/>
        </w:rPr>
        <w:t xml:space="preserve">A claim is an assertion whose verification cost falls on the reader; that is why claims scale for the claimant and crush the evaluator — the exact failure mode of modern hiring. An evidence object carries its verification with it. The design rule: at every touchpoint, replace the claim with the evidence, or attach the evidence to the claim. Never ask the market to trust; let it inspect.</w:t>
      </w:r>
    </w:p>
    <w:p>
      <w:pPr>
        <w:pStyle w:val="Heading2"/>
        <w:spacing w:after="160" w:before="280"/>
      </w:pPr>
      <w:r>
        <w:rPr>
          <w:rFonts w:ascii="Helvetica Neue" w:cs="Helvetica Neue" w:eastAsia="Helvetica Neue" w:hAnsi="Helvetica Neue"/>
          <w:b/>
          <w:bCs/>
          <w:color w:val="B4552D"/>
          <w:sz w:val="26"/>
          <w:szCs w:val="26"/>
        </w:rPr>
        <w:t xml:space="preserve">2.3  Continuous over episodic</w:t>
      </w:r>
    </w:p>
    <w:p>
      <w:pPr>
        <w:spacing w:after="180" w:line="300"/>
      </w:pPr>
      <w:r>
        <w:rPr>
          <w:rFonts w:ascii="Georgia" w:cs="Georgia" w:eastAsia="Georgia" w:hAnsi="Georgia"/>
          <w:color w:val="3A3A3A"/>
          <w:sz w:val="22"/>
          <w:szCs w:val="22"/>
        </w:rPr>
        <w:t xml:space="preserve">The exam, the finals week, the interview: the old journey assesses in episodes, and episodes are high-variance lotteries — one bad morning misrepresents three years of capability. Worse, episodic assessment invites episodic preparation: cramming, coaching, performance. Continuous, low-stakes evidence capture — many short observed sessions across years — produces a statistically honest picture, reduces the anxiety premium, and makes gaming irrational: you cannot cram for a hundred samples of your own ordinary behaviour.</w:t>
      </w:r>
    </w:p>
    <w:p>
      <w:pPr>
        <w:pStyle w:val="Heading2"/>
        <w:spacing w:after="160" w:before="280"/>
      </w:pPr>
      <w:r>
        <w:rPr>
          <w:rFonts w:ascii="Helvetica Neue" w:cs="Helvetica Neue" w:eastAsia="Helvetica Neue" w:hAnsi="Helvetica Neue"/>
          <w:b/>
          <w:bCs/>
          <w:color w:val="B4552D"/>
          <w:sz w:val="26"/>
          <w:szCs w:val="26"/>
        </w:rPr>
        <w:t xml:space="preserve">2.4  AI-inclusive, not AI-forbidden</w:t>
      </w:r>
    </w:p>
    <w:p>
      <w:pPr>
        <w:spacing w:after="180" w:line="300"/>
      </w:pPr>
      <w:r>
        <w:rPr>
          <w:rFonts w:ascii="Georgia" w:cs="Georgia" w:eastAsia="Georgia" w:hAnsi="Georgia"/>
          <w:color w:val="3A3A3A"/>
          <w:sz w:val="22"/>
          <w:szCs w:val="22"/>
        </w:rPr>
        <w:t xml:space="preserve">The dominant institutional response to AI — ban it in assessment, then fail to detect it — is both futile and perverse: it prohibits, in the examination hall, the single most important professional skill of the coming decades. Our principle is the opposite. </w:t>
      </w:r>
      <w:r>
        <w:rPr>
          <w:rFonts w:ascii="Georgia" w:cs="Georgia" w:eastAsia="Georgia" w:hAnsi="Georgia"/>
          <w:b/>
          <w:bCs/>
          <w:color w:val="1B2A4A"/>
          <w:sz w:val="22"/>
          <w:szCs w:val="22"/>
        </w:rPr>
        <w:t xml:space="preserve">Assess with the tools of the era, and assess the use of the tools.</w:t>
      </w:r>
      <w:r>
        <w:rPr>
          <w:rFonts w:ascii="Georgia" w:cs="Georgia" w:eastAsia="Georgia" w:hAnsi="Georgia"/>
          <w:color w:val="3A3A3A"/>
          <w:sz w:val="22"/>
          <w:szCs w:val="22"/>
        </w:rPr>
        <w:t xml:space="preserve"> Let the candidate use AI, and observe how: the quality of their prompts, their scepticism toward output, their verification habits, what they delegate versus what they hold. A century ago the question was whether engineers could use slide rules in exams. The slide rule won, and so will this.</w:t>
      </w:r>
    </w:p>
    <w:p>
      <w:pPr>
        <w:pStyle w:val="Heading2"/>
        <w:spacing w:after="160" w:before="280"/>
      </w:pPr>
      <w:r>
        <w:rPr>
          <w:rFonts w:ascii="Helvetica Neue" w:cs="Helvetica Neue" w:eastAsia="Helvetica Neue" w:hAnsi="Helvetica Neue"/>
          <w:b/>
          <w:bCs/>
          <w:color w:val="B4552D"/>
          <w:sz w:val="26"/>
          <w:szCs w:val="26"/>
        </w:rPr>
        <w:t xml:space="preserve">2.5  The student owns the record</w:t>
      </w:r>
    </w:p>
    <w:p>
      <w:pPr>
        <w:spacing w:after="180" w:line="300"/>
      </w:pPr>
      <w:r>
        <w:rPr>
          <w:rFonts w:ascii="Georgia" w:cs="Georgia" w:eastAsia="Georgia" w:hAnsi="Georgia"/>
          <w:color w:val="3A3A3A"/>
          <w:sz w:val="22"/>
          <w:szCs w:val="22"/>
        </w:rPr>
        <w:t xml:space="preserve">Continuous observation without ownership is surveillance; with ownership it is a portfolio. This distinction decides whether the Evidence Era is legitimate. The capability record belongs to the student: capture happens only in sessions they initiate, they see everything the record contains, they choose what to share with whom, and they can export or destroy it. Institutions and employers get verified views, never the raw feed. This is not a compliance concession — it is the adoption strategy. People volunteer for systems that serve them and resist systems that watch them.</w:t>
      </w:r>
    </w:p>
    <w:p>
      <w:pPr>
        <w:pStyle w:val="Heading2"/>
        <w:spacing w:after="160" w:before="280"/>
      </w:pPr>
      <w:r>
        <w:rPr>
          <w:rFonts w:ascii="Helvetica Neue" w:cs="Helvetica Neue" w:eastAsia="Helvetica Neue" w:hAnsi="Helvetica Neue"/>
          <w:b/>
          <w:bCs/>
          <w:color w:val="B4552D"/>
          <w:sz w:val="26"/>
          <w:szCs w:val="26"/>
        </w:rPr>
        <w:t xml:space="preserve">2.6  Friction is a tax on truth</w:t>
      </w:r>
    </w:p>
    <w:p>
      <w:pPr>
        <w:spacing w:after="180" w:line="300"/>
      </w:pPr>
      <w:r>
        <w:rPr>
          <w:rFonts w:ascii="Georgia" w:cs="Georgia" w:eastAsia="Georgia" w:hAnsi="Georgia"/>
          <w:color w:val="3A3A3A"/>
          <w:sz w:val="22"/>
          <w:szCs w:val="22"/>
        </w:rPr>
        <w:t xml:space="preserve">Every additional step between a person and an assessment — accounts, signups, installs, scheduling — filters the sample by patience and privilege, not by capability, and drives the market back toward cheap proxies. The Praxis gate already proves the standard: a code, a browser, a consented screen-share, fifteen minutes, no account. Every future touchpoint inherits that bar. If capture is not nearly effortless, the evidence will not exist, and the thesis dies of logistics.</w:t>
      </w:r>
    </w:p>
    <w:p>
      <w:pPr>
        <w:pStyle w:val="Heading2"/>
        <w:spacing w:after="160" w:before="280"/>
      </w:pPr>
      <w:r>
        <w:rPr>
          <w:rFonts w:ascii="Helvetica Neue" w:cs="Helvetica Neue" w:eastAsia="Helvetica Neue" w:hAnsi="Helvetica Neue"/>
          <w:b/>
          <w:bCs/>
          <w:color w:val="B4552D"/>
          <w:sz w:val="26"/>
          <w:szCs w:val="26"/>
        </w:rPr>
        <w:t xml:space="preserve">2.7  Fairness is an engineering property</w:t>
      </w:r>
    </w:p>
    <w:p>
      <w:pPr>
        <w:spacing w:after="180" w:line="300"/>
      </w:pPr>
      <w:r>
        <w:rPr>
          <w:rFonts w:ascii="Georgia" w:cs="Georgia" w:eastAsia="Georgia" w:hAnsi="Georgia"/>
          <w:color w:val="3A3A3A"/>
          <w:sz w:val="22"/>
          <w:szCs w:val="22"/>
        </w:rPr>
        <w:t xml:space="preserve">Old-pipeline fairness was procedural: same exam hall, same time limit, and vast unmeasured inequality everywhere else. Evidence-era fairness must be engineered: identical capture conditions enforced by software (entire-screen capture or nothing; paused clocks on interruption; device-bound single-use access), scoring rubrics that are published and auditable, models evaluated for demographic skew, and human review on every consequential decision. A system that observes real work is less biased than one that reads names on CVs — but only if we build the guarantees in, measure them, and publish the measurements.</w:t>
      </w:r>
    </w:p>
    <w:p>
      <w:pPr>
        <w:pStyle w:val="Heading2"/>
        <w:spacing w:after="160" w:before="280"/>
      </w:pPr>
      <w:r>
        <w:rPr>
          <w:rFonts w:ascii="Helvetica Neue" w:cs="Helvetica Neue" w:eastAsia="Helvetica Neue" w:hAnsi="Helvetica Neue"/>
          <w:b/>
          <w:bCs/>
          <w:color w:val="B4552D"/>
          <w:sz w:val="26"/>
          <w:szCs w:val="26"/>
        </w:rPr>
        <w:t xml:space="preserve">2.8  What these principles rule out</w:t>
      </w:r>
    </w:p>
    <w:p>
      <w:pPr>
        <w:pStyle w:val="ListParagraph"/>
        <w:numPr>
          <w:ilvl w:val="0"/>
          <w:numId w:val="2"/>
        </w:numPr>
        <w:spacing w:after="100" w:line="290"/>
      </w:pPr>
      <w:r>
        <w:rPr>
          <w:rFonts w:ascii="Georgia" w:cs="Georgia" w:eastAsia="Georgia" w:hAnsi="Georgia"/>
          <w:color w:val="3A3A3A"/>
          <w:sz w:val="22"/>
          <w:szCs w:val="22"/>
        </w:rPr>
        <w:t xml:space="preserve">Covert or ambient monitoring of any kind — capture is session-scoped and consented, or it does not happen.</w:t>
      </w:r>
    </w:p>
    <w:p>
      <w:pPr>
        <w:pStyle w:val="ListParagraph"/>
        <w:numPr>
          <w:ilvl w:val="0"/>
          <w:numId w:val="2"/>
        </w:numPr>
        <w:spacing w:after="100" w:line="290"/>
      </w:pPr>
      <w:r>
        <w:rPr>
          <w:rFonts w:ascii="Georgia" w:cs="Georgia" w:eastAsia="Georgia" w:hAnsi="Georgia"/>
          <w:color w:val="3A3A3A"/>
          <w:sz w:val="22"/>
          <w:szCs w:val="22"/>
        </w:rPr>
        <w:t xml:space="preserve">AI-detection arms races — we never claim to detect AI text; we make the question irrelevant by observing process.</w:t>
      </w:r>
    </w:p>
    <w:p>
      <w:pPr>
        <w:pStyle w:val="ListParagraph"/>
        <w:numPr>
          <w:ilvl w:val="0"/>
          <w:numId w:val="2"/>
        </w:numPr>
        <w:spacing w:after="100" w:line="290"/>
      </w:pPr>
      <w:r>
        <w:rPr>
          <w:rFonts w:ascii="Georgia" w:cs="Georgia" w:eastAsia="Georgia" w:hAnsi="Georgia"/>
          <w:color w:val="3A3A3A"/>
          <w:sz w:val="22"/>
          <w:szCs w:val="22"/>
        </w:rPr>
        <w:t xml:space="preserve">Black-box scoring — every consequential judgment must be explainable against the evidence and appealable to a human.</w:t>
      </w:r>
    </w:p>
    <w:p>
      <w:pPr>
        <w:pStyle w:val="ListParagraph"/>
        <w:numPr>
          <w:ilvl w:val="0"/>
          <w:numId w:val="2"/>
        </w:numPr>
        <w:spacing w:after="100" w:line="290"/>
      </w:pPr>
      <w:r>
        <w:rPr>
          <w:rFonts w:ascii="Georgia" w:cs="Georgia" w:eastAsia="Georgia" w:hAnsi="Georgia"/>
          <w:color w:val="3A3A3A"/>
          <w:sz w:val="22"/>
          <w:szCs w:val="22"/>
        </w:rPr>
        <w:t xml:space="preserve">Selling the raw record — views are shared by the student; the underlying data is never a product.</w:t>
      </w:r>
    </w:p>
    <w:p>
      <w:pPr>
        <w:pStyle w:val="ListParagraph"/>
        <w:numPr>
          <w:ilvl w:val="0"/>
          <w:numId w:val="2"/>
        </w:numPr>
        <w:spacing w:after="100" w:line="290"/>
      </w:pPr>
      <w:r>
        <w:rPr>
          <w:rFonts w:ascii="Georgia" w:cs="Georgia" w:eastAsia="Georgia" w:hAnsi="Georgia"/>
          <w:color w:val="3A3A3A"/>
          <w:sz w:val="22"/>
          <w:szCs w:val="22"/>
        </w:rPr>
        <w:t xml:space="preserve">High-stakes single events as the default — episodes are permitted as capstones, never as the primary signal.</w:t>
      </w:r>
    </w:p>
    <w:p>
      <w:pPr>
        <w:pStyle w:val="Heading1"/>
        <w:pageBreakBefore/>
        <w:spacing w:after="220" w:before="360"/>
      </w:pPr>
      <w:r>
        <w:rPr>
          <w:rFonts w:ascii="Helvetica Neue" w:cs="Helvetica Neue" w:eastAsia="Helvetica Neue" w:hAnsi="Helvetica Neue"/>
          <w:b/>
          <w:bCs/>
          <w:color w:val="1B2A4A"/>
          <w:sz w:val="34"/>
          <w:szCs w:val="34"/>
        </w:rPr>
        <w:t xml:space="preserve">Part III — The Journey, Rebuilt: Stage by Stage</w:t>
      </w:r>
    </w:p>
    <w:p>
      <w:pPr>
        <w:spacing w:after="180" w:line="300"/>
      </w:pPr>
      <w:r>
        <w:rPr>
          <w:rFonts w:ascii="Georgia" w:cs="Georgia" w:eastAsia="Georgia" w:hAnsi="Georgia"/>
          <w:color w:val="3A3A3A"/>
          <w:sz w:val="22"/>
          <w:szCs w:val="22"/>
        </w:rPr>
        <w:t xml:space="preserve">This part walks the journey in six stages. For each: what the touchpoints are, why they fail today, and precisely how they are rebuilt around evidence. Part IV compresses all of it into a single reference table.</w:t>
      </w:r>
    </w:p>
    <w:p>
      <w:pPr>
        <w:pStyle w:val="Heading2"/>
        <w:spacing w:after="160" w:before="280"/>
      </w:pPr>
      <w:r>
        <w:rPr>
          <w:rFonts w:ascii="Helvetica Neue" w:cs="Helvetica Neue" w:eastAsia="Helvetica Neue" w:hAnsi="Helvetica Neue"/>
          <w:b/>
          <w:bCs/>
          <w:color w:val="B4552D"/>
          <w:sz w:val="26"/>
          <w:szCs w:val="26"/>
        </w:rPr>
        <w:t xml:space="preserve">Stage 1 — Choosing and starting (pre-enrolment to first semester)</w:t>
      </w:r>
    </w:p>
    <w:p>
      <w:pPr>
        <w:pStyle w:val="Heading3"/>
        <w:spacing w:after="120" w:before="220"/>
      </w:pPr>
      <w:r>
        <w:rPr>
          <w:rFonts w:ascii="Helvetica Neue" w:cs="Helvetica Neue" w:eastAsia="Helvetica Neue" w:hAnsi="Helvetica Neue"/>
          <w:b/>
          <w:bCs/>
          <w:color w:val="1B2A4A"/>
          <w:sz w:val="23"/>
          <w:szCs w:val="23"/>
        </w:rPr>
        <w:t xml:space="preserve">Today</w:t>
      </w:r>
    </w:p>
    <w:p>
      <w:pPr>
        <w:spacing w:after="180" w:line="300"/>
      </w:pPr>
      <w:r>
        <w:rPr>
          <w:rFonts w:ascii="Georgia" w:cs="Georgia" w:eastAsia="Georgia" w:hAnsi="Georgia"/>
          <w:color w:val="3A3A3A"/>
          <w:sz w:val="22"/>
          <w:szCs w:val="22"/>
        </w:rPr>
        <w:t xml:space="preserve">A seventeen-year-old chooses a course — one of the largest financial decisions of their life — using prospectuses (marketing), league tables (research proxies), and open days (theatre). Admissions selects on predicted grades and personal statements, both now substantially AI-written. Neither side of the transaction has real information about the other. First-year induction then treats every student identically because the institution knows nothing about how any of them actually work or learn.</w:t>
      </w:r>
    </w:p>
    <w:p>
      <w:pPr>
        <w:pStyle w:val="Heading3"/>
        <w:spacing w:after="120" w:before="220"/>
      </w:pPr>
      <w:r>
        <w:rPr>
          <w:rFonts w:ascii="Helvetica Neue" w:cs="Helvetica Neue" w:eastAsia="Helvetica Neue" w:hAnsi="Helvetica Neue"/>
          <w:b/>
          <w:bCs/>
          <w:color w:val="1B2A4A"/>
          <w:sz w:val="23"/>
          <w:szCs w:val="23"/>
        </w:rPr>
        <w:t xml:space="preserve">Rebuilt</w:t>
      </w:r>
    </w:p>
    <w:p>
      <w:pPr>
        <w:pStyle w:val="ListParagraph"/>
        <w:numPr>
          <w:ilvl w:val="0"/>
          <w:numId w:val="2"/>
        </w:numPr>
        <w:spacing w:after="100" w:line="290"/>
      </w:pPr>
      <w:r>
        <w:rPr>
          <w:rFonts w:ascii="Georgia" w:cs="Georgia" w:eastAsia="Georgia" w:hAnsi="Georgia"/>
          <w:b/>
          <w:bCs/>
          <w:color w:val="1B2A4A"/>
          <w:sz w:val="22"/>
          <w:szCs w:val="22"/>
        </w:rPr>
        <w:t xml:space="preserve">Discovery by evidence, not marketing. </w:t>
      </w:r>
      <w:r>
        <w:rPr>
          <w:rFonts w:ascii="Georgia" w:cs="Georgia" w:eastAsia="Georgia" w:hAnsi="Georgia"/>
          <w:color w:val="3A3A3A"/>
          <w:sz w:val="22"/>
          <w:szCs w:val="22"/>
        </w:rPr>
        <w:t xml:space="preserve">Courses publish what their graduates can demonstrably do — anonymised, aggregated capability data from the record — instead of employability statistics laundered through survey design. Students choose courses the way employers will one day choose them: on evidence.</w:t>
      </w:r>
    </w:p>
    <w:p>
      <w:pPr>
        <w:pStyle w:val="ListParagraph"/>
        <w:numPr>
          <w:ilvl w:val="0"/>
          <w:numId w:val="2"/>
        </w:numPr>
        <w:spacing w:after="100" w:line="290"/>
      </w:pPr>
      <w:r>
        <w:rPr>
          <w:rFonts w:ascii="Georgia" w:cs="Georgia" w:eastAsia="Georgia" w:hAnsi="Georgia"/>
          <w:b/>
          <w:bCs/>
          <w:color w:val="1B2A4A"/>
          <w:sz w:val="22"/>
          <w:szCs w:val="22"/>
        </w:rPr>
        <w:t xml:space="preserve">The baseline session. </w:t>
      </w:r>
      <w:r>
        <w:rPr>
          <w:rFonts w:ascii="Georgia" w:cs="Georgia" w:eastAsia="Georgia" w:hAnsi="Georgia"/>
          <w:color w:val="3A3A3A"/>
          <w:sz w:val="22"/>
          <w:szCs w:val="22"/>
        </w:rPr>
        <w:t xml:space="preserve">In the first weeks of study, every student completes a short, low-stakes observed working session — a Praxis-style reasoning assessment framed as onboarding, not gatekeeping. It costs fifteen minutes and produces the first entry in their capability record: a baseline of how they currently frame problems, manage time, and use tools.</w:t>
      </w:r>
    </w:p>
    <w:p>
      <w:pPr>
        <w:pStyle w:val="ListParagraph"/>
        <w:numPr>
          <w:ilvl w:val="0"/>
          <w:numId w:val="2"/>
        </w:numPr>
        <w:spacing w:after="100" w:line="290"/>
      </w:pPr>
      <w:r>
        <w:rPr>
          <w:rFonts w:ascii="Georgia" w:cs="Georgia" w:eastAsia="Georgia" w:hAnsi="Georgia"/>
          <w:b/>
          <w:bCs/>
          <w:color w:val="1B2A4A"/>
          <w:sz w:val="22"/>
          <w:szCs w:val="22"/>
        </w:rPr>
        <w:t xml:space="preserve">Induction that adapts. </w:t>
      </w:r>
      <w:r>
        <w:rPr>
          <w:rFonts w:ascii="Georgia" w:cs="Georgia" w:eastAsia="Georgia" w:hAnsi="Georgia"/>
          <w:color w:val="3A3A3A"/>
          <w:sz w:val="22"/>
          <w:szCs w:val="22"/>
        </w:rPr>
        <w:t xml:space="preserve">Because the baseline is evidence rather than a quiz score, the institution can actually differentiate: this student never verifies AI output, that one over-verifies and runs out of time. First-year support becomes targeted from week three instead of remedial in year two.</w:t>
      </w:r>
    </w:p>
    <w:p>
      <w:pPr>
        <w:spacing w:after="180" w:line="300"/>
      </w:pPr>
      <w:r>
        <w:rPr>
          <w:rFonts w:ascii="Georgia" w:cs="Georgia" w:eastAsia="Georgia" w:hAnsi="Georgia"/>
          <w:i/>
          <w:iCs/>
          <w:color w:val="3A3A3A"/>
          <w:sz w:val="22"/>
          <w:szCs w:val="22"/>
        </w:rPr>
        <w:t xml:space="preserve">The strategic point: the record starts on day one, which means by graduation it is three years deep — an asset no late-arriving competitor can backfill.</w:t>
      </w:r>
    </w:p>
    <w:p>
      <w:pPr>
        <w:pStyle w:val="Heading2"/>
        <w:spacing w:after="160" w:before="280"/>
      </w:pPr>
      <w:r>
        <w:rPr>
          <w:rFonts w:ascii="Helvetica Neue" w:cs="Helvetica Neue" w:eastAsia="Helvetica Neue" w:hAnsi="Helvetica Neue"/>
          <w:b/>
          <w:bCs/>
          <w:color w:val="B4552D"/>
          <w:sz w:val="26"/>
          <w:szCs w:val="26"/>
        </w:rPr>
        <w:t xml:space="preserve">Stage 2 — Learning (the years of study)</w:t>
      </w:r>
    </w:p>
    <w:p>
      <w:pPr>
        <w:pStyle w:val="Heading3"/>
        <w:spacing w:after="120" w:before="220"/>
      </w:pPr>
      <w:r>
        <w:rPr>
          <w:rFonts w:ascii="Helvetica Neue" w:cs="Helvetica Neue" w:eastAsia="Helvetica Neue" w:hAnsi="Helvetica Neue"/>
          <w:b/>
          <w:bCs/>
          <w:color w:val="1B2A4A"/>
          <w:sz w:val="23"/>
          <w:szCs w:val="23"/>
        </w:rPr>
        <w:t xml:space="preserve">Today</w:t>
      </w:r>
    </w:p>
    <w:p>
      <w:pPr>
        <w:spacing w:after="180" w:line="300"/>
      </w:pPr>
      <w:r>
        <w:rPr>
          <w:rFonts w:ascii="Georgia" w:cs="Georgia" w:eastAsia="Georgia" w:hAnsi="Georgia"/>
          <w:color w:val="3A3A3A"/>
          <w:sz w:val="22"/>
          <w:szCs w:val="22"/>
        </w:rPr>
        <w:t xml:space="preserve">Lectures broadcast; assignments are submitted into a void and returned weeks later with marks that arrive too late to change behaviour; exams compress a year into three hours of recall; group work grades four people on one person's effort; AI use is officially banned and universally practised, converting the entire assessment apparatus into a mutual pretence. The student produces hundreds of artefacts across three years and graduates owning none of them in any market-legible form.</w:t>
      </w:r>
    </w:p>
    <w:p>
      <w:pPr>
        <w:pStyle w:val="Heading3"/>
        <w:spacing w:after="120" w:before="220"/>
      </w:pPr>
      <w:r>
        <w:rPr>
          <w:rFonts w:ascii="Helvetica Neue" w:cs="Helvetica Neue" w:eastAsia="Helvetica Neue" w:hAnsi="Helvetica Neue"/>
          <w:b/>
          <w:bCs/>
          <w:color w:val="1B2A4A"/>
          <w:sz w:val="23"/>
          <w:szCs w:val="23"/>
        </w:rPr>
        <w:t xml:space="preserve">Rebuilt</w:t>
      </w:r>
    </w:p>
    <w:p>
      <w:pPr>
        <w:pStyle w:val="ListParagraph"/>
        <w:numPr>
          <w:ilvl w:val="0"/>
          <w:numId w:val="2"/>
        </w:numPr>
        <w:spacing w:after="100" w:line="290"/>
      </w:pPr>
      <w:r>
        <w:rPr>
          <w:rFonts w:ascii="Georgia" w:cs="Georgia" w:eastAsia="Georgia" w:hAnsi="Georgia"/>
          <w:b/>
          <w:bCs/>
          <w:color w:val="1B2A4A"/>
          <w:sz w:val="22"/>
          <w:szCs w:val="22"/>
        </w:rPr>
        <w:t xml:space="preserve">The observed assignment. </w:t>
      </w:r>
      <w:r>
        <w:rPr>
          <w:rFonts w:ascii="Georgia" w:cs="Georgia" w:eastAsia="Georgia" w:hAnsi="Georgia"/>
          <w:color w:val="3A3A3A"/>
          <w:sz w:val="22"/>
          <w:szCs w:val="22"/>
        </w:rPr>
        <w:t xml:space="preserve">Substantial coursework is completed in capture sessions — the student shares their screen, works with full AI access, and submits both the artefact and the process. Marking assesses the working: problem decomposition, tool orchestration, verification, recovery. The plagiarism question evaporates — not solved, but made meaningless, because the process is the submission.</w:t>
      </w:r>
    </w:p>
    <w:p>
      <w:pPr>
        <w:pStyle w:val="ListParagraph"/>
        <w:numPr>
          <w:ilvl w:val="0"/>
          <w:numId w:val="2"/>
        </w:numPr>
        <w:spacing w:after="100" w:line="290"/>
      </w:pPr>
      <w:r>
        <w:rPr>
          <w:rFonts w:ascii="Georgia" w:cs="Georgia" w:eastAsia="Georgia" w:hAnsi="Georgia"/>
          <w:b/>
          <w:bCs/>
          <w:color w:val="1B2A4A"/>
          <w:sz w:val="22"/>
          <w:szCs w:val="22"/>
        </w:rPr>
        <w:t xml:space="preserve">Continuous micro-evidence. </w:t>
      </w:r>
      <w:r>
        <w:rPr>
          <w:rFonts w:ascii="Georgia" w:cs="Georgia" w:eastAsia="Georgia" w:hAnsi="Georgia"/>
          <w:color w:val="3A3A3A"/>
          <w:sz w:val="22"/>
          <w:szCs w:val="22"/>
        </w:rPr>
        <w:t xml:space="preserve">Short, frequent, low-stakes observed sessions replace midterm cliffs. Each is fifteen minutes; each feeds the record; no single one matters much. Capability is measured the way it actually exists: as a distribution, not a performance.</w:t>
      </w:r>
    </w:p>
    <w:p>
      <w:pPr>
        <w:pStyle w:val="ListParagraph"/>
        <w:numPr>
          <w:ilvl w:val="0"/>
          <w:numId w:val="2"/>
        </w:numPr>
        <w:spacing w:after="100" w:line="290"/>
      </w:pPr>
      <w:r>
        <w:rPr>
          <w:rFonts w:ascii="Georgia" w:cs="Georgia" w:eastAsia="Georgia" w:hAnsi="Georgia"/>
          <w:b/>
          <w:bCs/>
          <w:color w:val="1B2A4A"/>
          <w:sz w:val="22"/>
          <w:szCs w:val="22"/>
        </w:rPr>
        <w:t xml:space="preserve">The exam, inverted. </w:t>
      </w:r>
      <w:r>
        <w:rPr>
          <w:rFonts w:ascii="Georgia" w:cs="Georgia" w:eastAsia="Georgia" w:hAnsi="Georgia"/>
          <w:color w:val="3A3A3A"/>
          <w:sz w:val="22"/>
          <w:szCs w:val="22"/>
        </w:rPr>
        <w:t xml:space="preserve">Where terminal exams survive, they become open-tool observed sessions: here is an ambiguous problem, here is every tool a professional would have, show us how you work. The Praxis engine already runs exactly this format under tamper-resistant conditions — entire-screen capture enforced, interruptions pausing the clock, integrity budgets bounding disruption.</w:t>
      </w:r>
    </w:p>
    <w:p>
      <w:pPr>
        <w:pStyle w:val="ListParagraph"/>
        <w:numPr>
          <w:ilvl w:val="0"/>
          <w:numId w:val="2"/>
        </w:numPr>
        <w:spacing w:after="100" w:line="290"/>
      </w:pPr>
      <w:r>
        <w:rPr>
          <w:rFonts w:ascii="Georgia" w:cs="Georgia" w:eastAsia="Georgia" w:hAnsi="Georgia"/>
          <w:b/>
          <w:bCs/>
          <w:color w:val="1B2A4A"/>
          <w:sz w:val="22"/>
          <w:szCs w:val="22"/>
        </w:rPr>
        <w:t xml:space="preserve">Group work with individual evidence. </w:t>
      </w:r>
      <w:r>
        <w:rPr>
          <w:rFonts w:ascii="Georgia" w:cs="Georgia" w:eastAsia="Georgia" w:hAnsi="Georgia"/>
          <w:color w:val="3A3A3A"/>
          <w:sz w:val="22"/>
          <w:szCs w:val="22"/>
        </w:rPr>
        <w:t xml:space="preserve">Collaborative projects capture individual contribution sessions within the group effort, ending the free-rider problem without ending collaboration — the record shows what each member actually did, which is what employers wanted to know all along.</w:t>
      </w:r>
    </w:p>
    <w:p>
      <w:pPr>
        <w:pStyle w:val="ListParagraph"/>
        <w:numPr>
          <w:ilvl w:val="0"/>
          <w:numId w:val="2"/>
        </w:numPr>
        <w:spacing w:after="100" w:line="290"/>
      </w:pPr>
      <w:r>
        <w:rPr>
          <w:rFonts w:ascii="Georgia" w:cs="Georgia" w:eastAsia="Georgia" w:hAnsi="Georgia"/>
          <w:b/>
          <w:bCs/>
          <w:color w:val="1B2A4A"/>
          <w:sz w:val="22"/>
          <w:szCs w:val="22"/>
        </w:rPr>
        <w:t xml:space="preserve">Feedback at the speed of relevance. </w:t>
      </w:r>
      <w:r>
        <w:rPr>
          <w:rFonts w:ascii="Georgia" w:cs="Georgia" w:eastAsia="Georgia" w:hAnsi="Georgia"/>
          <w:color w:val="3A3A3A"/>
          <w:sz w:val="22"/>
          <w:szCs w:val="22"/>
        </w:rPr>
        <w:t xml:space="preserve">Because sessions are machine-readable, formative feedback on process — you accepted the model's first answer un-checked; you spent forty minutes before defining the problem — arrives within hours, while the student still remembers the work.</w:t>
      </w:r>
    </w:p>
    <w:p>
      <w:pPr>
        <w:pStyle w:val="ListParagraph"/>
        <w:numPr>
          <w:ilvl w:val="0"/>
          <w:numId w:val="2"/>
        </w:numPr>
        <w:spacing w:after="100" w:line="290"/>
      </w:pPr>
      <w:r>
        <w:rPr>
          <w:rFonts w:ascii="Georgia" w:cs="Georgia" w:eastAsia="Georgia" w:hAnsi="Georgia"/>
          <w:b/>
          <w:bCs/>
          <w:color w:val="1B2A4A"/>
          <w:sz w:val="22"/>
          <w:szCs w:val="22"/>
        </w:rPr>
        <w:t xml:space="preserve">Real work counts. </w:t>
      </w:r>
      <w:r>
        <w:rPr>
          <w:rFonts w:ascii="Georgia" w:cs="Georgia" w:eastAsia="Georgia" w:hAnsi="Georgia"/>
          <w:color w:val="3A3A3A"/>
          <w:sz w:val="22"/>
          <w:szCs w:val="22"/>
        </w:rPr>
        <w:t xml:space="preserve">Placements, internships, part-time jobs, society projects, open-source contributions: any of it can be evidenced through the same session capture and enters the same record. The wall between curricular and extracurricular capability — always artificial — comes down.</w:t>
      </w:r>
    </w:p>
    <w:p>
      <w:pPr>
        <w:pStyle w:val="Heading2"/>
        <w:spacing w:after="160" w:before="280"/>
      </w:pPr>
      <w:r>
        <w:rPr>
          <w:rFonts w:ascii="Helvetica Neue" w:cs="Helvetica Neue" w:eastAsia="Helvetica Neue" w:hAnsi="Helvetica Neue"/>
          <w:b/>
          <w:bCs/>
          <w:color w:val="B4552D"/>
          <w:sz w:val="26"/>
          <w:szCs w:val="26"/>
        </w:rPr>
        <w:t xml:space="preserve">Stage 3 — Approaching the market (final year)</w:t>
      </w:r>
    </w:p>
    <w:p>
      <w:pPr>
        <w:pStyle w:val="Heading3"/>
        <w:spacing w:after="120" w:before="220"/>
      </w:pPr>
      <w:r>
        <w:rPr>
          <w:rFonts w:ascii="Helvetica Neue" w:cs="Helvetica Neue" w:eastAsia="Helvetica Neue" w:hAnsi="Helvetica Neue"/>
          <w:b/>
          <w:bCs/>
          <w:color w:val="1B2A4A"/>
          <w:sz w:val="23"/>
          <w:szCs w:val="23"/>
        </w:rPr>
        <w:t xml:space="preserve">Today</w:t>
      </w:r>
    </w:p>
    <w:p>
      <w:pPr>
        <w:spacing w:after="180" w:line="300"/>
      </w:pPr>
      <w:r>
        <w:rPr>
          <w:rFonts w:ascii="Georgia" w:cs="Georgia" w:eastAsia="Georgia" w:hAnsi="Georgia"/>
          <w:color w:val="3A3A3A"/>
          <w:sz w:val="22"/>
          <w:szCs w:val="22"/>
        </w:rPr>
        <w:t xml:space="preserve">Careers services run CV workshops for a market that no longer reads CVs. Students fire hundreds of AI-written applications at employers who use AI to reject them — a spam war with two losing sides. The dissertation, often genuinely impressive work, is compressed to a single line no recruiter believes. References have become legal-risk boilerplate. The people who navigate this stage best are the well-connected and well-coached, which is to say the stage measures social capital and calls it employability.</w:t>
      </w:r>
    </w:p>
    <w:p>
      <w:pPr>
        <w:pStyle w:val="Heading3"/>
        <w:spacing w:after="120" w:before="220"/>
      </w:pPr>
      <w:r>
        <w:rPr>
          <w:rFonts w:ascii="Helvetica Neue" w:cs="Helvetica Neue" w:eastAsia="Helvetica Neue" w:hAnsi="Helvetica Neue"/>
          <w:b/>
          <w:bCs/>
          <w:color w:val="1B2A4A"/>
          <w:sz w:val="23"/>
          <w:szCs w:val="23"/>
        </w:rPr>
        <w:t xml:space="preserve">Rebuilt</w:t>
      </w:r>
    </w:p>
    <w:p>
      <w:pPr>
        <w:pStyle w:val="ListParagraph"/>
        <w:numPr>
          <w:ilvl w:val="0"/>
          <w:numId w:val="2"/>
        </w:numPr>
        <w:spacing w:after="100" w:line="290"/>
      </w:pPr>
      <w:r>
        <w:rPr>
          <w:rFonts w:ascii="Georgia" w:cs="Georgia" w:eastAsia="Georgia" w:hAnsi="Georgia"/>
          <w:b/>
          <w:bCs/>
          <w:color w:val="1B2A4A"/>
          <w:sz w:val="22"/>
          <w:szCs w:val="22"/>
        </w:rPr>
        <w:t xml:space="preserve">The readiness assessment. </w:t>
      </w:r>
      <w:r>
        <w:rPr>
          <w:rFonts w:ascii="Georgia" w:cs="Georgia" w:eastAsia="Georgia" w:hAnsi="Georgia"/>
          <w:color w:val="3A3A3A"/>
          <w:sz w:val="22"/>
          <w:szCs w:val="22"/>
        </w:rPr>
        <w:t xml:space="preserve">A capstone observed session — the Praxis flagship product, essentially unchanged — gives every finalist a rigorous, comparable, verified demonstration of professional reasoning. This is the anchor evidence object of the record at the moment of market entry.</w:t>
      </w:r>
    </w:p>
    <w:p>
      <w:pPr>
        <w:pStyle w:val="ListParagraph"/>
        <w:numPr>
          <w:ilvl w:val="0"/>
          <w:numId w:val="2"/>
        </w:numPr>
        <w:spacing w:after="100" w:line="290"/>
      </w:pPr>
      <w:r>
        <w:rPr>
          <w:rFonts w:ascii="Georgia" w:cs="Georgia" w:eastAsia="Georgia" w:hAnsi="Georgia"/>
          <w:b/>
          <w:bCs/>
          <w:color w:val="1B2A4A"/>
          <w:sz w:val="22"/>
          <w:szCs w:val="22"/>
        </w:rPr>
        <w:t xml:space="preserve">The evidence profile replaces the CV. </w:t>
      </w:r>
      <w:r>
        <w:rPr>
          <w:rFonts w:ascii="Georgia" w:cs="Georgia" w:eastAsia="Georgia" w:hAnsi="Georgia"/>
          <w:color w:val="3A3A3A"/>
          <w:sz w:val="22"/>
          <w:szCs w:val="22"/>
        </w:rPr>
        <w:t xml:space="preserve">The student assembles their market-facing profile from the record: chosen sessions, verified capability summaries, the trajectory across three years. It cannot be inflated, because every line links to captured work. Careers services shift from teaching self-presentation to curating evidence — an actually useful job.</w:t>
      </w:r>
    </w:p>
    <w:p>
      <w:pPr>
        <w:pStyle w:val="ListParagraph"/>
        <w:numPr>
          <w:ilvl w:val="0"/>
          <w:numId w:val="2"/>
        </w:numPr>
        <w:spacing w:after="100" w:line="290"/>
      </w:pPr>
      <w:r>
        <w:rPr>
          <w:rFonts w:ascii="Georgia" w:cs="Georgia" w:eastAsia="Georgia" w:hAnsi="Georgia"/>
          <w:b/>
          <w:bCs/>
          <w:color w:val="1B2A4A"/>
          <w:sz w:val="22"/>
          <w:szCs w:val="22"/>
        </w:rPr>
        <w:t xml:space="preserve">The dissertation as flagship evidence. </w:t>
      </w:r>
      <w:r>
        <w:rPr>
          <w:rFonts w:ascii="Georgia" w:cs="Georgia" w:eastAsia="Georgia" w:hAnsi="Georgia"/>
          <w:color w:val="3A3A3A"/>
          <w:sz w:val="22"/>
          <w:szCs w:val="22"/>
        </w:rPr>
        <w:t xml:space="preserve">Major final-year work is captured across its lifetime — a longitudinal object showing how the student handles a months-long ambiguous problem. No interview question reveals as much.</w:t>
      </w:r>
    </w:p>
    <w:p>
      <w:pPr>
        <w:pStyle w:val="ListParagraph"/>
        <w:numPr>
          <w:ilvl w:val="0"/>
          <w:numId w:val="2"/>
        </w:numPr>
        <w:spacing w:after="100" w:line="290"/>
      </w:pPr>
      <w:r>
        <w:rPr>
          <w:rFonts w:ascii="Georgia" w:cs="Georgia" w:eastAsia="Georgia" w:hAnsi="Georgia"/>
          <w:b/>
          <w:bCs/>
          <w:color w:val="1B2A4A"/>
          <w:sz w:val="22"/>
          <w:szCs w:val="22"/>
        </w:rPr>
        <w:t xml:space="preserve">References, verified. </w:t>
      </w:r>
      <w:r>
        <w:rPr>
          <w:rFonts w:ascii="Georgia" w:cs="Georgia" w:eastAsia="Georgia" w:hAnsi="Georgia"/>
          <w:color w:val="3A3A3A"/>
          <w:sz w:val="22"/>
          <w:szCs w:val="22"/>
        </w:rPr>
        <w:t xml:space="preserve">A supervisor's endorsement attaches to specific sessions in the record — annotation of evidence rather than free-floating praise. Cheap to give honestly, impossible to give emptily.</w:t>
      </w:r>
    </w:p>
    <w:p>
      <w:pPr>
        <w:pStyle w:val="Heading2"/>
        <w:spacing w:after="160" w:before="280"/>
      </w:pPr>
      <w:r>
        <w:rPr>
          <w:rFonts w:ascii="Helvetica Neue" w:cs="Helvetica Neue" w:eastAsia="Helvetica Neue" w:hAnsi="Helvetica Neue"/>
          <w:b/>
          <w:bCs/>
          <w:color w:val="B4552D"/>
          <w:sz w:val="26"/>
          <w:szCs w:val="26"/>
        </w:rPr>
        <w:t xml:space="preserve">Stage 4 — The exchange (graduation and the transcript)</w:t>
      </w:r>
    </w:p>
    <w:p>
      <w:pPr>
        <w:pStyle w:val="Heading3"/>
        <w:spacing w:after="120" w:before="220"/>
      </w:pPr>
      <w:r>
        <w:rPr>
          <w:rFonts w:ascii="Helvetica Neue" w:cs="Helvetica Neue" w:eastAsia="Helvetica Neue" w:hAnsi="Helvetica Neue"/>
          <w:b/>
          <w:bCs/>
          <w:color w:val="1B2A4A"/>
          <w:sz w:val="23"/>
          <w:szCs w:val="23"/>
        </w:rPr>
        <w:t xml:space="preserve">Today</w:t>
      </w:r>
    </w:p>
    <w:p>
      <w:pPr>
        <w:spacing w:after="180" w:line="300"/>
      </w:pPr>
      <w:r>
        <w:rPr>
          <w:rFonts w:ascii="Georgia" w:cs="Georgia" w:eastAsia="Georgia" w:hAnsi="Georgia"/>
          <w:color w:val="3A3A3A"/>
          <w:sz w:val="22"/>
          <w:szCs w:val="22"/>
        </w:rPr>
        <w:t xml:space="preserve">The graduate receives a transcript: a lossy, unverifiable, career-long compression of everything above into a single classification that employers openly discount yet continue to screen on, because it is the only standardised signal available. Grade inflation erodes what little information it carried; two-thirds of UK graduates now receive a first or upper second, a distribution that distinguishes almost nobody.</w:t>
      </w:r>
    </w:p>
    <w:p>
      <w:pPr>
        <w:pStyle w:val="Heading3"/>
        <w:spacing w:after="120" w:before="220"/>
      </w:pPr>
      <w:r>
        <w:rPr>
          <w:rFonts w:ascii="Helvetica Neue" w:cs="Helvetica Neue" w:eastAsia="Helvetica Neue" w:hAnsi="Helvetica Neue"/>
          <w:b/>
          <w:bCs/>
          <w:color w:val="1B2A4A"/>
          <w:sz w:val="23"/>
          <w:szCs w:val="23"/>
        </w:rPr>
        <w:t xml:space="preserve">Rebuilt</w:t>
      </w:r>
    </w:p>
    <w:p>
      <w:pPr>
        <w:pStyle w:val="ListParagraph"/>
        <w:numPr>
          <w:ilvl w:val="0"/>
          <w:numId w:val="2"/>
        </w:numPr>
        <w:spacing w:after="100" w:line="290"/>
      </w:pPr>
      <w:r>
        <w:rPr>
          <w:rFonts w:ascii="Georgia" w:cs="Georgia" w:eastAsia="Georgia" w:hAnsi="Georgia"/>
          <w:b/>
          <w:bCs/>
          <w:color w:val="1B2A4A"/>
          <w:sz w:val="22"/>
          <w:szCs w:val="22"/>
        </w:rPr>
        <w:t xml:space="preserve">The capability record is the credential. </w:t>
      </w:r>
      <w:r>
        <w:rPr>
          <w:rFonts w:ascii="Georgia" w:cs="Georgia" w:eastAsia="Georgia" w:hAnsi="Georgia"/>
          <w:color w:val="3A3A3A"/>
          <w:sz w:val="22"/>
          <w:szCs w:val="22"/>
        </w:rPr>
        <w:t xml:space="preserve">At graduation the student owns a portable, cryptographically attributable record: dozens to hundreds of evidence objects, machine-summarised into capability profiles, human-verifiable at any depth. The transcript survives as a ceremonial layer; the record is what the market reads.</w:t>
      </w:r>
    </w:p>
    <w:p>
      <w:pPr>
        <w:pStyle w:val="ListParagraph"/>
        <w:numPr>
          <w:ilvl w:val="0"/>
          <w:numId w:val="2"/>
        </w:numPr>
        <w:spacing w:after="100" w:line="290"/>
      </w:pPr>
      <w:r>
        <w:rPr>
          <w:rFonts w:ascii="Georgia" w:cs="Georgia" w:eastAsia="Georgia" w:hAnsi="Georgia"/>
          <w:b/>
          <w:bCs/>
          <w:color w:val="1B2A4A"/>
          <w:sz w:val="22"/>
          <w:szCs w:val="22"/>
        </w:rPr>
        <w:t xml:space="preserve">Granularity replaces classification. </w:t>
      </w:r>
      <w:r>
        <w:rPr>
          <w:rFonts w:ascii="Georgia" w:cs="Georgia" w:eastAsia="Georgia" w:hAnsi="Georgia"/>
          <w:color w:val="3A3A3A"/>
          <w:sz w:val="22"/>
          <w:szCs w:val="22"/>
        </w:rPr>
        <w:t xml:space="preserve">Instead of a 2:1 — one ordinal token for four years — the record answers real questions: How does this person work under time pressure? How well do they direct AI tools? What does their verification discipline look like? Employers query the capability, not the class.</w:t>
      </w:r>
    </w:p>
    <w:p>
      <w:pPr>
        <w:pStyle w:val="ListParagraph"/>
        <w:numPr>
          <w:ilvl w:val="0"/>
          <w:numId w:val="2"/>
        </w:numPr>
        <w:spacing w:after="100" w:line="290"/>
      </w:pPr>
      <w:r>
        <w:rPr>
          <w:rFonts w:ascii="Georgia" w:cs="Georgia" w:eastAsia="Georgia" w:hAnsi="Georgia"/>
          <w:b/>
          <w:bCs/>
          <w:color w:val="1B2A4A"/>
          <w:sz w:val="22"/>
          <w:szCs w:val="22"/>
        </w:rPr>
        <w:t xml:space="preserve">Portable and permanent. </w:t>
      </w:r>
      <w:r>
        <w:rPr>
          <w:rFonts w:ascii="Georgia" w:cs="Georgia" w:eastAsia="Georgia" w:hAnsi="Georgia"/>
          <w:color w:val="3A3A3A"/>
          <w:sz w:val="22"/>
          <w:szCs w:val="22"/>
        </w:rPr>
        <w:t xml:space="preserve">The record is not the university's asset; the graduate carries it into the market and keeps extending it for life. Graduation stops being the end of the measured journey and becomes a milestone in it.</w:t>
      </w:r>
    </w:p>
    <w:p>
      <w:pPr>
        <w:pStyle w:val="Heading2"/>
        <w:spacing w:after="160" w:before="280"/>
      </w:pPr>
      <w:r>
        <w:rPr>
          <w:rFonts w:ascii="Helvetica Neue" w:cs="Helvetica Neue" w:eastAsia="Helvetica Neue" w:hAnsi="Helvetica Neue"/>
          <w:b/>
          <w:bCs/>
          <w:color w:val="B4552D"/>
          <w:sz w:val="26"/>
          <w:szCs w:val="26"/>
        </w:rPr>
        <w:t xml:space="preserve">Stage 5 — Matching (search, screening, selection)</w:t>
      </w:r>
    </w:p>
    <w:p>
      <w:pPr>
        <w:pStyle w:val="Heading3"/>
        <w:spacing w:after="120" w:before="220"/>
      </w:pPr>
      <w:r>
        <w:rPr>
          <w:rFonts w:ascii="Helvetica Neue" w:cs="Helvetica Neue" w:eastAsia="Helvetica Neue" w:hAnsi="Helvetica Neue"/>
          <w:b/>
          <w:bCs/>
          <w:color w:val="1B2A4A"/>
          <w:sz w:val="23"/>
          <w:szCs w:val="23"/>
        </w:rPr>
        <w:t xml:space="preserve">Today</w:t>
      </w:r>
    </w:p>
    <w:p>
      <w:pPr>
        <w:spacing w:after="180" w:line="300"/>
      </w:pPr>
      <w:r>
        <w:rPr>
          <w:rFonts w:ascii="Georgia" w:cs="Georgia" w:eastAsia="Georgia" w:hAnsi="Georgia"/>
          <w:color w:val="3A3A3A"/>
          <w:sz w:val="22"/>
          <w:szCs w:val="22"/>
        </w:rPr>
        <w:t xml:space="preserve">This is the stage Praxis already serves, and the most broken. Employers receive hundreds of near-identical AI-written applications per role and screen them with keyword filters that reject well-suited people for phrasing. Interviews reward confidence and coaching over capability. Take-home tasks are completed by models. Time-to-hire stretches while both sides drown in mutually generated noise. The market is not matching talent to work; it is matching persistence to attrition.</w:t>
      </w:r>
    </w:p>
    <w:p>
      <w:pPr>
        <w:pStyle w:val="Heading3"/>
        <w:spacing w:after="120" w:before="220"/>
      </w:pPr>
      <w:r>
        <w:rPr>
          <w:rFonts w:ascii="Helvetica Neue" w:cs="Helvetica Neue" w:eastAsia="Helvetica Neue" w:hAnsi="Helvetica Neue"/>
          <w:b/>
          <w:bCs/>
          <w:color w:val="1B2A4A"/>
          <w:sz w:val="23"/>
          <w:szCs w:val="23"/>
        </w:rPr>
        <w:t xml:space="preserve">Rebuilt</w:t>
      </w:r>
    </w:p>
    <w:p>
      <w:pPr>
        <w:pStyle w:val="ListParagraph"/>
        <w:numPr>
          <w:ilvl w:val="0"/>
          <w:numId w:val="2"/>
        </w:numPr>
        <w:spacing w:after="100" w:line="290"/>
      </w:pPr>
      <w:r>
        <w:rPr>
          <w:rFonts w:ascii="Georgia" w:cs="Georgia" w:eastAsia="Georgia" w:hAnsi="Georgia"/>
          <w:b/>
          <w:bCs/>
          <w:color w:val="1B2A4A"/>
          <w:sz w:val="22"/>
          <w:szCs w:val="22"/>
        </w:rPr>
        <w:t xml:space="preserve">Application by evidence share. </w:t>
      </w:r>
      <w:r>
        <w:rPr>
          <w:rFonts w:ascii="Georgia" w:cs="Georgia" w:eastAsia="Georgia" w:hAnsi="Georgia"/>
          <w:color w:val="3A3A3A"/>
          <w:sz w:val="22"/>
          <w:szCs w:val="22"/>
        </w:rPr>
        <w:t xml:space="preserve">A candidate applies by sharing a scoped view of their record — relevant sessions, verified summaries — instead of a claims document. Screening shifts from parsing prose to inspecting evidence; the two-hundred-application spam equilibrium collapses because evidence, unlike claims, is costly to fake and cheap to check.</w:t>
      </w:r>
    </w:p>
    <w:p>
      <w:pPr>
        <w:pStyle w:val="ListParagraph"/>
        <w:numPr>
          <w:ilvl w:val="0"/>
          <w:numId w:val="2"/>
        </w:numPr>
        <w:spacing w:after="100" w:line="290"/>
      </w:pPr>
      <w:r>
        <w:rPr>
          <w:rFonts w:ascii="Georgia" w:cs="Georgia" w:eastAsia="Georgia" w:hAnsi="Georgia"/>
          <w:b/>
          <w:bCs/>
          <w:color w:val="1B2A4A"/>
          <w:sz w:val="22"/>
          <w:szCs w:val="22"/>
        </w:rPr>
        <w:t xml:space="preserve">The assessment gate, generalised. </w:t>
      </w:r>
      <w:r>
        <w:rPr>
          <w:rFonts w:ascii="Georgia" w:cs="Georgia" w:eastAsia="Georgia" w:hAnsi="Georgia"/>
          <w:color w:val="3A3A3A"/>
          <w:sz w:val="22"/>
          <w:szCs w:val="22"/>
        </w:rPr>
        <w:t xml:space="preserve">Where employers need a comparable head-to-head signal, the observed assessment runs exactly as Praxis runs it today: code in, screen shared, fifteen minutes of real reasoning under integrity guarantees, no accounts, no friction. Every mechanic — single-use device-bound codes, entire-screen enforcement, pause budgets, capture-before-start ordering — carries over unchanged.</w:t>
      </w:r>
    </w:p>
    <w:p>
      <w:pPr>
        <w:pStyle w:val="ListParagraph"/>
        <w:numPr>
          <w:ilvl w:val="0"/>
          <w:numId w:val="2"/>
        </w:numPr>
        <w:spacing w:after="100" w:line="290"/>
      </w:pPr>
      <w:r>
        <w:rPr>
          <w:rFonts w:ascii="Georgia" w:cs="Georgia" w:eastAsia="Georgia" w:hAnsi="Georgia"/>
          <w:b/>
          <w:bCs/>
          <w:color w:val="1B2A4A"/>
          <w:sz w:val="22"/>
          <w:szCs w:val="22"/>
        </w:rPr>
        <w:t xml:space="preserve">The interview becomes a replay. </w:t>
      </w:r>
      <w:r>
        <w:rPr>
          <w:rFonts w:ascii="Georgia" w:cs="Georgia" w:eastAsia="Georgia" w:hAnsi="Georgia"/>
          <w:color w:val="3A3A3A"/>
          <w:sz w:val="22"/>
          <w:szCs w:val="22"/>
        </w:rPr>
        <w:t xml:space="preserve">Instead of hypotheticals ('tell me about a time…'), the interviewer and candidate sit down with an actual session from the record: walk me through this decision; why did you abandon that approach? The conversation grounds in observed reality — the single largest upgrade in interview validity available with current technology.</w:t>
      </w:r>
    </w:p>
    <w:p>
      <w:pPr>
        <w:pStyle w:val="ListParagraph"/>
        <w:numPr>
          <w:ilvl w:val="0"/>
          <w:numId w:val="2"/>
        </w:numPr>
        <w:spacing w:after="100" w:line="290"/>
      </w:pPr>
      <w:r>
        <w:rPr>
          <w:rFonts w:ascii="Georgia" w:cs="Georgia" w:eastAsia="Georgia" w:hAnsi="Georgia"/>
          <w:b/>
          <w:bCs/>
          <w:color w:val="1B2A4A"/>
          <w:sz w:val="22"/>
          <w:szCs w:val="22"/>
        </w:rPr>
        <w:t xml:space="preserve">Matching as an information problem. </w:t>
      </w:r>
      <w:r>
        <w:rPr>
          <w:rFonts w:ascii="Georgia" w:cs="Georgia" w:eastAsia="Georgia" w:hAnsi="Georgia"/>
          <w:color w:val="3A3A3A"/>
          <w:sz w:val="22"/>
          <w:szCs w:val="22"/>
        </w:rPr>
        <w:t xml:space="preserve">With records on one side and evidenced role requirements on the other, matching becomes computable: not keyword overlap but capability fit, demonstrated against demanded. The long-term network effect of the entire strategy lives here.</w:t>
      </w:r>
    </w:p>
    <w:p>
      <w:pPr>
        <w:pStyle w:val="Heading2"/>
        <w:spacing w:after="160" w:before="280"/>
      </w:pPr>
      <w:r>
        <w:rPr>
          <w:rFonts w:ascii="Helvetica Neue" w:cs="Helvetica Neue" w:eastAsia="Helvetica Neue" w:hAnsi="Helvetica Neue"/>
          <w:b/>
          <w:bCs/>
          <w:color w:val="B4552D"/>
          <w:sz w:val="26"/>
          <w:szCs w:val="26"/>
        </w:rPr>
        <w:t xml:space="preserve">Stage 6 — Arrival (offer to first review)</w:t>
      </w:r>
    </w:p>
    <w:p>
      <w:pPr>
        <w:pStyle w:val="Heading3"/>
        <w:spacing w:after="120" w:before="220"/>
      </w:pPr>
      <w:r>
        <w:rPr>
          <w:rFonts w:ascii="Helvetica Neue" w:cs="Helvetica Neue" w:eastAsia="Helvetica Neue" w:hAnsi="Helvetica Neue"/>
          <w:b/>
          <w:bCs/>
          <w:color w:val="1B2A4A"/>
          <w:sz w:val="23"/>
          <w:szCs w:val="23"/>
        </w:rPr>
        <w:t xml:space="preserve">Today</w:t>
      </w:r>
    </w:p>
    <w:p>
      <w:pPr>
        <w:spacing w:after="180" w:line="300"/>
      </w:pPr>
      <w:r>
        <w:rPr>
          <w:rFonts w:ascii="Georgia" w:cs="Georgia" w:eastAsia="Georgia" w:hAnsi="Georgia"/>
          <w:color w:val="3A3A3A"/>
          <w:sz w:val="22"/>
          <w:szCs w:val="22"/>
        </w:rPr>
        <w:t xml:space="preserve">The evidence trail goes dark at the offer letter. Onboarding is generic; probation is vibes; the first performance review, six or twelve months in, is the employer's first structured look at how the person actually works — information that existed, in better form, in the hiring evidence nobody re-opens. Mis-hires are discovered late and expensively; good hires are developed blindly.</w:t>
      </w:r>
    </w:p>
    <w:p>
      <w:pPr>
        <w:pStyle w:val="Heading3"/>
        <w:spacing w:after="120" w:before="220"/>
      </w:pPr>
      <w:r>
        <w:rPr>
          <w:rFonts w:ascii="Helvetica Neue" w:cs="Helvetica Neue" w:eastAsia="Helvetica Neue" w:hAnsi="Helvetica Neue"/>
          <w:b/>
          <w:bCs/>
          <w:color w:val="1B2A4A"/>
          <w:sz w:val="23"/>
          <w:szCs w:val="23"/>
        </w:rPr>
        <w:t xml:space="preserve">Rebuilt</w:t>
      </w:r>
    </w:p>
    <w:p>
      <w:pPr>
        <w:pStyle w:val="ListParagraph"/>
        <w:numPr>
          <w:ilvl w:val="0"/>
          <w:numId w:val="2"/>
        </w:numPr>
        <w:spacing w:after="100" w:line="290"/>
      </w:pPr>
      <w:r>
        <w:rPr>
          <w:rFonts w:ascii="Georgia" w:cs="Georgia" w:eastAsia="Georgia" w:hAnsi="Georgia"/>
          <w:b/>
          <w:bCs/>
          <w:color w:val="1B2A4A"/>
          <w:sz w:val="22"/>
          <w:szCs w:val="22"/>
        </w:rPr>
        <w:t xml:space="preserve">Onboarding from evidence. </w:t>
      </w:r>
      <w:r>
        <w:rPr>
          <w:rFonts w:ascii="Georgia" w:cs="Georgia" w:eastAsia="Georgia" w:hAnsi="Georgia"/>
          <w:color w:val="3A3A3A"/>
          <w:sz w:val="22"/>
          <w:szCs w:val="22"/>
        </w:rPr>
        <w:t xml:space="preserve">The new hire's record — shared by them, scoped by them — tells the manager on day one how this person works best, where their verification habits are strong, where support will be needed. Weeks of mutual guessing are deleted.</w:t>
      </w:r>
    </w:p>
    <w:p>
      <w:pPr>
        <w:pStyle w:val="ListParagraph"/>
        <w:numPr>
          <w:ilvl w:val="0"/>
          <w:numId w:val="2"/>
        </w:numPr>
        <w:spacing w:after="100" w:line="290"/>
      </w:pPr>
      <w:r>
        <w:rPr>
          <w:rFonts w:ascii="Georgia" w:cs="Georgia" w:eastAsia="Georgia" w:hAnsi="Georgia"/>
          <w:b/>
          <w:bCs/>
          <w:color w:val="1B2A4A"/>
          <w:sz w:val="22"/>
          <w:szCs w:val="22"/>
        </w:rPr>
        <w:t xml:space="preserve">Probation with a baseline. </w:t>
      </w:r>
      <w:r>
        <w:rPr>
          <w:rFonts w:ascii="Georgia" w:cs="Georgia" w:eastAsia="Georgia" w:hAnsi="Georgia"/>
          <w:color w:val="3A3A3A"/>
          <w:sz w:val="22"/>
          <w:szCs w:val="22"/>
        </w:rPr>
        <w:t xml:space="preserve">The hiring evidence is the baseline; growth against it is observable. Probation decisions ground in the same class of evidence that made the hire — closing the loop that today never closes.</w:t>
      </w:r>
    </w:p>
    <w:p>
      <w:pPr>
        <w:pStyle w:val="ListParagraph"/>
        <w:numPr>
          <w:ilvl w:val="0"/>
          <w:numId w:val="2"/>
        </w:numPr>
        <w:spacing w:after="100" w:line="290"/>
      </w:pPr>
      <w:r>
        <w:rPr>
          <w:rFonts w:ascii="Georgia" w:cs="Georgia" w:eastAsia="Georgia" w:hAnsi="Georgia"/>
          <w:b/>
          <w:bCs/>
          <w:color w:val="1B2A4A"/>
          <w:sz w:val="22"/>
          <w:szCs w:val="22"/>
        </w:rPr>
        <w:t xml:space="preserve">The record continues. </w:t>
      </w:r>
      <w:r>
        <w:rPr>
          <w:rFonts w:ascii="Georgia" w:cs="Georgia" w:eastAsia="Georgia" w:hAnsi="Georgia"/>
          <w:color w:val="3A3A3A"/>
          <w:sz w:val="22"/>
          <w:szCs w:val="22"/>
        </w:rPr>
        <w:t xml:space="preserve">Development sessions at work extend the same record the person has owned since first year. The journey this dossier maps — study to work — reveals itself as the first arc of a lifelong capability infrastructure. That is the horizon; the student journey is the beachhead.</w:t>
      </w:r>
    </w:p>
    <w:p>
      <w:pPr>
        <w:pBdr>
          <w:left w:val="single" w:color="B4552D" w:sz="18" w:space="12"/>
        </w:pBdr>
        <w:spacing w:after="240" w:before="200" w:line="320"/>
        <w:ind w:left="720" w:right="720"/>
      </w:pPr>
      <w:r>
        <w:rPr>
          <w:rFonts w:ascii="Georgia" w:cs="Georgia" w:eastAsia="Georgia" w:hAnsi="Georgia"/>
          <w:i/>
          <w:iCs/>
          <w:color w:val="1B2A4A"/>
          <w:sz w:val="24"/>
          <w:szCs w:val="24"/>
        </w:rPr>
        <w:t xml:space="preserve">Every stage, one pattern: replace the performance of capability with the observation of it, and give the person the record.</w:t>
      </w:r>
    </w:p>
    <w:p>
      <w:pPr>
        <w:pStyle w:val="Heading1"/>
        <w:pageBreakBefore/>
        <w:spacing w:after="220" w:before="360"/>
      </w:pPr>
      <w:r>
        <w:rPr>
          <w:rFonts w:ascii="Helvetica Neue" w:cs="Helvetica Neue" w:eastAsia="Helvetica Neue" w:hAnsi="Helvetica Neue"/>
          <w:b/>
          <w:bCs/>
          <w:color w:val="1B2A4A"/>
          <w:sz w:val="34"/>
          <w:szCs w:val="34"/>
        </w:rPr>
        <w:t xml:space="preserve">Part IV — The Touchpoint Inventory</w:t>
      </w:r>
    </w:p>
    <w:p>
      <w:pPr>
        <w:spacing w:after="180" w:line="300"/>
      </w:pPr>
      <w:r>
        <w:rPr>
          <w:rFonts w:ascii="Georgia" w:cs="Georgia" w:eastAsia="Georgia" w:hAnsi="Georgia"/>
          <w:color w:val="3A3A3A"/>
          <w:sz w:val="22"/>
          <w:szCs w:val="22"/>
        </w:rPr>
        <w:t xml:space="preserve">The complete journey on one reference surface. Twenty-four touchpoints; for each, its failure mode in the proxy economy and its evidence-era replacement. Instruments named in the final column are specified in Part 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Touchpoint</w:t>
            </w:r>
          </w:p>
        </w:tc>
        <w:tc>
          <w:tcPr>
            <w:tcW w:type="dxa" w:w="33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Today (proxy economy)</w:t>
            </w:r>
          </w:p>
        </w:tc>
        <w:tc>
          <w:tcPr>
            <w:tcW w:type="dxa" w:w="33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Rebuilt (evidence era)</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Course discovery</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Marketing prospectuses; league-table proxies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Aggregated graduate capability data per course</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Application &amp; admissions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Predicted grades; AI-written personal statements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Optional short observed session; evidence-based entry</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Induction</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Identical onboarding for all; no knowledge of the student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Baseline capture session; adaptive first-year support</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Lectures &amp; content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Broadcast teaching, attendance as engagement proxy</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Unchanged in delivery; decoupled from assessment</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Assignments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Artefact submitted; AI use banned and undetected</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Observed working session; process is the submission</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Formative feedback</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Weeks-late marks on outputs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Hours-later machine-assisted feedback on process</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Mid-course exams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High-stakes recall snapshots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Frequent low-stakes observed micro-sessions</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Terminal exams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Closed-book recall; AI-detection theatre</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Open-tool observed sessions with integrity guarantees</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Group projects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One grade for four people; free-rider problem</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Individual contribution sessions within shared work</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Placements &amp; internships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Unverified line on a CV</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Captured work sessions entering the record</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Part-time work &amp; societies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Invisible to the credential</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Evidence-eligible via the same capture standard</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Personal tutoring</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Generic pastoral check-ins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Evidence-informed development conversations</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Careers service</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CV and cover-letter workshops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Evidence curation and record strategy</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Dissertation / capstone</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Big artefact, one line on the CV</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Longitudinal flagship evidence object</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Readiness assessment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Does not exist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Praxis capstone session; anchor of the market profile</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References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Legal-risk boilerplate</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Supervisor annotations on specific evidence</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Transcript &amp; graduation</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One classification; inflated, unverifiable</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Portable capability record; transcript ceremonial</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Job discovery</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Keyword job boards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Capability-fit matching, record to role</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Application</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AI-written CV and cover letter; spam equilibrium</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Scoped evidence share; claims replaced by inspection</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Screening</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ATS keyword filters; 11-second CV skims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Evidence inspection; comparable observed assessments</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Employer assessment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Take-homes completed by AI; unproctored tests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Praxis observed session (live today, unchanged)</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Interviews</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Hypothetical questions; confidence rewarded</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Replay-and-discussion of the candidate's real sessions</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Offer &amp; onboarding</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Evidence discarded at offer; generic induction</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Record-informed onboarding, scoped by the hire</w:t>
            </w:r>
          </w:p>
        </w:tc>
      </w:tr>
      <w:tr>
        <w:trPr>
          <w:tblHeader w:val="false"/>
        </w:trPr>
        <w:tc>
          <w:tcPr>
            <w:tcW w:type="dxa" w:w="22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Probation &amp; first review</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Vibes at six months; late mis-hire discovery</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Growth measured against hiring-evidence baseline</w:t>
            </w:r>
          </w:p>
        </w:tc>
      </w:tr>
    </w:tbl>
    <w:p>
      <w:pPr>
        <w:spacing w:after="180" w:line="300"/>
      </w:pPr>
      <w:r>
        <w:rPr>
          <w:rFonts w:ascii="Georgia" w:cs="Georgia" w:eastAsia="Georgia" w:hAnsi="Georgia"/>
          <w:color w:val="3A3A3A"/>
          <w:sz w:val="22"/>
          <w:szCs w:val="22"/>
        </w:rPr>
        <w:t xml:space="preserve"/>
      </w:r>
    </w:p>
    <w:p>
      <w:pPr>
        <w:spacing w:after="180" w:line="300"/>
      </w:pPr>
      <w:r>
        <w:rPr>
          <w:rFonts w:ascii="Georgia" w:cs="Georgia" w:eastAsia="Georgia" w:hAnsi="Georgia"/>
          <w:color w:val="3A3A3A"/>
          <w:sz w:val="22"/>
          <w:szCs w:val="22"/>
        </w:rPr>
        <w:t xml:space="preserve">Two observations on the inventory. First, </w:t>
      </w:r>
      <w:r>
        <w:rPr>
          <w:rFonts w:ascii="Georgia" w:cs="Georgia" w:eastAsia="Georgia" w:hAnsi="Georgia"/>
          <w:b/>
          <w:bCs/>
          <w:color w:val="1B2A4A"/>
          <w:sz w:val="22"/>
          <w:szCs w:val="22"/>
        </w:rPr>
        <w:t xml:space="preserve">no touchpoint requires new science</w:t>
      </w:r>
      <w:r>
        <w:rPr>
          <w:rFonts w:ascii="Georgia" w:cs="Georgia" w:eastAsia="Georgia" w:hAnsi="Georgia"/>
          <w:color w:val="3A3A3A"/>
          <w:sz w:val="22"/>
          <w:szCs w:val="22"/>
        </w:rPr>
        <w:t xml:space="preserve"> — every rebuilt cell uses the same instrument family: the consented observed session, the analysed process, the student-owned record. The revolution is architectural, not technological. Second, </w:t>
      </w:r>
      <w:r>
        <w:rPr>
          <w:rFonts w:ascii="Georgia" w:cs="Georgia" w:eastAsia="Georgia" w:hAnsi="Georgia"/>
          <w:b/>
          <w:bCs/>
          <w:color w:val="1B2A4A"/>
          <w:sz w:val="22"/>
          <w:szCs w:val="22"/>
        </w:rPr>
        <w:t xml:space="preserve">the touchpoints compound</w:t>
      </w:r>
      <w:r>
        <w:rPr>
          <w:rFonts w:ascii="Georgia" w:cs="Georgia" w:eastAsia="Georgia" w:hAnsi="Georgia"/>
          <w:color w:val="3A3A3A"/>
          <w:sz w:val="22"/>
          <w:szCs w:val="22"/>
        </w:rPr>
        <w:t xml:space="preserve">. Each one rebuilt makes the next cheaper (the capture standard is shared) and the record more valuable (evidence accretes). The proxy economy's touchpoints never compounded — a good exam result did nothing for the quality of the interview. This compounding is the moat.</w:t>
      </w:r>
    </w:p>
    <w:p>
      <w:pPr>
        <w:pStyle w:val="Heading1"/>
        <w:pageBreakBefore/>
        <w:spacing w:after="220" w:before="360"/>
      </w:pPr>
      <w:r>
        <w:rPr>
          <w:rFonts w:ascii="Helvetica Neue" w:cs="Helvetica Neue" w:eastAsia="Helvetica Neue" w:hAnsi="Helvetica Neue"/>
          <w:b/>
          <w:bCs/>
          <w:color w:val="1B2A4A"/>
          <w:sz w:val="34"/>
          <w:szCs w:val="34"/>
        </w:rPr>
        <w:t xml:space="preserve">Part V — The Machinery: From One Gate to the Whole Journey</w:t>
      </w:r>
    </w:p>
    <w:p>
      <w:pPr>
        <w:pStyle w:val="Heading2"/>
        <w:spacing w:after="160" w:before="280"/>
      </w:pPr>
      <w:r>
        <w:rPr>
          <w:rFonts w:ascii="Helvetica Neue" w:cs="Helvetica Neue" w:eastAsia="Helvetica Neue" w:hAnsi="Helvetica Neue"/>
          <w:b/>
          <w:bCs/>
          <w:color w:val="B4552D"/>
          <w:sz w:val="26"/>
          <w:szCs w:val="26"/>
        </w:rPr>
        <w:t xml:space="preserve">5.1  What is already built</w:t>
      </w:r>
    </w:p>
    <w:p>
      <w:pPr>
        <w:spacing w:after="180" w:line="300"/>
      </w:pPr>
      <w:r>
        <w:rPr>
          <w:rFonts w:ascii="Georgia" w:cs="Georgia" w:eastAsia="Georgia" w:hAnsi="Georgia"/>
          <w:color w:val="3A3A3A"/>
          <w:sz w:val="22"/>
          <w:szCs w:val="22"/>
        </w:rPr>
        <w:t xml:space="preserve">The Praxis reasoning assessment is a working, production instance of the evidence-era instrument at its hardest setting — high stakes, adversarial conditions, zero prior relationship with the user. Its mechanics are worth restating because each one generalises: </w:t>
      </w:r>
    </w:p>
    <w:p>
      <w:pPr>
        <w:pStyle w:val="ListParagraph"/>
        <w:numPr>
          <w:ilvl w:val="0"/>
          <w:numId w:val="2"/>
        </w:numPr>
        <w:spacing w:after="100" w:line="290"/>
      </w:pPr>
      <w:r>
        <w:rPr>
          <w:rFonts w:ascii="Georgia" w:cs="Georgia" w:eastAsia="Georgia" w:hAnsi="Georgia"/>
          <w:b/>
          <w:bCs/>
          <w:color w:val="1B2A4A"/>
          <w:sz w:val="22"/>
          <w:szCs w:val="22"/>
        </w:rPr>
        <w:t xml:space="preserve">Zero-friction entry. </w:t>
      </w:r>
      <w:r>
        <w:rPr>
          <w:rFonts w:ascii="Georgia" w:cs="Georgia" w:eastAsia="Georgia" w:hAnsi="Georgia"/>
          <w:color w:val="3A3A3A"/>
          <w:sz w:val="22"/>
          <w:szCs w:val="22"/>
        </w:rPr>
        <w:t xml:space="preserve">A single-use, device-bound code and a browser. No accounts, no installs, no scheduling. Candidates enter their details at the gate; identity attaches server-side.</w:t>
      </w:r>
    </w:p>
    <w:p>
      <w:pPr>
        <w:pStyle w:val="ListParagraph"/>
        <w:numPr>
          <w:ilvl w:val="0"/>
          <w:numId w:val="2"/>
        </w:numPr>
        <w:spacing w:after="100" w:line="290"/>
      </w:pPr>
      <w:r>
        <w:rPr>
          <w:rFonts w:ascii="Georgia" w:cs="Georgia" w:eastAsia="Georgia" w:hAnsi="Georgia"/>
          <w:b/>
          <w:bCs/>
          <w:color w:val="1B2A4A"/>
          <w:sz w:val="22"/>
          <w:szCs w:val="22"/>
        </w:rPr>
        <w:t xml:space="preserve">Trustworthy capture. </w:t>
      </w:r>
      <w:r>
        <w:rPr>
          <w:rFonts w:ascii="Georgia" w:cs="Georgia" w:eastAsia="Georgia" w:hAnsi="Georgia"/>
          <w:color w:val="3A3A3A"/>
          <w:sz w:val="22"/>
          <w:szCs w:val="22"/>
        </w:rPr>
        <w:t xml:space="preserve">Entire-screen sharing enforced by the engine — tab or window shares are rejected — so the evidence is complete or the session does not run. Capture begins before the assessment starts, so a declined share never burns a code.</w:t>
      </w:r>
    </w:p>
    <w:p>
      <w:pPr>
        <w:pStyle w:val="ListParagraph"/>
        <w:numPr>
          <w:ilvl w:val="0"/>
          <w:numId w:val="2"/>
        </w:numPr>
        <w:spacing w:after="100" w:line="290"/>
      </w:pPr>
      <w:r>
        <w:rPr>
          <w:rFonts w:ascii="Georgia" w:cs="Georgia" w:eastAsia="Georgia" w:hAnsi="Georgia"/>
          <w:b/>
          <w:bCs/>
          <w:color w:val="1B2A4A"/>
          <w:sz w:val="22"/>
          <w:szCs w:val="22"/>
        </w:rPr>
        <w:t xml:space="preserve">Fair integrity guarantees. </w:t>
      </w:r>
      <w:r>
        <w:rPr>
          <w:rFonts w:ascii="Georgia" w:cs="Georgia" w:eastAsia="Georgia" w:hAnsi="Georgia"/>
          <w:color w:val="3A3A3A"/>
          <w:sz w:val="22"/>
          <w:szCs w:val="22"/>
        </w:rPr>
        <w:t xml:space="preserve">Interruptions pause the clock rather than punishing the candidate; a bounded cumulative pause budget prevents abuse; the fifteen-minute working window is protected for everyone equally.</w:t>
      </w:r>
    </w:p>
    <w:p>
      <w:pPr>
        <w:pStyle w:val="ListParagraph"/>
        <w:numPr>
          <w:ilvl w:val="0"/>
          <w:numId w:val="2"/>
        </w:numPr>
        <w:spacing w:after="100" w:line="290"/>
      </w:pPr>
      <w:r>
        <w:rPr>
          <w:rFonts w:ascii="Georgia" w:cs="Georgia" w:eastAsia="Georgia" w:hAnsi="Georgia"/>
          <w:b/>
          <w:bCs/>
          <w:color w:val="1B2A4A"/>
          <w:sz w:val="22"/>
          <w:szCs w:val="22"/>
        </w:rPr>
        <w:t xml:space="preserve">A complete evidence object. </w:t>
      </w:r>
      <w:r>
        <w:rPr>
          <w:rFonts w:ascii="Georgia" w:cs="Georgia" w:eastAsia="Georgia" w:hAnsi="Georgia"/>
          <w:color w:val="3A3A3A"/>
          <w:sz w:val="22"/>
          <w:szCs w:val="22"/>
        </w:rPr>
        <w:t xml:space="preserve">One-frame-per-second imagery, a structured event log, and exact working-time semantics — analysable by machine, reviewable by a human, and formatted to feed the ReqOps processing pipeline that converts raw capture into described activities.</w:t>
      </w:r>
    </w:p>
    <w:p>
      <w:pPr>
        <w:pStyle w:val="Heading2"/>
        <w:spacing w:after="160" w:before="280"/>
      </w:pPr>
      <w:r>
        <w:rPr>
          <w:rFonts w:ascii="Helvetica Neue" w:cs="Helvetica Neue" w:eastAsia="Helvetica Neue" w:hAnsi="Helvetica Neue"/>
          <w:b/>
          <w:bCs/>
          <w:color w:val="B4552D"/>
          <w:sz w:val="26"/>
          <w:szCs w:val="26"/>
        </w:rPr>
        <w:t xml:space="preserve">5.2  The generalisation: three layers</w:t>
      </w:r>
    </w:p>
    <w:p>
      <w:pPr>
        <w:spacing w:after="180" w:line="300"/>
      </w:pPr>
      <w:r>
        <w:rPr>
          <w:rFonts w:ascii="Georgia" w:cs="Georgia" w:eastAsia="Georgia" w:hAnsi="Georgia"/>
          <w:b/>
          <w:bCs/>
          <w:color w:val="1B2A4A"/>
          <w:sz w:val="22"/>
          <w:szCs w:val="22"/>
        </w:rPr>
        <w:t xml:space="preserve">Layer 1 — Capture. </w:t>
      </w:r>
      <w:r>
        <w:rPr>
          <w:rFonts w:ascii="Georgia" w:cs="Georgia" w:eastAsia="Georgia" w:hAnsi="Georgia"/>
          <w:color w:val="3A3A3A"/>
          <w:sz w:val="22"/>
          <w:szCs w:val="22"/>
        </w:rPr>
        <w:t xml:space="preserve">The session engine, already framework-agnostic by design, becomes the universal capture standard across every touchpoint. Contexts differ only in parameters: stakes (a first-year micro-session needs lighter integrity guarantees than a hiring gate), duration (fifteen minutes to multi-session longitudinal capture), and initiator (student, institution, or employer — always with student consent). One engine, many configurations; the trust properties are inherited, not re-implemented.</w:t>
      </w:r>
    </w:p>
    <w:p>
      <w:pPr>
        <w:spacing w:after="180" w:line="300"/>
      </w:pPr>
      <w:r>
        <w:rPr>
          <w:rFonts w:ascii="Georgia" w:cs="Georgia" w:eastAsia="Georgia" w:hAnsi="Georgia"/>
          <w:b/>
          <w:bCs/>
          <w:color w:val="1B2A4A"/>
          <w:sz w:val="22"/>
          <w:szCs w:val="22"/>
        </w:rPr>
        <w:t xml:space="preserve">Layer 2 — Analysis. </w:t>
      </w:r>
      <w:r>
        <w:rPr>
          <w:rFonts w:ascii="Georgia" w:cs="Georgia" w:eastAsia="Georgia" w:hAnsi="Georgia"/>
          <w:color w:val="3A3A3A"/>
          <w:sz w:val="22"/>
          <w:szCs w:val="22"/>
        </w:rPr>
        <w:t xml:space="preserve">Captured sessions flow through the processing pipeline into described activities: what was attempted, what tools were used and how, where time went, what was verified and what was accepted on faith. On top of activity description sits capability interpretation — rubric-based, published, auditable — turning sessions into comparable signals: problem framing, decomposition, tool orchestration, verification discipline, recovery behaviour, time judgment. Machine analysis proposes; on any consequential decision, humans dispose.</w:t>
      </w:r>
    </w:p>
    <w:p>
      <w:pPr>
        <w:spacing w:after="180" w:line="300"/>
      </w:pPr>
      <w:r>
        <w:rPr>
          <w:rFonts w:ascii="Georgia" w:cs="Georgia" w:eastAsia="Georgia" w:hAnsi="Georgia"/>
          <w:b/>
          <w:bCs/>
          <w:color w:val="1B2A4A"/>
          <w:sz w:val="22"/>
          <w:szCs w:val="22"/>
        </w:rPr>
        <w:t xml:space="preserve">Layer 3 — The record. </w:t>
      </w:r>
      <w:r>
        <w:rPr>
          <w:rFonts w:ascii="Georgia" w:cs="Georgia" w:eastAsia="Georgia" w:hAnsi="Georgia"/>
          <w:color w:val="3A3A3A"/>
          <w:sz w:val="22"/>
          <w:szCs w:val="22"/>
        </w:rPr>
        <w:t xml:space="preserve">Every analysed session accretes to the student's capability record: their asset, their keys, their sharing decisions. The record supports scoped views (an employer sees relevant evidence, not a life history), verified summaries (claims that link to their proof), and longitudinal trajectories (growth over years — the signal no snapshot can fake). The record is the product the market ultimately buys access to, always and only via the student's consent.</w:t>
      </w:r>
    </w:p>
    <w:p>
      <w:pPr>
        <w:pStyle w:val="Heading2"/>
        <w:spacing w:after="160" w:before="280"/>
      </w:pPr>
      <w:r>
        <w:rPr>
          <w:rFonts w:ascii="Helvetica Neue" w:cs="Helvetica Neue" w:eastAsia="Helvetica Neue" w:hAnsi="Helvetica Neue"/>
          <w:b/>
          <w:bCs/>
          <w:color w:val="B4552D"/>
          <w:sz w:val="26"/>
          <w:szCs w:val="26"/>
        </w:rPr>
        <w:t xml:space="preserve">5.3  Build order</w:t>
      </w:r>
    </w:p>
    <w:p>
      <w:pPr>
        <w:spacing w:after="180" w:line="300"/>
      </w:pPr>
      <w:r>
        <w:rPr>
          <w:rFonts w:ascii="Georgia" w:cs="Georgia" w:eastAsia="Georgia" w:hAnsi="Georgia"/>
          <w:color w:val="3A3A3A"/>
          <w:sz w:val="22"/>
          <w:szCs w:val="22"/>
        </w:rPr>
        <w:t xml:space="preserve">The architecture implies its own sequencing. Capture is built and hardened (done). Analysis is next — today the pipeline from frames to described activities is manual; industrialising it is the current engineering frontier and the highest-leverage investment in this dossier. The record comes third, and deliberately so: a record is only as credible as the analysis beneath it and only as rich as the capture feeding it. Companies that start with the credential wallet and work backwards — several have tried — fail because they have beautiful containers for evidence nobody trusts. We are building in the only order that compounds.</w:t>
      </w:r>
    </w:p>
    <w:p>
      <w:pPr>
        <w:pStyle w:val="Heading2"/>
        <w:spacing w:after="160" w:before="280"/>
      </w:pPr>
      <w:r>
        <w:rPr>
          <w:rFonts w:ascii="Helvetica Neue" w:cs="Helvetica Neue" w:eastAsia="Helvetica Neue" w:hAnsi="Helvetica Neue"/>
          <w:b/>
          <w:bCs/>
          <w:color w:val="B4552D"/>
          <w:sz w:val="26"/>
          <w:szCs w:val="26"/>
        </w:rPr>
        <w:t xml:space="preserve">5.4  What we deliberately do not build</w:t>
      </w:r>
    </w:p>
    <w:p>
      <w:pPr>
        <w:pStyle w:val="ListParagraph"/>
        <w:numPr>
          <w:ilvl w:val="0"/>
          <w:numId w:val="2"/>
        </w:numPr>
        <w:spacing w:after="100" w:line="290"/>
      </w:pPr>
      <w:r>
        <w:rPr>
          <w:rFonts w:ascii="Georgia" w:cs="Georgia" w:eastAsia="Georgia" w:hAnsi="Georgia"/>
          <w:color w:val="3A3A3A"/>
          <w:sz w:val="22"/>
          <w:szCs w:val="22"/>
        </w:rPr>
        <w:t xml:space="preserve">Learning content or courseware — we measure capability; we do not presume to teach it. Institutions remain the teachers.</w:t>
      </w:r>
    </w:p>
    <w:p>
      <w:pPr>
        <w:pStyle w:val="ListParagraph"/>
        <w:numPr>
          <w:ilvl w:val="0"/>
          <w:numId w:val="2"/>
        </w:numPr>
        <w:spacing w:after="100" w:line="290"/>
      </w:pPr>
      <w:r>
        <w:rPr>
          <w:rFonts w:ascii="Georgia" w:cs="Georgia" w:eastAsia="Georgia" w:hAnsi="Georgia"/>
          <w:color w:val="3A3A3A"/>
          <w:sz w:val="22"/>
          <w:szCs w:val="22"/>
        </w:rPr>
        <w:t xml:space="preserve">Ambient monitoring agents — nothing runs outside a consented session. The engine's session-scoped design is a constitutional constraint, not a version-one limitation.</w:t>
      </w:r>
    </w:p>
    <w:p>
      <w:pPr>
        <w:pStyle w:val="ListParagraph"/>
        <w:numPr>
          <w:ilvl w:val="0"/>
          <w:numId w:val="2"/>
        </w:numPr>
        <w:spacing w:after="100" w:line="290"/>
      </w:pPr>
      <w:r>
        <w:rPr>
          <w:rFonts w:ascii="Georgia" w:cs="Georgia" w:eastAsia="Georgia" w:hAnsi="Georgia"/>
          <w:color w:val="3A3A3A"/>
          <w:sz w:val="22"/>
          <w:szCs w:val="22"/>
        </w:rPr>
        <w:t xml:space="preserve">A social network — the record is infrastructure, not a feed. Distribution rides on institutions and employers, not engagement mechanics.</w:t>
      </w:r>
    </w:p>
    <w:p>
      <w:pPr>
        <w:pStyle w:val="ListParagraph"/>
        <w:numPr>
          <w:ilvl w:val="0"/>
          <w:numId w:val="2"/>
        </w:numPr>
        <w:spacing w:after="100" w:line="290"/>
      </w:pPr>
      <w:r>
        <w:rPr>
          <w:rFonts w:ascii="Georgia" w:cs="Georgia" w:eastAsia="Georgia" w:hAnsi="Georgia"/>
          <w:color w:val="3A3A3A"/>
          <w:sz w:val="22"/>
          <w:szCs w:val="22"/>
        </w:rPr>
        <w:t xml:space="preserve">AI-detection tooling — the entire thesis is that this arms race is unwinnable and unnecessary.</w:t>
      </w:r>
    </w:p>
    <w:p>
      <w:pPr>
        <w:pStyle w:val="Heading1"/>
        <w:pageBreakBefore/>
        <w:spacing w:after="220" w:before="360"/>
      </w:pPr>
      <w:r>
        <w:rPr>
          <w:rFonts w:ascii="Helvetica Neue" w:cs="Helvetica Neue" w:eastAsia="Helvetica Neue" w:hAnsi="Helvetica Neue"/>
          <w:b/>
          <w:bCs/>
          <w:color w:val="1B2A4A"/>
          <w:sz w:val="34"/>
          <w:szCs w:val="34"/>
        </w:rPr>
        <w:t xml:space="preserve">Part VI — New Ways of Working: What Changes for Whom</w:t>
      </w:r>
    </w:p>
    <w:p>
      <w:pPr>
        <w:pStyle w:val="Heading2"/>
        <w:spacing w:after="160" w:before="280"/>
      </w:pPr>
      <w:r>
        <w:rPr>
          <w:rFonts w:ascii="Helvetica Neue" w:cs="Helvetica Neue" w:eastAsia="Helvetica Neue" w:hAnsi="Helvetica Neue"/>
          <w:b/>
          <w:bCs/>
          <w:color w:val="B4552D"/>
          <w:sz w:val="26"/>
          <w:szCs w:val="26"/>
        </w:rPr>
        <w:t xml:space="preserve">6.1  For students</w:t>
      </w:r>
    </w:p>
    <w:p>
      <w:pPr>
        <w:spacing w:after="180" w:line="300"/>
      </w:pPr>
      <w:r>
        <w:rPr>
          <w:rFonts w:ascii="Georgia" w:cs="Georgia" w:eastAsia="Georgia" w:hAnsi="Georgia"/>
          <w:color w:val="3A3A3A"/>
          <w:sz w:val="22"/>
          <w:szCs w:val="22"/>
        </w:rPr>
        <w:t xml:space="preserve">The deal changes from perform-and-hope to work-and-own. Students stop optimising for examiners and start accumulating an asset. The anxiety economics invert: because evidence is continuous and low-stakes, no single bad day defines them; because the record is theirs, effort anywhere — placements, side projects, part-time work — compounds into market value. The skills worth practising become the skills the record actually surfaces: framing, judgment, tool mastery, verification. Studying starts to feel like working, which is precisely the preparation the old journey never provided.</w:t>
      </w:r>
    </w:p>
    <w:p>
      <w:pPr>
        <w:pStyle w:val="Heading2"/>
        <w:spacing w:after="160" w:before="280"/>
      </w:pPr>
      <w:r>
        <w:rPr>
          <w:rFonts w:ascii="Helvetica Neue" w:cs="Helvetica Neue" w:eastAsia="Helvetica Neue" w:hAnsi="Helvetica Neue"/>
          <w:b/>
          <w:bCs/>
          <w:color w:val="B4552D"/>
          <w:sz w:val="26"/>
          <w:szCs w:val="26"/>
        </w:rPr>
        <w:t xml:space="preserve">6.2  For universities</w:t>
      </w:r>
    </w:p>
    <w:p>
      <w:pPr>
        <w:spacing w:after="180" w:line="300"/>
      </w:pPr>
      <w:r>
        <w:rPr>
          <w:rFonts w:ascii="Georgia" w:cs="Georgia" w:eastAsia="Georgia" w:hAnsi="Georgia"/>
          <w:color w:val="3A3A3A"/>
          <w:sz w:val="22"/>
          <w:szCs w:val="22"/>
        </w:rPr>
        <w:t xml:space="preserve">Universities are relieved of a war they are losing — assessment integrity against generative AI — and repositioned around what they are actually for: teaching, community, and the development the record makes visible. Their credential gains, rather than loses, value: a degree backed by three years of verifiable capability evidence is a stronger product than an inflated classification, and courses that demonstrably develop capability can prove it for the first time. The institutional risk is not adoption of this system; it is the continued erosion of a credential the market has already begun to discount.</w:t>
      </w:r>
    </w:p>
    <w:p>
      <w:pPr>
        <w:pStyle w:val="Heading2"/>
        <w:spacing w:after="160" w:before="280"/>
      </w:pPr>
      <w:r>
        <w:rPr>
          <w:rFonts w:ascii="Helvetica Neue" w:cs="Helvetica Neue" w:eastAsia="Helvetica Neue" w:hAnsi="Helvetica Neue"/>
          <w:b/>
          <w:bCs/>
          <w:color w:val="B4552D"/>
          <w:sz w:val="26"/>
          <w:szCs w:val="26"/>
        </w:rPr>
        <w:t xml:space="preserve">6.3  For employers</w:t>
      </w:r>
    </w:p>
    <w:p>
      <w:pPr>
        <w:spacing w:after="180" w:line="300"/>
      </w:pPr>
      <w:r>
        <w:rPr>
          <w:rFonts w:ascii="Georgia" w:cs="Georgia" w:eastAsia="Georgia" w:hAnsi="Georgia"/>
          <w:color w:val="3A3A3A"/>
          <w:sz w:val="22"/>
          <w:szCs w:val="22"/>
        </w:rPr>
        <w:t xml:space="preserve">Hiring converts from a guessing game with a 30–50% miss rate into an inspection problem. Screening costs collapse because evidence deduplicates the spam equilibrium. Interview hours shift from performance evaluation to evidence discussion. The quiet revolution is post-hire: the evidence that justified the hire becomes the baseline for developing the person — hiring and management stop being separate epistemologies. Employers also inherit an obligation: role requirements must themselves become evidenced ('this job needs these demonstrated capabilities'), which will expose how few organisations currently know what their own jobs require.</w:t>
      </w:r>
    </w:p>
    <w:p>
      <w:pPr>
        <w:pStyle w:val="Heading2"/>
        <w:spacing w:after="160" w:before="280"/>
      </w:pPr>
      <w:r>
        <w:rPr>
          <w:rFonts w:ascii="Helvetica Neue" w:cs="Helvetica Neue" w:eastAsia="Helvetica Neue" w:hAnsi="Helvetica Neue"/>
          <w:b/>
          <w:bCs/>
          <w:color w:val="B4552D"/>
          <w:sz w:val="26"/>
          <w:szCs w:val="26"/>
        </w:rPr>
        <w:t xml:space="preserve">6.4  For the market as a whole</w:t>
      </w:r>
    </w:p>
    <w:p>
      <w:pPr>
        <w:spacing w:after="180" w:line="300"/>
      </w:pPr>
      <w:r>
        <w:rPr>
          <w:rFonts w:ascii="Georgia" w:cs="Georgia" w:eastAsia="Georgia" w:hAnsi="Georgia"/>
          <w:color w:val="3A3A3A"/>
          <w:sz w:val="22"/>
          <w:szCs w:val="22"/>
        </w:rPr>
        <w:t xml:space="preserve">Labour-market matching is a trillion-unit information problem currently solved with keyword search over fiction. Every rebuilt touchpoint adds verified information to that market. The endgame is liquidity: capability, demonstrated and portable, meeting demand, specified and honest, with radically less friction, noise, and bias than the proxy economy permits. Fairness improves not by exhortation but by mechanism — evidence does not know where you went to school.</w:t>
      </w:r>
    </w:p>
    <w:p>
      <w:pPr>
        <w:pStyle w:val="Heading2"/>
        <w:spacing w:after="160" w:before="280"/>
      </w:pPr>
      <w:r>
        <w:rPr>
          <w:rFonts w:ascii="Helvetica Neue" w:cs="Helvetica Neue" w:eastAsia="Helvetica Neue" w:hAnsi="Helvetica Neue"/>
          <w:b/>
          <w:bCs/>
          <w:color w:val="B4552D"/>
          <w:sz w:val="26"/>
          <w:szCs w:val="26"/>
        </w:rPr>
        <w:t xml:space="preserve">6.5  New roles this creates</w:t>
      </w:r>
    </w:p>
    <w:p>
      <w:pPr>
        <w:pStyle w:val="ListParagraph"/>
        <w:numPr>
          <w:ilvl w:val="0"/>
          <w:numId w:val="2"/>
        </w:numPr>
        <w:spacing w:after="100" w:line="290"/>
      </w:pPr>
      <w:r>
        <w:rPr>
          <w:rFonts w:ascii="Georgia" w:cs="Georgia" w:eastAsia="Georgia" w:hAnsi="Georgia"/>
          <w:b/>
          <w:bCs/>
          <w:color w:val="1B2A4A"/>
          <w:sz w:val="22"/>
          <w:szCs w:val="22"/>
        </w:rPr>
        <w:t xml:space="preserve">Evidence curators</w:t>
      </w:r>
      <w:r>
        <w:rPr>
          <w:rFonts w:ascii="Georgia" w:cs="Georgia" w:eastAsia="Georgia" w:hAnsi="Georgia"/>
          <w:color w:val="3A3A3A"/>
          <w:sz w:val="22"/>
          <w:szCs w:val="22"/>
        </w:rPr>
        <w:t xml:space="preserve"> (evolved careers advisers) — helping students shape records into market strategy.</w:t>
      </w:r>
    </w:p>
    <w:p>
      <w:pPr>
        <w:pStyle w:val="ListParagraph"/>
        <w:numPr>
          <w:ilvl w:val="0"/>
          <w:numId w:val="2"/>
        </w:numPr>
        <w:spacing w:after="100" w:line="290"/>
      </w:pPr>
      <w:r>
        <w:rPr>
          <w:rFonts w:ascii="Georgia" w:cs="Georgia" w:eastAsia="Georgia" w:hAnsi="Georgia"/>
          <w:b/>
          <w:bCs/>
          <w:color w:val="1B2A4A"/>
          <w:sz w:val="22"/>
          <w:szCs w:val="22"/>
        </w:rPr>
        <w:t xml:space="preserve">Session designers</w:t>
      </w:r>
      <w:r>
        <w:rPr>
          <w:rFonts w:ascii="Georgia" w:cs="Georgia" w:eastAsia="Georgia" w:hAnsi="Georgia"/>
          <w:color w:val="3A3A3A"/>
          <w:sz w:val="22"/>
          <w:szCs w:val="22"/>
        </w:rPr>
        <w:t xml:space="preserve"> (evolved assessment designers) — crafting observed tasks that elicit the capabilities that matter.</w:t>
      </w:r>
    </w:p>
    <w:p>
      <w:pPr>
        <w:pStyle w:val="ListParagraph"/>
        <w:numPr>
          <w:ilvl w:val="0"/>
          <w:numId w:val="2"/>
        </w:numPr>
        <w:spacing w:after="100" w:line="290"/>
      </w:pPr>
      <w:r>
        <w:rPr>
          <w:rFonts w:ascii="Georgia" w:cs="Georgia" w:eastAsia="Georgia" w:hAnsi="Georgia"/>
          <w:b/>
          <w:bCs/>
          <w:color w:val="1B2A4A"/>
          <w:sz w:val="22"/>
          <w:szCs w:val="22"/>
        </w:rPr>
        <w:t xml:space="preserve">Capability auditors</w:t>
      </w:r>
      <w:r>
        <w:rPr>
          <w:rFonts w:ascii="Georgia" w:cs="Georgia" w:eastAsia="Georgia" w:hAnsi="Georgia"/>
          <w:color w:val="3A3A3A"/>
          <w:sz w:val="22"/>
          <w:szCs w:val="22"/>
        </w:rPr>
        <w:t xml:space="preserve"> — independent reviewers of rubrics, models, and demographic fairness, publishing what they find.</w:t>
      </w:r>
    </w:p>
    <w:p>
      <w:pPr>
        <w:pStyle w:val="ListParagraph"/>
        <w:numPr>
          <w:ilvl w:val="0"/>
          <w:numId w:val="2"/>
        </w:numPr>
        <w:spacing w:after="100" w:line="290"/>
      </w:pPr>
      <w:r>
        <w:rPr>
          <w:rFonts w:ascii="Georgia" w:cs="Georgia" w:eastAsia="Georgia" w:hAnsi="Georgia"/>
          <w:b/>
          <w:bCs/>
          <w:color w:val="1B2A4A"/>
          <w:sz w:val="22"/>
          <w:szCs w:val="22"/>
        </w:rPr>
        <w:t xml:space="preserve">Evidence-literate hiring managers</w:t>
      </w:r>
      <w:r>
        <w:rPr>
          <w:rFonts w:ascii="Georgia" w:cs="Georgia" w:eastAsia="Georgia" w:hAnsi="Georgia"/>
          <w:color w:val="3A3A3A"/>
          <w:sz w:val="22"/>
          <w:szCs w:val="22"/>
        </w:rPr>
        <w:t xml:space="preserve"> — interviewers retrained from interrogation to informed discussion of real work.</w:t>
      </w:r>
    </w:p>
    <w:p>
      <w:pPr>
        <w:pStyle w:val="Heading1"/>
        <w:pageBreakBefore/>
        <w:spacing w:after="220" w:before="360"/>
      </w:pPr>
      <w:r>
        <w:rPr>
          <w:rFonts w:ascii="Helvetica Neue" w:cs="Helvetica Neue" w:eastAsia="Helvetica Neue" w:hAnsi="Helvetica Neue"/>
          <w:b/>
          <w:bCs/>
          <w:color w:val="1B2A4A"/>
          <w:sz w:val="34"/>
          <w:szCs w:val="34"/>
        </w:rPr>
        <w:t xml:space="preserve">Part VII — Objections, Taken Seriously</w:t>
      </w:r>
    </w:p>
    <w:p>
      <w:pPr>
        <w:spacing w:after="180" w:line="300"/>
      </w:pPr>
      <w:r>
        <w:rPr>
          <w:rFonts w:ascii="Georgia" w:cs="Georgia" w:eastAsia="Georgia" w:hAnsi="Georgia"/>
          <w:color w:val="3A3A3A"/>
          <w:sz w:val="22"/>
          <w:szCs w:val="22"/>
        </w:rPr>
        <w:t xml:space="preserve">A thesis this ambitious earns scepticism. These are the six strongest objections we have encountered or can construct, stated at full strength.</w:t>
      </w:r>
    </w:p>
    <w:p>
      <w:pPr>
        <w:pStyle w:val="Heading2"/>
        <w:spacing w:after="160" w:before="280"/>
      </w:pPr>
      <w:r>
        <w:rPr>
          <w:rFonts w:ascii="Helvetica Neue" w:cs="Helvetica Neue" w:eastAsia="Helvetica Neue" w:hAnsi="Helvetica Neue"/>
          <w:b/>
          <w:bCs/>
          <w:color w:val="B4552D"/>
          <w:sz w:val="26"/>
          <w:szCs w:val="26"/>
        </w:rPr>
        <w:t xml:space="preserve">7.1  “This is surveillance with better branding.”</w:t>
      </w:r>
    </w:p>
    <w:p>
      <w:pPr>
        <w:spacing w:after="180" w:line="300"/>
      </w:pPr>
      <w:r>
        <w:rPr>
          <w:rFonts w:ascii="Georgia" w:cs="Georgia" w:eastAsia="Georgia" w:hAnsi="Georgia"/>
          <w:color w:val="3A3A3A"/>
          <w:sz w:val="22"/>
          <w:szCs w:val="22"/>
        </w:rPr>
        <w:t xml:space="preserve">The strongest objection, and the one the architecture is built around. The distinctions that matter: capture is session-scoped (never ambient), student-initiated or student-consented (never imposed silently), fully transparent (the student sees everything the record holds), and student-owned (shared by scoped view, exportable, destroyable). The comparison class is not 'no observation' — students are already observed constantly by proctoring spyware, ATS filters, and social media screening they neither consent to nor benefit from. The choice is between covert observation that serves institutions and consented observation that serves the person. We are building the second, and the constitutional constraints in Part V are the guarantee.</w:t>
      </w:r>
    </w:p>
    <w:p>
      <w:pPr>
        <w:pStyle w:val="Heading2"/>
        <w:spacing w:after="160" w:before="280"/>
      </w:pPr>
      <w:r>
        <w:rPr>
          <w:rFonts w:ascii="Helvetica Neue" w:cs="Helvetica Neue" w:eastAsia="Helvetica Neue" w:hAnsi="Helvetica Neue"/>
          <w:b/>
          <w:bCs/>
          <w:color w:val="B4552D"/>
          <w:sz w:val="26"/>
          <w:szCs w:val="26"/>
        </w:rPr>
        <w:t xml:space="preserve">7.2  “Process can be gamed too.”</w:t>
      </w:r>
    </w:p>
    <w:p>
      <w:pPr>
        <w:spacing w:after="180" w:line="300"/>
      </w:pPr>
      <w:r>
        <w:rPr>
          <w:rFonts w:ascii="Georgia" w:cs="Georgia" w:eastAsia="Georgia" w:hAnsi="Georgia"/>
          <w:color w:val="3A3A3A"/>
          <w:sz w:val="22"/>
          <w:szCs w:val="22"/>
        </w:rPr>
        <w:t xml:space="preserve">Partially true, and the honest answer has three parts. First, gaming process is categorically harder than gaming output: you can paste an essay; you cannot paste three years of working behaviour. Second, continuous low-stakes capture makes gaming irrational — sustaining a performance across a hundred ordinary sessions is indistinguishable from having the capability. Third, where high-stakes single sessions remain (hiring gates), the integrity engineering already in production — entire-screen enforcement, device binding, pause budgets — addresses the adversarial case. We do not claim un-gameability; we claim a step-change in the cost of gaming, which is all any integrity system has ever achieved.</w:t>
      </w:r>
    </w:p>
    <w:p>
      <w:pPr>
        <w:pStyle w:val="Heading2"/>
        <w:spacing w:after="160" w:before="280"/>
      </w:pPr>
      <w:r>
        <w:rPr>
          <w:rFonts w:ascii="Helvetica Neue" w:cs="Helvetica Neue" w:eastAsia="Helvetica Neue" w:hAnsi="Helvetica Neue"/>
          <w:b/>
          <w:bCs/>
          <w:color w:val="B4552D"/>
          <w:sz w:val="26"/>
          <w:szCs w:val="26"/>
        </w:rPr>
        <w:t xml:space="preserve">7.3  “Being watched changes how people work.”</w:t>
      </w:r>
    </w:p>
    <w:p>
      <w:pPr>
        <w:spacing w:after="180" w:line="300"/>
      </w:pPr>
      <w:r>
        <w:rPr>
          <w:rFonts w:ascii="Georgia" w:cs="Georgia" w:eastAsia="Georgia" w:hAnsi="Georgia"/>
          <w:color w:val="3A3A3A"/>
          <w:sz w:val="22"/>
          <w:szCs w:val="22"/>
        </w:rPr>
        <w:t xml:space="preserve">It does — the observer effect is real and the literature on evaluation anxiety is clear. Mitigations: continuity (the hundredth session is mundane in a way the first is not; familiarity is the cure for performance), stakes distribution (most sessions matter little individually), and framing (the record serves the student, which changes the psychology from exam to gym). Residual effect remains, and we accept a trade: modest observer effect on process evidence versus total fabrication risk on output claims. The market has already voted on which it prefers to underwrite.</w:t>
      </w:r>
    </w:p>
    <w:p>
      <w:pPr>
        <w:pStyle w:val="Heading2"/>
        <w:spacing w:after="160" w:before="280"/>
      </w:pPr>
      <w:r>
        <w:rPr>
          <w:rFonts w:ascii="Helvetica Neue" w:cs="Helvetica Neue" w:eastAsia="Helvetica Neue" w:hAnsi="Helvetica Neue"/>
          <w:b/>
          <w:bCs/>
          <w:color w:val="B4552D"/>
          <w:sz w:val="26"/>
          <w:szCs w:val="26"/>
        </w:rPr>
        <w:t xml:space="preserve">7.4  “This entrenches inequality — polished capture setups, quiet rooms, coaching.”</w:t>
      </w:r>
    </w:p>
    <w:p>
      <w:pPr>
        <w:spacing w:after="180" w:line="300"/>
      </w:pPr>
      <w:r>
        <w:rPr>
          <w:rFonts w:ascii="Georgia" w:cs="Georgia" w:eastAsia="Georgia" w:hAnsi="Georgia"/>
          <w:color w:val="3A3A3A"/>
          <w:sz w:val="22"/>
          <w:szCs w:val="22"/>
        </w:rPr>
        <w:t xml:space="preserve">The inequality objection cuts against the proxy economy far harder than against evidence. Today's pipeline is a social-capital tournament: coached personal statements, referred internships, interview training, and name-based screening bias. Evidence of process is the great leveller available to us: it does not know your accent, school, or surname, and a fifteen-minute browser session demands less infrastructure than a proctored exam or an unpaid internship. Real risks remain — device quality, quiet space, disability accommodation — and they are engineering requirements (bandwidth-tolerant capture, flexible scheduling, published accommodation protocols, demographic audit of every rubric), not reasons to preserve a worse system.</w:t>
      </w:r>
    </w:p>
    <w:p>
      <w:pPr>
        <w:pStyle w:val="Heading2"/>
        <w:spacing w:after="160" w:before="280"/>
      </w:pPr>
      <w:r>
        <w:rPr>
          <w:rFonts w:ascii="Helvetica Neue" w:cs="Helvetica Neue" w:eastAsia="Helvetica Neue" w:hAnsi="Helvetica Neue"/>
          <w:b/>
          <w:bCs/>
          <w:color w:val="B4552D"/>
          <w:sz w:val="26"/>
          <w:szCs w:val="26"/>
        </w:rPr>
        <w:t xml:space="preserve">7.5  “Institutions will never adopt this.”</w:t>
      </w:r>
    </w:p>
    <w:p>
      <w:pPr>
        <w:spacing w:after="180" w:line="300"/>
      </w:pPr>
      <w:r>
        <w:rPr>
          <w:rFonts w:ascii="Georgia" w:cs="Georgia" w:eastAsia="Georgia" w:hAnsi="Georgia"/>
          <w:color w:val="3A3A3A"/>
          <w:sz w:val="22"/>
          <w:szCs w:val="22"/>
        </w:rPr>
        <w:t xml:space="preserve">Institutions never adopt architectures; they adopt solutions to bleeding problems, and the architecture arrives inside them. Universities are bleeding on assessment integrity — the observed assignment is a painkiller they are actively searching for. Employers are bleeding on application floods — the assessment gate is already being bought (Praxis exists because of it). Each painkiller carries the capture standard; the capture standard accretes the record; the record becomes the standard the next institution adopts by default. Wedge, then platform. No one needs to buy the thesis; they need only buy the painkiller.</w:t>
      </w:r>
    </w:p>
    <w:p>
      <w:pPr>
        <w:pStyle w:val="Heading2"/>
        <w:spacing w:after="160" w:before="280"/>
      </w:pPr>
      <w:r>
        <w:rPr>
          <w:rFonts w:ascii="Helvetica Neue" w:cs="Helvetica Neue" w:eastAsia="Helvetica Neue" w:hAnsi="Helvetica Neue"/>
          <w:b/>
          <w:bCs/>
          <w:color w:val="B4552D"/>
          <w:sz w:val="26"/>
          <w:szCs w:val="26"/>
        </w:rPr>
        <w:t xml:space="preserve">7.6  “AI will get so good that measuring human capability is pointless.”</w:t>
      </w:r>
    </w:p>
    <w:p>
      <w:pPr>
        <w:spacing w:after="180" w:line="300"/>
      </w:pPr>
      <w:r>
        <w:rPr>
          <w:rFonts w:ascii="Georgia" w:cs="Georgia" w:eastAsia="Georgia" w:hAnsi="Georgia"/>
          <w:color w:val="3A3A3A"/>
          <w:sz w:val="22"/>
          <w:szCs w:val="22"/>
        </w:rPr>
        <w:t xml:space="preserve">If human judgment ceases to matter economically, every hiring instrument dies together and this dossier is moot — but every present trend points the other way: as execution automates, the premium concentrates on exactly what observed sessions measure — framing, judgment, verification, taste, accountability. The more capable AI becomes, the more valuable it is to know which humans can direct it well. Our instrument is pointed at the one capability whose value rises with the tide.</w:t>
      </w:r>
    </w:p>
    <w:p>
      <w:pPr>
        <w:pStyle w:val="Heading2"/>
        <w:spacing w:after="160" w:before="280"/>
      </w:pPr>
      <w:r>
        <w:rPr>
          <w:rFonts w:ascii="Helvetica Neue" w:cs="Helvetica Neue" w:eastAsia="Helvetica Neue" w:hAnsi="Helvetica Neue"/>
          <w:b/>
          <w:bCs/>
          <w:color w:val="B4552D"/>
          <w:sz w:val="26"/>
          <w:szCs w:val="26"/>
        </w:rPr>
        <w:t xml:space="preserve">7.7  Regulatory posture</w:t>
      </w:r>
    </w:p>
    <w:p>
      <w:pPr>
        <w:spacing w:after="180" w:line="300"/>
      </w:pPr>
      <w:r>
        <w:rPr>
          <w:rFonts w:ascii="Georgia" w:cs="Georgia" w:eastAsia="Georgia" w:hAnsi="Georgia"/>
          <w:color w:val="3A3A3A"/>
          <w:sz w:val="22"/>
          <w:szCs w:val="22"/>
        </w:rPr>
        <w:t xml:space="preserve">We treat GDPR-class regimes as design inputs, not obstacles: session data is special-category-adjacent and handled as such; lawful basis is genuine consent with real alternatives; automated-decision provisions are satisfied structurally because human review on consequential decisions is already a principle (2.7); data minimisation is served by scoped views; portability is not a compliance burden but the product itself. We expect regulation of AI-era assessment to tighten, and we intend to be the reference implementation regulators point at — the compliant architecture, not the cornered incumbent.</w:t>
      </w:r>
    </w:p>
    <w:p>
      <w:pPr>
        <w:pStyle w:val="Heading1"/>
        <w:pageBreakBefore/>
        <w:spacing w:after="220" w:before="360"/>
      </w:pPr>
      <w:r>
        <w:rPr>
          <w:rFonts w:ascii="Helvetica Neue" w:cs="Helvetica Neue" w:eastAsia="Helvetica Neue" w:hAnsi="Helvetica Neue"/>
          <w:b/>
          <w:bCs/>
          <w:color w:val="1B2A4A"/>
          <w:sz w:val="34"/>
          <w:szCs w:val="34"/>
        </w:rPr>
        <w:t xml:space="preserve">Part VIII — The Roadmap</w:t>
      </w:r>
    </w:p>
    <w:p>
      <w:pPr>
        <w:spacing w:after="180" w:line="300"/>
      </w:pPr>
      <w:r>
        <w:rPr>
          <w:rFonts w:ascii="Georgia" w:cs="Georgia" w:eastAsia="Georgia" w:hAnsi="Georgia"/>
          <w:color w:val="3A3A3A"/>
          <w:sz w:val="22"/>
          <w:szCs w:val="22"/>
        </w:rPr>
        <w:t xml:space="preserve">Four phases, each self-funding, each strictly widening the wedge. Dates are planning horizons, not promises; sequence is the commitment.</w:t>
      </w:r>
    </w:p>
    <w:p>
      <w:pPr>
        <w:pStyle w:val="Heading2"/>
        <w:spacing w:after="160" w:before="280"/>
      </w:pPr>
      <w:r>
        <w:rPr>
          <w:rFonts w:ascii="Helvetica Neue" w:cs="Helvetica Neue" w:eastAsia="Helvetica Neue" w:hAnsi="Helvetica Neue"/>
          <w:b/>
          <w:bCs/>
          <w:color w:val="B4552D"/>
          <w:sz w:val="26"/>
          <w:szCs w:val="26"/>
        </w:rPr>
        <w:t xml:space="preserve">Phase 0 — The gate (now)</w:t>
      </w:r>
    </w:p>
    <w:p>
      <w:pPr>
        <w:spacing w:after="180" w:line="300"/>
      </w:pPr>
      <w:r>
        <w:rPr>
          <w:rFonts w:ascii="Georgia" w:cs="Georgia" w:eastAsia="Georgia" w:hAnsi="Georgia"/>
          <w:color w:val="3A3A3A"/>
          <w:sz w:val="22"/>
          <w:szCs w:val="22"/>
        </w:rPr>
        <w:t xml:space="preserve">In production: the observed reasoning assessment for hiring — zero-friction candidate entry, tamper-resistant capture, admin review, manual pipeline from frames to processed activities. Objectives of this phase: harden the engine in live use, accumulate scored sessions, and prove the core exchange — that employers will decide on process evidence and candidates will consent to provide it. Both proofs are already accumulating.</w:t>
      </w:r>
    </w:p>
    <w:p>
      <w:pPr>
        <w:pStyle w:val="Heading2"/>
        <w:spacing w:after="160" w:before="280"/>
      </w:pPr>
      <w:r>
        <w:rPr>
          <w:rFonts w:ascii="Helvetica Neue" w:cs="Helvetica Neue" w:eastAsia="Helvetica Neue" w:hAnsi="Helvetica Neue"/>
          <w:b/>
          <w:bCs/>
          <w:color w:val="B4552D"/>
          <w:sz w:val="26"/>
          <w:szCs w:val="26"/>
        </w:rPr>
        <w:t xml:space="preserve">Phase 1 — Analysis at scale (next two quarters)</w:t>
      </w:r>
    </w:p>
    <w:p>
      <w:pPr>
        <w:pStyle w:val="ListParagraph"/>
        <w:numPr>
          <w:ilvl w:val="0"/>
          <w:numId w:val="2"/>
        </w:numPr>
        <w:spacing w:after="100" w:line="290"/>
      </w:pPr>
      <w:r>
        <w:rPr>
          <w:rFonts w:ascii="Georgia" w:cs="Georgia" w:eastAsia="Georgia" w:hAnsi="Georgia"/>
          <w:color w:val="3A3A3A"/>
          <w:sz w:val="22"/>
          <w:szCs w:val="22"/>
        </w:rPr>
        <w:t xml:space="preserve">Industrialise the frames-to-activities pipeline: automated ingestion from the assessment platform through image-capture processing into described activities per session — removing today's manual bridge.</w:t>
      </w:r>
    </w:p>
    <w:p>
      <w:pPr>
        <w:pStyle w:val="ListParagraph"/>
        <w:numPr>
          <w:ilvl w:val="0"/>
          <w:numId w:val="2"/>
        </w:numPr>
        <w:spacing w:after="100" w:line="290"/>
      </w:pPr>
      <w:r>
        <w:rPr>
          <w:rFonts w:ascii="Georgia" w:cs="Georgia" w:eastAsia="Georgia" w:hAnsi="Georgia"/>
          <w:color w:val="3A3A3A"/>
          <w:sz w:val="22"/>
          <w:szCs w:val="22"/>
        </w:rPr>
        <w:t xml:space="preserve">Publish the first capability rubric (framing, decomposition, tool orchestration, verification, recovery, time judgment) and ship rubric-based session reports to employers alongside raw replay.</w:t>
      </w:r>
    </w:p>
    <w:p>
      <w:pPr>
        <w:pStyle w:val="ListParagraph"/>
        <w:numPr>
          <w:ilvl w:val="0"/>
          <w:numId w:val="2"/>
        </w:numPr>
        <w:spacing w:after="100" w:line="290"/>
      </w:pPr>
      <w:r>
        <w:rPr>
          <w:rFonts w:ascii="Georgia" w:cs="Georgia" w:eastAsia="Georgia" w:hAnsi="Georgia"/>
          <w:color w:val="3A3A3A"/>
          <w:sz w:val="22"/>
          <w:szCs w:val="22"/>
        </w:rPr>
        <w:t xml:space="preserve">Instrument validity from day one: collect hire outcomes and begin correlating session signals with six- and twelve-month performance — the dataset every future claim rests on.</w:t>
      </w:r>
    </w:p>
    <w:p>
      <w:pPr>
        <w:pStyle w:val="Heading2"/>
        <w:spacing w:after="160" w:before="280"/>
      </w:pPr>
      <w:r>
        <w:rPr>
          <w:rFonts w:ascii="Helvetica Neue" w:cs="Helvetica Neue" w:eastAsia="Helvetica Neue" w:hAnsi="Helvetica Neue"/>
          <w:b/>
          <w:bCs/>
          <w:color w:val="B4552D"/>
          <w:sz w:val="26"/>
          <w:szCs w:val="26"/>
        </w:rPr>
        <w:t xml:space="preserve">Phase 2 — The student wedge (quarters three to six)</w:t>
      </w:r>
    </w:p>
    <w:p>
      <w:pPr>
        <w:pStyle w:val="ListParagraph"/>
        <w:numPr>
          <w:ilvl w:val="0"/>
          <w:numId w:val="2"/>
        </w:numPr>
        <w:spacing w:after="100" w:line="290"/>
      </w:pPr>
      <w:r>
        <w:rPr>
          <w:rFonts w:ascii="Georgia" w:cs="Georgia" w:eastAsia="Georgia" w:hAnsi="Georgia"/>
          <w:color w:val="3A3A3A"/>
          <w:sz w:val="22"/>
          <w:szCs w:val="22"/>
        </w:rPr>
        <w:t xml:space="preserve">Launch the readiness assessment for final-year students, in partnership with two or three university careers services: the Praxis session reframed as a graduate's market credential rather than an employer's filter.</w:t>
      </w:r>
    </w:p>
    <w:p>
      <w:pPr>
        <w:pStyle w:val="ListParagraph"/>
        <w:numPr>
          <w:ilvl w:val="0"/>
          <w:numId w:val="2"/>
        </w:numPr>
        <w:spacing w:after="100" w:line="290"/>
      </w:pPr>
      <w:r>
        <w:rPr>
          <w:rFonts w:ascii="Georgia" w:cs="Georgia" w:eastAsia="Georgia" w:hAnsi="Georgia"/>
          <w:color w:val="3A3A3A"/>
          <w:sz w:val="22"/>
          <w:szCs w:val="22"/>
        </w:rPr>
        <w:t xml:space="preserve">Ship the first student-owned record: sessions, reports, scoped sharing. Minimal, but constitutionally correct from the first commit — ownership, transparency, and export are version-one features, not roadmap items.</w:t>
      </w:r>
    </w:p>
    <w:p>
      <w:pPr>
        <w:pStyle w:val="ListParagraph"/>
        <w:numPr>
          <w:ilvl w:val="0"/>
          <w:numId w:val="2"/>
        </w:numPr>
        <w:spacing w:after="100" w:line="290"/>
      </w:pPr>
      <w:r>
        <w:rPr>
          <w:rFonts w:ascii="Georgia" w:cs="Georgia" w:eastAsia="Georgia" w:hAnsi="Georgia"/>
          <w:color w:val="3A3A3A"/>
          <w:sz w:val="22"/>
          <w:szCs w:val="22"/>
        </w:rPr>
        <w:t xml:space="preserve">Pilot the observed assignment with one partner department drowning in assessment-integrity failures — the university painkiller, carrying the capture standard into the curriculum.</w:t>
      </w:r>
    </w:p>
    <w:p>
      <w:pPr>
        <w:pStyle w:val="Heading2"/>
        <w:spacing w:after="160" w:before="280"/>
      </w:pPr>
      <w:r>
        <w:rPr>
          <w:rFonts w:ascii="Helvetica Neue" w:cs="Helvetica Neue" w:eastAsia="Helvetica Neue" w:hAnsi="Helvetica Neue"/>
          <w:b/>
          <w:bCs/>
          <w:color w:val="B4552D"/>
          <w:sz w:val="26"/>
          <w:szCs w:val="26"/>
        </w:rPr>
        <w:t xml:space="preserve">Phase 3 — The compounding record (year two and beyond)</w:t>
      </w:r>
    </w:p>
    <w:p>
      <w:pPr>
        <w:pStyle w:val="ListParagraph"/>
        <w:numPr>
          <w:ilvl w:val="0"/>
          <w:numId w:val="2"/>
        </w:numPr>
        <w:spacing w:after="100" w:line="290"/>
      </w:pPr>
      <w:r>
        <w:rPr>
          <w:rFonts w:ascii="Georgia" w:cs="Georgia" w:eastAsia="Georgia" w:hAnsi="Georgia"/>
          <w:color w:val="3A3A3A"/>
          <w:sz w:val="22"/>
          <w:szCs w:val="22"/>
        </w:rPr>
        <w:t xml:space="preserve">Extend capture down the journey: baseline sessions at induction, continuous micro-evidence across courses, placement and project capture — each new context a configuration of the same engine.</w:t>
      </w:r>
    </w:p>
    <w:p>
      <w:pPr>
        <w:pStyle w:val="ListParagraph"/>
        <w:numPr>
          <w:ilvl w:val="0"/>
          <w:numId w:val="2"/>
        </w:numPr>
        <w:spacing w:after="100" w:line="290"/>
      </w:pPr>
      <w:r>
        <w:rPr>
          <w:rFonts w:ascii="Georgia" w:cs="Georgia" w:eastAsia="Georgia" w:hAnsi="Georgia"/>
          <w:color w:val="3A3A3A"/>
          <w:sz w:val="22"/>
          <w:szCs w:val="22"/>
        </w:rPr>
        <w:t xml:space="preserve">Open employer-side matching: evidenced role requirements queried against consented records; the interview-as-replay toolkit; onboarding views for new hires.</w:t>
      </w:r>
    </w:p>
    <w:p>
      <w:pPr>
        <w:pStyle w:val="ListParagraph"/>
        <w:numPr>
          <w:ilvl w:val="0"/>
          <w:numId w:val="2"/>
        </w:numPr>
        <w:spacing w:after="100" w:line="290"/>
      </w:pPr>
      <w:r>
        <w:rPr>
          <w:rFonts w:ascii="Georgia" w:cs="Georgia" w:eastAsia="Georgia" w:hAnsi="Georgia"/>
          <w:color w:val="3A3A3A"/>
          <w:sz w:val="22"/>
          <w:szCs w:val="22"/>
        </w:rPr>
        <w:t xml:space="preserve">Establish the audit function: published rubrics, demographic fairness reports, external review — the legitimacy infrastructure scaled ahead of the network, because trust must arrive before scale to survive it.</w:t>
      </w:r>
    </w:p>
    <w:p>
      <w:pPr>
        <w:pStyle w:val="Heading2"/>
        <w:spacing w:after="160" w:before="280"/>
      </w:pPr>
      <w:r>
        <w:rPr>
          <w:rFonts w:ascii="Helvetica Neue" w:cs="Helvetica Neue" w:eastAsia="Helvetica Neue" w:hAnsi="Helvetica Neue"/>
          <w:b/>
          <w:bCs/>
          <w:color w:val="B4552D"/>
          <w:sz w:val="26"/>
          <w:szCs w:val="26"/>
        </w:rPr>
        <w:t xml:space="preserve">The dependency that matters</w:t>
      </w:r>
    </w:p>
    <w:p>
      <w:pPr>
        <w:spacing w:after="180" w:line="300"/>
      </w:pPr>
      <w:r>
        <w:rPr>
          <w:rFonts w:ascii="Georgia" w:cs="Georgia" w:eastAsia="Georgia" w:hAnsi="Georgia"/>
          <w:color w:val="3A3A3A"/>
          <w:sz w:val="22"/>
          <w:szCs w:val="22"/>
        </w:rPr>
        <w:t xml:space="preserve">Everything downstream of Phase 1 depends on analysis quality. Capture is solved; the record is architecture-plus-discipline; but the credibility of every capability claim rests on the pipeline that turns pixels into fair, auditable judgments. That is where engineering investment concentrates now, and this dossier's most concrete recommendation is exactly that concentration.</w:t>
      </w:r>
    </w:p>
    <w:p>
      <w:pPr>
        <w:pStyle w:val="Heading1"/>
        <w:pageBreakBefore/>
        <w:spacing w:after="220" w:before="360"/>
      </w:pPr>
      <w:r>
        <w:rPr>
          <w:rFonts w:ascii="Helvetica Neue" w:cs="Helvetica Neue" w:eastAsia="Helvetica Neue" w:hAnsi="Helvetica Neue"/>
          <w:b/>
          <w:bCs/>
          <w:color w:val="1B2A4A"/>
          <w:sz w:val="34"/>
          <w:szCs w:val="34"/>
        </w:rPr>
        <w:t xml:space="preserve">Part IX — How We Will Know It Is Working</w:t>
      </w:r>
    </w:p>
    <w:p>
      <w:pPr>
        <w:spacing w:after="180" w:line="300"/>
      </w:pPr>
      <w:r>
        <w:rPr>
          <w:rFonts w:ascii="Georgia" w:cs="Georgia" w:eastAsia="Georgia" w:hAnsi="Georgia"/>
          <w:color w:val="3A3A3A"/>
          <w:sz w:val="22"/>
          <w:szCs w:val="22"/>
        </w:rPr>
        <w:t xml:space="preserve">A thesis about evidence must hold itself to evidence. These are the measures, chosen so that each phase's claims are falsifiable.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2900"/>
      </w:tblGrid>
      <w:tr>
        <w:trPr>
          <w:tblHeader/>
        </w:trPr>
        <w:tc>
          <w:tcPr>
            <w:tcW w:type="dxa" w:w="26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Measure</w:t>
            </w:r>
          </w:p>
        </w:tc>
        <w:tc>
          <w:tcPr>
            <w:tcW w:type="dxa" w:w="33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Definition</w:t>
            </w:r>
          </w:p>
        </w:tc>
        <w:tc>
          <w:tcPr>
            <w:tcW w:type="dxa" w:w="29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Honest target</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Signal validity</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Correlation of session scores with 6/12-month job performance</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Beat structured interviews (r≈0.3) within 18 months</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Mis-hire reduction</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Probation-failure rate for evidence-hired vs control cohorts</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One-third reduction at partner employers</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Time-to-decision</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Application-to-offer time at partner employers</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Halve it without validity loss</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Candidate consent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Completion rate of started sessions; opt-in rate where optional</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&gt;90% completion; opt-in majority by Phase 2</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Candidate experience</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Post-session NPS vs conventional hiring processes</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Positive NPS in a category with famously negative NPS</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Fairness audit</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Demographic parity of session scores, published annually</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No unexplained adverse impact; external audit sign-off</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Record depth</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Median evidence objects per active student record</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Growing cohort-on-cohort; &gt;20 by graduation for Phase 3 cohorts</w:t>
            </w:r>
          </w:p>
        </w:tc>
      </w:tr>
      <w:tr>
        <w:trPr>
          <w:tblHeader w:val="false"/>
        </w:trPr>
        <w:tc>
          <w:tcPr>
            <w:tcW w:type="dxa" w:w="26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Institutional pull</w:t>
            </w:r>
          </w:p>
        </w:tc>
        <w:tc>
          <w:tcPr>
            <w:tcW w:type="dxa" w:w="33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Partner institutions arriving via referral vs outbound sales</w:t>
            </w:r>
          </w:p>
        </w:tc>
        <w:tc>
          <w:tcPr>
            <w:tcW w:type="dxa" w:w="29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Majority inbound by end of Phase 3</w:t>
            </w:r>
          </w:p>
        </w:tc>
      </w:tr>
    </w:tbl>
    <w:p>
      <w:pPr>
        <w:spacing w:after="180" w:line="300"/>
      </w:pPr>
      <w:r>
        <w:rPr>
          <w:rFonts w:ascii="Georgia" w:cs="Georgia" w:eastAsia="Georgia" w:hAnsi="Georgia"/>
          <w:color w:val="3A3A3A"/>
          <w:sz w:val="22"/>
          <w:szCs w:val="22"/>
        </w:rPr>
        <w:t xml:space="preserve"/>
      </w:r>
    </w:p>
    <w:p>
      <w:pPr>
        <w:spacing w:after="180" w:line="300"/>
      </w:pPr>
      <w:r>
        <w:rPr>
          <w:rFonts w:ascii="Georgia" w:cs="Georgia" w:eastAsia="Georgia" w:hAnsi="Georgia"/>
          <w:color w:val="3A3A3A"/>
          <w:sz w:val="22"/>
          <w:szCs w:val="22"/>
        </w:rPr>
        <w:t xml:space="preserve">Two commitments about these numbers. First, </w:t>
      </w:r>
      <w:r>
        <w:rPr>
          <w:rFonts w:ascii="Georgia" w:cs="Georgia" w:eastAsia="Georgia" w:hAnsi="Georgia"/>
          <w:b/>
          <w:bCs/>
          <w:color w:val="1B2A4A"/>
          <w:sz w:val="22"/>
          <w:szCs w:val="22"/>
        </w:rPr>
        <w:t xml:space="preserve">we publish the fairness audits whether or not they flatter us</w:t>
      </w:r>
      <w:r>
        <w:rPr>
          <w:rFonts w:ascii="Georgia" w:cs="Georgia" w:eastAsia="Georgia" w:hAnsi="Georgia"/>
          <w:color w:val="3A3A3A"/>
          <w:sz w:val="22"/>
          <w:szCs w:val="22"/>
        </w:rPr>
        <w:t xml:space="preserve"> — legitimacy is the asset, and it cannot be bought back once sold. Second, </w:t>
      </w:r>
      <w:r>
        <w:rPr>
          <w:rFonts w:ascii="Georgia" w:cs="Georgia" w:eastAsia="Georgia" w:hAnsi="Georgia"/>
          <w:b/>
          <w:bCs/>
          <w:color w:val="1B2A4A"/>
          <w:sz w:val="22"/>
          <w:szCs w:val="22"/>
        </w:rPr>
        <w:t xml:space="preserve">validity is the kill criterion</w:t>
      </w:r>
      <w:r>
        <w:rPr>
          <w:rFonts w:ascii="Georgia" w:cs="Georgia" w:eastAsia="Georgia" w:hAnsi="Georgia"/>
          <w:color w:val="3A3A3A"/>
          <w:sz w:val="22"/>
          <w:szCs w:val="22"/>
        </w:rPr>
        <w:t xml:space="preserve">: if, with honest measurement, observed-session signals fail to out-predict the proxies they replace, the thesis is wrong and we will say so. We do not expect this — everything known about work-sample validity says process evidence is the strongest predictor available — but a dossier that argues against unfalsifiable claims does not get to make them.</w:t>
      </w:r>
    </w:p>
    <w:p>
      <w:pPr>
        <w:pStyle w:val="Heading1"/>
        <w:pageBreakBefore/>
        <w:spacing w:after="220" w:before="360"/>
      </w:pPr>
      <w:r>
        <w:rPr>
          <w:rFonts w:ascii="Helvetica Neue" w:cs="Helvetica Neue" w:eastAsia="Helvetica Neue" w:hAnsi="Helvetica Neue"/>
          <w:b/>
          <w:bCs/>
          <w:color w:val="1B2A4A"/>
          <w:sz w:val="34"/>
          <w:szCs w:val="34"/>
        </w:rPr>
        <w:t xml:space="preserve">Conclusion — A Short Manifesto</w:t>
      </w:r>
    </w:p>
    <w:p>
      <w:pPr>
        <w:spacing w:after="180" w:line="300"/>
      </w:pPr>
      <w:r>
        <w:rPr>
          <w:rFonts w:ascii="Georgia" w:cs="Georgia" w:eastAsia="Georgia" w:hAnsi="Georgia"/>
          <w:color w:val="3A3A3A"/>
          <w:sz w:val="22"/>
          <w:szCs w:val="22"/>
        </w:rPr>
        <w:t xml:space="preserve">The proxy economy is not dying because anyone attacked it. It is dying because the ground it stood on — the honest cost of producing artefacts — has vanished. Institutions can spend the next decade defending checkpoints that no longer check anything, or they can move to the only ground that remains solid: real work, really observed, honestly analysed, owned by the person who did it.</w:t>
      </w:r>
    </w:p>
    <w:p>
      <w:pPr>
        <w:spacing w:after="180" w:line="300"/>
      </w:pPr>
      <w:r>
        <w:rPr>
          <w:rFonts w:ascii="Georgia" w:cs="Georgia" w:eastAsia="Georgia" w:hAnsi="Georgia"/>
          <w:color w:val="3A3A3A"/>
          <w:sz w:val="22"/>
          <w:szCs w:val="22"/>
        </w:rPr>
        <w:t xml:space="preserve">We choose the second, and we choose it with the student at the centre — not because it is sentimental but because it is structurally correct: a record that serves its subject is the only record people will consent to build, and consent is the only foundation that scales.</w:t>
      </w:r>
    </w:p>
    <w:p>
      <w:pPr>
        <w:pStyle w:val="ListParagraph"/>
        <w:numPr>
          <w:ilvl w:val="0"/>
          <w:numId w:val="2"/>
        </w:numPr>
        <w:spacing w:after="100" w:line="290"/>
      </w:pPr>
      <w:r>
        <w:rPr>
          <w:rFonts w:ascii="Georgia" w:cs="Georgia" w:eastAsia="Georgia" w:hAnsi="Georgia"/>
          <w:color w:val="3A3A3A"/>
          <w:sz w:val="22"/>
          <w:szCs w:val="22"/>
        </w:rPr>
        <w:t xml:space="preserve">We believe what you can do outranks what you can claim — and that the gap between the two is where every injustice of the old pipeline lives.</w:t>
      </w:r>
    </w:p>
    <w:p>
      <w:pPr>
        <w:pStyle w:val="ListParagraph"/>
        <w:numPr>
          <w:ilvl w:val="0"/>
          <w:numId w:val="2"/>
        </w:numPr>
        <w:spacing w:after="100" w:line="290"/>
      </w:pPr>
      <w:r>
        <w:rPr>
          <w:rFonts w:ascii="Georgia" w:cs="Georgia" w:eastAsia="Georgia" w:hAnsi="Georgia"/>
          <w:color w:val="3A3A3A"/>
          <w:sz w:val="22"/>
          <w:szCs w:val="22"/>
        </w:rPr>
        <w:t xml:space="preserve">We believe process is the last honest signal, and that observing it fairly is an engineering discipline we have already begun to master.</w:t>
      </w:r>
    </w:p>
    <w:p>
      <w:pPr>
        <w:pStyle w:val="ListParagraph"/>
        <w:numPr>
          <w:ilvl w:val="0"/>
          <w:numId w:val="2"/>
        </w:numPr>
        <w:spacing w:after="100" w:line="290"/>
      </w:pPr>
      <w:r>
        <w:rPr>
          <w:rFonts w:ascii="Georgia" w:cs="Georgia" w:eastAsia="Georgia" w:hAnsi="Georgia"/>
          <w:color w:val="3A3A3A"/>
          <w:sz w:val="22"/>
          <w:szCs w:val="22"/>
        </w:rPr>
        <w:t xml:space="preserve">We believe AI belongs inside assessment, because directing it well is the defining professional skill of this era.</w:t>
      </w:r>
    </w:p>
    <w:p>
      <w:pPr>
        <w:pStyle w:val="ListParagraph"/>
        <w:numPr>
          <w:ilvl w:val="0"/>
          <w:numId w:val="2"/>
        </w:numPr>
        <w:spacing w:after="100" w:line="290"/>
      </w:pPr>
      <w:r>
        <w:rPr>
          <w:rFonts w:ascii="Georgia" w:cs="Georgia" w:eastAsia="Georgia" w:hAnsi="Georgia"/>
          <w:color w:val="3A3A3A"/>
          <w:sz w:val="22"/>
          <w:szCs w:val="22"/>
        </w:rPr>
        <w:t xml:space="preserve">We believe the record must belong to the person, or it deserves to fail.</w:t>
      </w:r>
    </w:p>
    <w:p>
      <w:pPr>
        <w:pStyle w:val="ListParagraph"/>
        <w:numPr>
          <w:ilvl w:val="0"/>
          <w:numId w:val="2"/>
        </w:numPr>
        <w:spacing w:after="100" w:line="290"/>
      </w:pPr>
      <w:r>
        <w:rPr>
          <w:rFonts w:ascii="Georgia" w:cs="Georgia" w:eastAsia="Georgia" w:hAnsi="Georgia"/>
          <w:color w:val="3A3A3A"/>
          <w:sz w:val="22"/>
          <w:szCs w:val="22"/>
        </w:rPr>
        <w:t xml:space="preserve">We believe every touchpoint from the first lecture to the first performance review can run on evidence — and that each one converted makes the next inevitable.</w:t>
      </w:r>
    </w:p>
    <w:p>
      <w:pPr>
        <w:spacing w:after="180" w:line="300"/>
      </w:pPr>
      <w:r>
        <w:rPr>
          <w:rFonts w:ascii="Georgia" w:cs="Georgia" w:eastAsia="Georgia" w:hAnsi="Georgia"/>
          <w:color w:val="3A3A3A"/>
          <w:sz w:val="22"/>
          <w:szCs w:val="22"/>
        </w:rPr>
        <w:t xml:space="preserve">The student journey was never really about students moving through institutions. It is about information moving between them — and for a century that information has been degraded at every hop. We now have the tools to carry it whole: to let a first-year's baseline become a finalist's credential become a candidate's proof become a new hire's head start. </w:t>
      </w:r>
      <w:r>
        <w:rPr>
          <w:rFonts w:ascii="Georgia" w:cs="Georgia" w:eastAsia="Georgia" w:hAnsi="Georgia"/>
          <w:b/>
          <w:bCs/>
          <w:color w:val="1B2A4A"/>
          <w:sz w:val="22"/>
          <w:szCs w:val="22"/>
        </w:rPr>
        <w:t xml:space="preserve">One record, owned by its subject, honest at every touchpoint. That is the revolution, and it has already started — fifteen minutes at a time.</w:t>
      </w:r>
    </w:p>
    <w:p>
      <w:pPr>
        <w:pStyle w:val="Heading1"/>
        <w:pageBreakBefore/>
        <w:spacing w:after="220" w:before="360"/>
      </w:pPr>
      <w:r>
        <w:rPr>
          <w:rFonts w:ascii="Helvetica Neue" w:cs="Helvetica Neue" w:eastAsia="Helvetica Neue" w:hAnsi="Helvetica Neue"/>
          <w:b/>
          <w:bCs/>
          <w:color w:val="1B2A4A"/>
          <w:sz w:val="34"/>
          <w:szCs w:val="34"/>
        </w:rPr>
        <w:t xml:space="preserve">Appendix — Glossary of Working Terms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Term</w:t>
            </w:r>
          </w:p>
        </w:tc>
        <w:tc>
          <w:tcPr>
            <w:tcW w:type="dxa" w:w="6400"/>
            <w:shd w:fill="1B2A4A" w:val="clear"/>
            <w:tcMar>
              <w:top w:type="dxa" w:w="90"/>
              <w:left w:type="dxa" w:w="120"/>
              <w:bottom w:type="dxa" w:w="90"/>
              <w:right w:type="dxa" w:w="120"/>
            </w:tcMar>
          </w:tcPr>
          <w:p>
            <w:pPr>
              <w:spacing w:after="0" w:line="250"/>
            </w:pPr>
            <w:r>
              <w:rPr>
                <w:rFonts w:ascii="Helvetica Neue" w:cs="Helvetica Neue" w:eastAsia="Helvetica Neue" w:hAnsi="Helvetica Neue"/>
                <w:b/>
                <w:bCs/>
                <w:color w:val="FFFFFF"/>
                <w:sz w:val="19"/>
                <w:szCs w:val="19"/>
              </w:rPr>
              <w:t xml:space="preserve">Meaning</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Proxy economy</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The current pipeline of second-hand signals (grades, CVs, interviews) standing in for direct observation of capability.</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Evidence object</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 bounded, consented recording of real work — screen frames, event log, timing — machine-analysable, human-reviewable, and attributable.</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Observed session</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The universal instrument: a consented, screen-captured working period with integrity guarantees, from 15-minute micro-sessions to longitudinal capture.</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Capability record</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The student-owned accumulation of analysed evidence objects across the journey; shared by scoped view, exportable, destroyable.</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Scoped view</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 student-controlled slice of the record shared for a purpose (an application, an onboarding) — never the raw feed.</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Capture standard</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The engine-enforced conditions making evidence trustworthy: entire-screen capture, pause budgets, device-bound access, session scoping.</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Readiness assessment</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The capstone observed session taken near graduation; the anchor evidence object of the market-entry profile.</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Interview-as-replay</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Selection conversation grounded in replaying the candidate's actual sessions rather than hypothetical questioning.</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Integrity budget</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Bounded allowance for interruptions (e.g. paused sharing) that protects fairness without punishing accidents.</w:t>
            </w:r>
          </w:p>
        </w:tc>
      </w:tr>
      <w:tr>
        <w:trPr>
          <w:tblHeader w:val="false"/>
        </w:trPr>
        <w:tc>
          <w:tcPr>
            <w:tcW w:type="dxa" w:w="2400"/>
            <w:tcMar>
              <w:top w:type="dxa" w:w="90"/>
              <w:left w:type="dxa" w:w="120"/>
              <w:bottom w:type="dxa" w:w="90"/>
              <w:right w:type="dxa" w:w="120"/>
            </w:tcMar>
          </w:tcPr>
          <w:p>
            <w:pPr>
              <w:spacing w:after="0" w:line="250"/>
            </w:pPr>
            <w:r>
              <w:rPr>
                <w:rFonts w:ascii="Helvetica Neue" w:cs="Helvetica Neue" w:eastAsia="Helvetica Neue" w:hAnsi="Helvetica Neue"/>
                <w:b/>
                <w:bCs/>
                <w:color w:val="3A3A3A"/>
                <w:sz w:val="18"/>
                <w:szCs w:val="18"/>
              </w:rPr>
              <w:t xml:space="preserve">The wedge</w:t>
            </w:r>
          </w:p>
        </w:tc>
        <w:tc>
          <w:tcPr>
            <w:tcW w:type="dxa" w:w="6400"/>
            <w:tcMar>
              <w:top w:type="dxa" w:w="90"/>
              <w:left w:type="dxa" w:w="120"/>
              <w:bottom w:type="dxa" w:w="90"/>
              <w:right w:type="dxa" w:w="120"/>
            </w:tcMar>
          </w:tcPr>
          <w:p>
            <w:pPr>
              <w:spacing w:after="0" w:line="250"/>
            </w:pPr>
            <w:r>
              <w:rPr>
                <w:rFonts w:ascii="Helvetica Neue" w:cs="Helvetica Neue" w:eastAsia="Helvetica Neue" w:hAnsi="Helvetica Neue"/>
                <w:b w:val="false"/>
                <w:bCs w:val="false"/>
                <w:color w:val="3A3A3A"/>
                <w:sz w:val="18"/>
                <w:szCs w:val="18"/>
              </w:rPr>
              <w:t xml:space="preserve">Adoption strategy: sell painkillers (assessment integrity, screening collapse) that each carry the capture standard and accrete the record.</w:t>
            </w:r>
          </w:p>
        </w:tc>
      </w:tr>
    </w:tbl>
    <w:sectPr>
      <w:footerReference w:type="default" r:id="rId7"/>
      <w:pgSz w:w="11906" w:h="16838" w:orient="portrait"/>
      <w:pgMar w:top="130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200"/>
      </w:tabs>
    </w:pPr>
    <w:r>
      <w:rPr>
        <w:rFonts w:ascii="Helvetica Neue" w:cs="Helvetica Neue" w:eastAsia="Helvetica Neue" w:hAnsi="Helvetica Neue"/>
        <w:color w:val="6B7280"/>
        <w:sz w:val="16"/>
        <w:szCs w:val="16"/>
      </w:rPr>
      <w:t xml:space="preserve">Praxis · The Evidence Era · Confidential</w:t>
    </w:r>
    <w:r>
      <w:rPr>
        <w:sz w:val="16"/>
        <w:szCs w:val="16"/>
      </w:rPr>
      <w:t xml:space="preserve">	</w:t>
    </w:r>
    <w:r>
      <w:rPr>
        <w:rFonts w:ascii="Helvetica Neue" w:cs="Helvetica Neue" w:eastAsia="Helvetica Neue" w:hAnsi="Helvetica Neue"/>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2026-07-21T04:31:31.852Z</dcterms:created>
  <dcterms:modified xsi:type="dcterms:W3CDTF">2026-07-21T04:31:31.852Z</dcterms:modified>
</cp:coreProperties>
</file>

<file path=docProps/custom.xml><?xml version="1.0" encoding="utf-8"?>
<Properties xmlns="http://schemas.openxmlformats.org/officeDocument/2006/custom-properties" xmlns:vt="http://schemas.openxmlformats.org/officeDocument/2006/docPropsVTypes"/>
</file>