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07/06/17, 3:00-3:3</w:t>
            </w:r>
            <w:r w:rsidDel="00000000" w:rsidR="00000000" w:rsidRPr="00000000">
              <w:rPr>
                <w:rtl w:val="0"/>
              </w:rPr>
              <w:t xml:space="preserve">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Sean </w:t>
            </w:r>
            <w:r w:rsidDel="00000000" w:rsidR="00000000" w:rsidRPr="00000000">
              <w:rPr>
                <w:highlight w:val="white"/>
                <w:rtl w:val="0"/>
              </w:rPr>
              <w:t xml:space="preserve">Dougherty</w:t>
            </w:r>
            <w:r w:rsidDel="00000000" w:rsidR="00000000" w:rsidRPr="00000000">
              <w:rPr>
                <w:rtl w:val="0"/>
              </w:rPr>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5">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6">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A">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B">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1F">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0">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1">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1"/>
              <w:spacing w:after="0" w:before="60" w:lineRule="auto"/>
              <w:rPr>
                <w:sz w:val="20"/>
                <w:szCs w:val="20"/>
              </w:rPr>
            </w:pPr>
            <w:r w:rsidDel="00000000" w:rsidR="00000000" w:rsidRPr="00000000">
              <w:rPr>
                <w:sz w:val="18"/>
                <w:szCs w:val="18"/>
                <w:rtl w:val="0"/>
              </w:rPr>
              <w:t xml:space="preserve">Upgrade from 2015.3.3 to 2016.4.2</w:t>
            </w:r>
            <w:r w:rsidDel="00000000" w:rsidR="00000000" w:rsidRPr="00000000">
              <w:rPr>
                <w:rtl w:val="0"/>
              </w:rPr>
            </w:r>
          </w:p>
        </w:tc>
        <w:tc>
          <w:tcPr/>
          <w:p w:rsidR="00000000" w:rsidDel="00000000" w:rsidP="00000000" w:rsidRDefault="00000000" w:rsidRPr="00000000" w14:paraId="00000023">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4">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5">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7">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8">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9">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A">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B">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D">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2E">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2F">
            <w:pPr>
              <w:pageBreakBefore w:val="0"/>
              <w:widowControl w:val="1"/>
              <w:spacing w:after="0" w:before="60" w:lineRule="auto"/>
              <w:rPr>
                <w:sz w:val="18"/>
                <w:szCs w:val="18"/>
              </w:rPr>
            </w:pPr>
            <w:hyperlink r:id="rId6">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sz w:val="18"/>
                <w:szCs w:val="18"/>
                <w:rtl w:val="0"/>
              </w:rPr>
              <w:t xml:space="preserve"> (Pending)</w:t>
            </w:r>
            <w:r w:rsidDel="00000000" w:rsidR="00000000" w:rsidRPr="00000000">
              <w:rPr>
                <w:rtl w:val="0"/>
              </w:rPr>
            </w:r>
          </w:p>
        </w:tc>
        <w:tc>
          <w:tcPr/>
          <w:p w:rsidR="00000000" w:rsidDel="00000000" w:rsidP="00000000" w:rsidRDefault="00000000" w:rsidRPr="00000000" w14:paraId="00000030">
            <w:pPr>
              <w:pageBreakBefore w:val="0"/>
              <w:widowControl w:val="1"/>
              <w:spacing w:after="0" w:line="276" w:lineRule="auto"/>
              <w:rPr>
                <w:sz w:val="18"/>
                <w:szCs w:val="18"/>
              </w:rPr>
            </w:pPr>
            <w:r w:rsidDel="00000000" w:rsidR="00000000" w:rsidRPr="00000000">
              <w:rPr>
                <w:sz w:val="18"/>
                <w:szCs w:val="18"/>
                <w:rtl w:val="0"/>
              </w:rPr>
              <w:t xml:space="preserve">Troubleshooting is still in progress.</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1">
            <w:pPr>
              <w:pageBreakBefore w:val="0"/>
              <w:widowControl w:val="1"/>
              <w:shd w:fill="ffffff" w:val="clear"/>
              <w:spacing w:after="0" w:line="331.2" w:lineRule="auto"/>
              <w:rPr>
                <w:highlight w:val="white"/>
              </w:rPr>
            </w:pPr>
            <w:hyperlink r:id="rId7">
              <w:r w:rsidDel="00000000" w:rsidR="00000000" w:rsidRPr="00000000">
                <w:rPr>
                  <w:color w:val="1155cc"/>
                  <w:sz w:val="18"/>
                  <w:szCs w:val="18"/>
                  <w:highlight w:val="white"/>
                  <w:u w:val="single"/>
                  <w:rtl w:val="0"/>
                </w:rPr>
                <w:t xml:space="preserve">26385 - MCO Runs and visbility</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32">
            <w:pPr>
              <w:pageBreakBefore w:val="0"/>
              <w:widowControl w:val="1"/>
              <w:spacing w:after="0" w:line="276" w:lineRule="auto"/>
              <w:rPr>
                <w:sz w:val="18"/>
                <w:szCs w:val="18"/>
              </w:rPr>
            </w:pPr>
            <w:r w:rsidDel="00000000" w:rsidR="00000000" w:rsidRPr="00000000">
              <w:rPr>
                <w:sz w:val="18"/>
                <w:szCs w:val="18"/>
                <w:rtl w:val="0"/>
              </w:rPr>
              <w:t xml:space="preserve">Adjusting timeouts and cleaned cache helped but didn’t solve the bigger problem. Patrick has narrowed this issue down to either an internal Home Depot issue or environment issue.</w:t>
            </w:r>
          </w:p>
          <w:p w:rsidR="00000000" w:rsidDel="00000000" w:rsidP="00000000" w:rsidRDefault="00000000" w:rsidRPr="00000000" w14:paraId="00000033">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sz w:val="18"/>
                <w:szCs w:val="18"/>
                <w:rtl w:val="0"/>
              </w:rPr>
              <w:t xml:space="preserve">The time to deploy the control repo has been reduced dramatically. Down to 2 seconds from 2 minutes. Patrick will be updating this ticket shortly with detailed findings and a request to close. </w:t>
            </w:r>
          </w:p>
        </w:tc>
      </w:tr>
      <w:tr>
        <w:trPr>
          <w:cantSplit w:val="0"/>
          <w:trHeight w:val="380" w:hRule="atLeast"/>
          <w:tblHeader w:val="0"/>
        </w:trPr>
        <w:tc>
          <w:tcPr/>
          <w:p w:rsidR="00000000" w:rsidDel="00000000" w:rsidP="00000000" w:rsidRDefault="00000000" w:rsidRPr="00000000" w14:paraId="00000035">
            <w:pPr>
              <w:pageBreakBefore w:val="0"/>
              <w:widowControl w:val="1"/>
              <w:shd w:fill="ffffff" w:val="clear"/>
              <w:spacing w:after="0" w:line="331.2" w:lineRule="auto"/>
              <w:rPr>
                <w:highlight w:val="white"/>
              </w:rPr>
            </w:pPr>
            <w:hyperlink r:id="rId8">
              <w:r w:rsidDel="00000000" w:rsidR="00000000" w:rsidRPr="00000000">
                <w:rPr>
                  <w:color w:val="1155cc"/>
                  <w:sz w:val="18"/>
                  <w:szCs w:val="18"/>
                  <w:highlight w:val="white"/>
                  <w:u w:val="single"/>
                  <w:rtl w:val="0"/>
                </w:rPr>
                <w:t xml:space="preserve">26381 - mco puppet runonce took an hour to run</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sz w:val="18"/>
                <w:szCs w:val="18"/>
                <w:rtl w:val="0"/>
              </w:rPr>
              <w:t xml:space="preserve">The Home Depot has root caused this to a non-Puppet related issue. Russell will update the ticket and request to close shortly.</w:t>
            </w:r>
          </w:p>
        </w:tc>
      </w:tr>
      <w:tr>
        <w:trPr>
          <w:cantSplit w:val="0"/>
          <w:trHeight w:val="380" w:hRule="atLeast"/>
          <w:tblHeader w:val="0"/>
        </w:trPr>
        <w:tc>
          <w:tcPr/>
          <w:p w:rsidR="00000000" w:rsidDel="00000000" w:rsidP="00000000" w:rsidRDefault="00000000" w:rsidRPr="00000000" w14:paraId="00000037">
            <w:pPr>
              <w:pageBreakBefore w:val="0"/>
              <w:widowControl w:val="1"/>
              <w:spacing w:after="0" w:before="60" w:lineRule="auto"/>
              <w:rPr>
                <w:highlight w:val="white"/>
              </w:rPr>
            </w:pPr>
            <w:r w:rsidDel="00000000" w:rsidR="00000000" w:rsidRPr="00000000">
              <w:rPr>
                <w:highlight w:val="white"/>
                <w:rtl w:val="0"/>
              </w:rPr>
              <w:t xml:space="preserve">Internal Customer User Experience</w:t>
            </w:r>
          </w:p>
        </w:tc>
        <w:tc>
          <w:tcPr/>
          <w:p w:rsidR="00000000" w:rsidDel="00000000" w:rsidP="00000000" w:rsidRDefault="00000000" w:rsidRPr="00000000" w14:paraId="00000038">
            <w:pPr>
              <w:pageBreakBefore w:val="0"/>
              <w:widowControl w:val="1"/>
              <w:spacing w:after="0" w:line="276" w:lineRule="auto"/>
              <w:rPr>
                <w:sz w:val="18"/>
                <w:szCs w:val="18"/>
              </w:rPr>
            </w:pPr>
            <w:r w:rsidDel="00000000" w:rsidR="00000000" w:rsidRPr="00000000">
              <w:rPr>
                <w:sz w:val="18"/>
                <w:szCs w:val="18"/>
                <w:rtl w:val="0"/>
              </w:rPr>
              <w:t xml:space="preserve">Most recent issue faced occurred when the Control Repo broke because someone updated a module name incorrectly. Due to the automated process the module was pushed incorrectly, compiled and failed. Sean’s team remediates this type of issue manually by reverting and fixing. Requesting team can’t do this due to access controls.</w:t>
            </w:r>
          </w:p>
          <w:p w:rsidR="00000000" w:rsidDel="00000000" w:rsidP="00000000" w:rsidRDefault="00000000" w:rsidRPr="00000000" w14:paraId="00000039">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A">
            <w:pPr>
              <w:pageBreakBefore w:val="0"/>
              <w:widowControl w:val="1"/>
              <w:spacing w:after="0" w:line="276" w:lineRule="auto"/>
              <w:rPr>
                <w:sz w:val="18"/>
                <w:szCs w:val="18"/>
              </w:rPr>
            </w:pPr>
            <w:r w:rsidDel="00000000" w:rsidR="00000000" w:rsidRPr="00000000">
              <w:rPr>
                <w:sz w:val="18"/>
                <w:szCs w:val="18"/>
                <w:rtl w:val="0"/>
              </w:rPr>
              <w:t xml:space="preserve">This prompted the question - Why don’t we have a way to see if something doesn’t compile?</w:t>
            </w:r>
          </w:p>
          <w:p w:rsidR="00000000" w:rsidDel="00000000" w:rsidP="00000000" w:rsidRDefault="00000000" w:rsidRPr="00000000" w14:paraId="0000003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C">
            <w:pPr>
              <w:pageBreakBefore w:val="0"/>
              <w:widowControl w:val="1"/>
              <w:spacing w:after="0" w:line="276" w:lineRule="auto"/>
              <w:rPr>
                <w:sz w:val="18"/>
                <w:szCs w:val="18"/>
              </w:rPr>
            </w:pPr>
            <w:r w:rsidDel="00000000" w:rsidR="00000000" w:rsidRPr="00000000">
              <w:rPr>
                <w:sz w:val="18"/>
                <w:szCs w:val="18"/>
                <w:rtl w:val="0"/>
              </w:rPr>
              <w:t xml:space="preserve">Discussed various testing methods. Home Depot is using the onceover module and have made extensive changes to the module. Have modified it to check for duplicate declarations, which used to be major blockers. </w:t>
            </w:r>
          </w:p>
          <w:p w:rsidR="00000000" w:rsidDel="00000000" w:rsidP="00000000" w:rsidRDefault="00000000" w:rsidRPr="00000000" w14:paraId="0000003D">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E">
            <w:pPr>
              <w:pageBreakBefore w:val="0"/>
              <w:widowControl w:val="1"/>
              <w:spacing w:after="0" w:line="276" w:lineRule="auto"/>
              <w:rPr>
                <w:sz w:val="18"/>
                <w:szCs w:val="18"/>
              </w:rPr>
            </w:pPr>
            <w:r w:rsidDel="00000000" w:rsidR="00000000" w:rsidRPr="00000000">
              <w:rPr>
                <w:sz w:val="18"/>
                <w:szCs w:val="18"/>
                <w:rtl w:val="0"/>
              </w:rPr>
              <w:t xml:space="preserve">Recently have been discussing having r10k read from multiple repos to isolate code changes/code bases.</w:t>
            </w:r>
          </w:p>
        </w:tc>
      </w:tr>
      <w:tr>
        <w:trPr>
          <w:cantSplit w:val="0"/>
          <w:trHeight w:val="380" w:hRule="atLeast"/>
          <w:tblHeader w:val="0"/>
        </w:trPr>
        <w:tc>
          <w:tcPr/>
          <w:p w:rsidR="00000000" w:rsidDel="00000000" w:rsidP="00000000" w:rsidRDefault="00000000" w:rsidRPr="00000000" w14:paraId="0000003F">
            <w:pPr>
              <w:pageBreakBefore w:val="0"/>
              <w:widowControl w:val="1"/>
              <w:spacing w:after="0" w:before="60" w:lineRule="auto"/>
              <w:rPr>
                <w:highlight w:val="white"/>
              </w:rPr>
            </w:pPr>
            <w:r w:rsidDel="00000000" w:rsidR="00000000" w:rsidRPr="00000000">
              <w:rPr>
                <w:highlight w:val="white"/>
                <w:rtl w:val="0"/>
              </w:rPr>
              <w:t xml:space="preserve">Internal Support Tickets</w:t>
            </w:r>
          </w:p>
        </w:tc>
        <w:tc>
          <w:tcPr/>
          <w:p w:rsidR="00000000" w:rsidDel="00000000" w:rsidP="00000000" w:rsidRDefault="00000000" w:rsidRPr="00000000" w14:paraId="00000040">
            <w:pPr>
              <w:pageBreakBefore w:val="0"/>
              <w:widowControl w:val="1"/>
              <w:spacing w:after="0" w:line="276" w:lineRule="auto"/>
              <w:rPr>
                <w:sz w:val="18"/>
                <w:szCs w:val="18"/>
              </w:rPr>
            </w:pPr>
            <w:r w:rsidDel="00000000" w:rsidR="00000000" w:rsidRPr="00000000">
              <w:rPr>
                <w:sz w:val="18"/>
                <w:szCs w:val="18"/>
                <w:rtl w:val="0"/>
              </w:rPr>
              <w:t xml:space="preserve">Biggest challenge for Sean at the moment is triaging Support tickets internally. Last week there were 60 tickets. John to send Erica list of sample tickets.</w:t>
            </w:r>
          </w:p>
        </w:tc>
      </w:tr>
      <w:tr>
        <w:trPr>
          <w:cantSplit w:val="0"/>
          <w:trHeight w:val="380" w:hRule="atLeast"/>
          <w:tblHeader w:val="0"/>
        </w:trPr>
        <w:tc>
          <w:tcPr/>
          <w:p w:rsidR="00000000" w:rsidDel="00000000" w:rsidP="00000000" w:rsidRDefault="00000000" w:rsidRPr="00000000" w14:paraId="00000041">
            <w:pPr>
              <w:pageBreakBefore w:val="0"/>
              <w:widowControl w:val="1"/>
              <w:spacing w:after="0" w:before="60" w:lineRule="auto"/>
              <w:rPr>
                <w:highlight w:val="white"/>
              </w:rPr>
            </w:pPr>
            <w:r w:rsidDel="00000000" w:rsidR="00000000" w:rsidRPr="00000000">
              <w:rPr>
                <w:highlight w:val="white"/>
                <w:rtl w:val="0"/>
              </w:rPr>
              <w:t xml:space="preserve">Greenfield</w:t>
            </w:r>
          </w:p>
        </w:tc>
        <w:tc>
          <w:tcPr/>
          <w:p w:rsidR="00000000" w:rsidDel="00000000" w:rsidP="00000000" w:rsidRDefault="00000000" w:rsidRPr="00000000" w14:paraId="00000042">
            <w:pPr>
              <w:pageBreakBefore w:val="0"/>
              <w:widowControl w:val="1"/>
              <w:spacing w:after="0" w:line="276" w:lineRule="auto"/>
              <w:rPr>
                <w:sz w:val="18"/>
                <w:szCs w:val="18"/>
              </w:rPr>
            </w:pPr>
            <w:r w:rsidDel="00000000" w:rsidR="00000000" w:rsidRPr="00000000">
              <w:rPr>
                <w:sz w:val="18"/>
                <w:szCs w:val="18"/>
                <w:rtl w:val="0"/>
              </w:rPr>
              <w:t xml:space="preserve">Sean is exploring putting Puppet in the greenfield for teams that can and want to manage with Puppet in Greenfield. Currently they’re looking into what does Greenfield mean? How hard will this endeavor be?</w:t>
            </w:r>
          </w:p>
        </w:tc>
      </w:tr>
      <w:tr>
        <w:trPr>
          <w:cantSplit w:val="0"/>
          <w:trHeight w:val="380" w:hRule="atLeast"/>
          <w:tblHeader w:val="0"/>
        </w:trPr>
        <w:tc>
          <w:tcPr/>
          <w:p w:rsidR="00000000" w:rsidDel="00000000" w:rsidP="00000000" w:rsidRDefault="00000000" w:rsidRPr="00000000" w14:paraId="00000043">
            <w:pPr>
              <w:pageBreakBefore w:val="0"/>
              <w:widowControl w:val="1"/>
              <w:spacing w:after="0" w:before="60" w:lineRule="auto"/>
              <w:rPr>
                <w:highlight w:val="white"/>
              </w:rPr>
            </w:pPr>
            <w:r w:rsidDel="00000000" w:rsidR="00000000" w:rsidRPr="00000000">
              <w:rPr>
                <w:highlight w:val="white"/>
                <w:rtl w:val="0"/>
              </w:rPr>
              <w:t xml:space="preserve">PDK</w:t>
            </w:r>
          </w:p>
        </w:tc>
        <w:tc>
          <w:tcPr/>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sz w:val="18"/>
                <w:szCs w:val="18"/>
                <w:rtl w:val="0"/>
              </w:rPr>
              <w:t xml:space="preserve">Sean is interested in discussing the PDK.</w:t>
            </w:r>
          </w:p>
        </w:tc>
      </w:tr>
      <w:tr>
        <w:trPr>
          <w:cantSplit w:val="0"/>
          <w:trHeight w:val="380" w:hRule="atLeast"/>
          <w:tblHeader w:val="0"/>
        </w:trPr>
        <w:tc>
          <w:tcPr/>
          <w:p w:rsidR="00000000" w:rsidDel="00000000" w:rsidP="00000000" w:rsidRDefault="00000000" w:rsidRPr="00000000" w14:paraId="00000045">
            <w:pPr>
              <w:pageBreakBefore w:val="0"/>
              <w:widowControl w:val="1"/>
              <w:spacing w:after="0" w:before="60" w:lineRule="auto"/>
              <w:rPr>
                <w:highlight w:val="white"/>
              </w:rPr>
            </w:pPr>
            <w:r w:rsidDel="00000000" w:rsidR="00000000" w:rsidRPr="00000000">
              <w:rPr>
                <w:sz w:val="18"/>
                <w:szCs w:val="18"/>
                <w:rtl w:val="0"/>
              </w:rPr>
              <w:t xml:space="preserve">OpsWare Conversion</w:t>
            </w:r>
            <w:r w:rsidDel="00000000" w:rsidR="00000000" w:rsidRPr="00000000">
              <w:rPr>
                <w:rtl w:val="0"/>
              </w:rPr>
            </w:r>
          </w:p>
        </w:tc>
        <w:tc>
          <w:tcPr/>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sz w:val="18"/>
                <w:szCs w:val="18"/>
                <w:rtl w:val="0"/>
              </w:rPr>
              <w:t xml:space="preserve">OpsWare is officially off and Puppet is now the official deployment tool.</w:t>
            </w:r>
          </w:p>
        </w:tc>
      </w:tr>
      <w:tr>
        <w:trPr>
          <w:cantSplit w:val="0"/>
          <w:trHeight w:val="380" w:hRule="atLeast"/>
          <w:tblHeader w:val="0"/>
        </w:trPr>
        <w:tc>
          <w:tcPr/>
          <w:p w:rsidR="00000000" w:rsidDel="00000000" w:rsidP="00000000" w:rsidRDefault="00000000" w:rsidRPr="00000000" w14:paraId="00000047">
            <w:pPr>
              <w:pageBreakBefore w:val="0"/>
              <w:widowControl w:val="1"/>
              <w:spacing w:after="0" w:before="60" w:lineRule="auto"/>
              <w:rPr>
                <w:sz w:val="18"/>
                <w:szCs w:val="18"/>
              </w:rPr>
            </w:pPr>
            <w:r w:rsidDel="00000000" w:rsidR="00000000" w:rsidRPr="00000000">
              <w:rPr>
                <w:sz w:val="18"/>
                <w:szCs w:val="18"/>
                <w:rtl w:val="0"/>
              </w:rPr>
              <w:t xml:space="preserve">Team Priorities</w:t>
            </w:r>
          </w:p>
        </w:tc>
        <w:tc>
          <w:tcPr/>
          <w:p w:rsidR="00000000" w:rsidDel="00000000" w:rsidP="00000000" w:rsidRDefault="00000000" w:rsidRPr="00000000" w14:paraId="00000048">
            <w:pPr>
              <w:pageBreakBefore w:val="0"/>
              <w:widowControl w:val="1"/>
              <w:spacing w:after="0" w:line="276" w:lineRule="auto"/>
              <w:rPr>
                <w:sz w:val="18"/>
                <w:szCs w:val="18"/>
              </w:rPr>
            </w:pPr>
            <w:r w:rsidDel="00000000" w:rsidR="00000000" w:rsidRPr="00000000">
              <w:rPr>
                <w:sz w:val="18"/>
                <w:szCs w:val="18"/>
                <w:rtl w:val="0"/>
              </w:rPr>
              <w:t xml:space="preserve">Updated list of focus items:</w:t>
            </w:r>
          </w:p>
          <w:p w:rsidR="00000000" w:rsidDel="00000000" w:rsidP="00000000" w:rsidRDefault="00000000" w:rsidRPr="00000000" w14:paraId="00000049">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Support Issues</w:t>
            </w:r>
          </w:p>
          <w:p w:rsidR="00000000" w:rsidDel="00000000" w:rsidP="00000000" w:rsidRDefault="00000000" w:rsidRPr="00000000" w14:paraId="0000004A">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End User experience with ServiceNow/Puppet</w:t>
            </w:r>
          </w:p>
          <w:p w:rsidR="00000000" w:rsidDel="00000000" w:rsidP="00000000" w:rsidRDefault="00000000" w:rsidRPr="00000000" w14:paraId="0000004B">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Puppetizing - New items and Store Deployments</w:t>
            </w:r>
          </w:p>
          <w:p w:rsidR="00000000" w:rsidDel="00000000" w:rsidP="00000000" w:rsidRDefault="00000000" w:rsidRPr="00000000" w14:paraId="0000004C">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Non-Converted Teams</w:t>
            </w:r>
          </w:p>
          <w:p w:rsidR="00000000" w:rsidDel="00000000" w:rsidP="00000000" w:rsidRDefault="00000000" w:rsidRPr="00000000" w14:paraId="0000004D">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Upgrade to 2016.4.2</w:t>
            </w:r>
          </w:p>
          <w:p w:rsidR="00000000" w:rsidDel="00000000" w:rsidP="00000000" w:rsidRDefault="00000000" w:rsidRPr="00000000" w14:paraId="0000004E">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Config Management with Puppet</w:t>
            </w:r>
          </w:p>
          <w:p w:rsidR="00000000" w:rsidDel="00000000" w:rsidP="00000000" w:rsidRDefault="00000000" w:rsidRPr="00000000" w14:paraId="0000004F">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Cloud Management</w:t>
            </w:r>
          </w:p>
        </w:tc>
      </w:tr>
      <w:tr>
        <w:trPr>
          <w:cantSplit w:val="0"/>
          <w:trHeight w:val="380" w:hRule="atLeast"/>
          <w:tblHeader w:val="0"/>
        </w:trPr>
        <w:tc>
          <w:tcPr/>
          <w:p w:rsidR="00000000" w:rsidDel="00000000" w:rsidP="00000000" w:rsidRDefault="00000000" w:rsidRPr="00000000" w14:paraId="00000050">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51">
            <w:pPr>
              <w:pageBreakBefore w:val="0"/>
              <w:widowControl w:val="1"/>
              <w:spacing w:after="0" w:line="276" w:lineRule="auto"/>
              <w:rPr>
                <w:sz w:val="18"/>
                <w:szCs w:val="18"/>
              </w:rPr>
            </w:pPr>
            <w:r w:rsidDel="00000000" w:rsidR="00000000" w:rsidRPr="00000000">
              <w:rPr>
                <w:sz w:val="18"/>
                <w:szCs w:val="18"/>
                <w:rtl w:val="0"/>
              </w:rPr>
              <w:t xml:space="preserve">Discussed installing LTS in cloud environments on new boxes.</w:t>
            </w:r>
          </w:p>
        </w:tc>
      </w:tr>
      <w:tr>
        <w:trPr>
          <w:cantSplit w:val="0"/>
          <w:trHeight w:val="380" w:hRule="atLeast"/>
          <w:tblHeader w:val="0"/>
        </w:trPr>
        <w:tc>
          <w:tcPr/>
          <w:p w:rsidR="00000000" w:rsidDel="00000000" w:rsidP="00000000" w:rsidRDefault="00000000" w:rsidRPr="00000000" w14:paraId="00000052">
            <w:pPr>
              <w:pageBreakBefore w:val="0"/>
              <w:widowControl w:val="1"/>
              <w:spacing w:after="0" w:before="60" w:lineRule="auto"/>
              <w:rPr>
                <w:sz w:val="18"/>
                <w:szCs w:val="18"/>
              </w:rPr>
            </w:pPr>
            <w:r w:rsidDel="00000000" w:rsidR="00000000" w:rsidRPr="00000000">
              <w:rPr>
                <w:sz w:val="18"/>
                <w:szCs w:val="18"/>
                <w:rtl w:val="0"/>
              </w:rPr>
              <w:t xml:space="preserve">Terraform &amp; Puppet</w:t>
            </w:r>
          </w:p>
        </w:tc>
        <w:tc>
          <w:tcPr/>
          <w:p w:rsidR="00000000" w:rsidDel="00000000" w:rsidP="00000000" w:rsidRDefault="00000000" w:rsidRPr="00000000" w14:paraId="00000053">
            <w:pPr>
              <w:pageBreakBefore w:val="0"/>
              <w:widowControl w:val="1"/>
              <w:spacing w:after="0" w:line="276" w:lineRule="auto"/>
              <w:rPr>
                <w:sz w:val="18"/>
                <w:szCs w:val="18"/>
              </w:rPr>
            </w:pPr>
            <w:r w:rsidDel="00000000" w:rsidR="00000000" w:rsidRPr="00000000">
              <w:rPr>
                <w:sz w:val="18"/>
                <w:szCs w:val="18"/>
                <w:rtl w:val="0"/>
              </w:rPr>
              <w:t xml:space="preserve">Sean is determining how to setup cloud as an enterprise service. Interested in learning about Terraform and vSphere. Usage will span and will include a self-service portal. Option to build custom front-end to Terraform.</w:t>
            </w:r>
          </w:p>
        </w:tc>
      </w:tr>
      <w:tr>
        <w:trPr>
          <w:cantSplit w:val="0"/>
          <w:trHeight w:val="380" w:hRule="atLeast"/>
          <w:tblHeader w:val="0"/>
        </w:trPr>
        <w:tc>
          <w:tcPr/>
          <w:p w:rsidR="00000000" w:rsidDel="00000000" w:rsidP="00000000" w:rsidRDefault="00000000" w:rsidRPr="00000000" w14:paraId="00000054">
            <w:pPr>
              <w:pageBreakBefore w:val="0"/>
              <w:widowControl w:val="1"/>
              <w:spacing w:after="0" w:before="60" w:lineRule="auto"/>
              <w:rPr>
                <w:sz w:val="18"/>
                <w:szCs w:val="18"/>
              </w:rPr>
            </w:pPr>
            <w:r w:rsidDel="00000000" w:rsidR="00000000" w:rsidRPr="00000000">
              <w:rPr>
                <w:sz w:val="18"/>
                <w:szCs w:val="18"/>
                <w:rtl w:val="0"/>
              </w:rPr>
              <w:t xml:space="preserve">Metrics</w:t>
            </w:r>
          </w:p>
        </w:tc>
        <w:tc>
          <w:tcPr/>
          <w:p w:rsidR="00000000" w:rsidDel="00000000" w:rsidP="00000000" w:rsidRDefault="00000000" w:rsidRPr="00000000" w14:paraId="00000055">
            <w:pPr>
              <w:pageBreakBefore w:val="0"/>
              <w:widowControl w:val="1"/>
              <w:spacing w:after="0" w:line="276" w:lineRule="auto"/>
              <w:rPr>
                <w:sz w:val="18"/>
                <w:szCs w:val="18"/>
              </w:rPr>
            </w:pPr>
            <w:r w:rsidDel="00000000" w:rsidR="00000000" w:rsidRPr="00000000">
              <w:rPr>
                <w:sz w:val="18"/>
                <w:szCs w:val="18"/>
                <w:rtl w:val="0"/>
              </w:rPr>
              <w:t xml:space="preserve">Planning to enable metrics for troubleshooting and general metrics reporting.</w:t>
            </w:r>
          </w:p>
        </w:tc>
      </w:tr>
      <w:tr>
        <w:trPr>
          <w:cantSplit w:val="0"/>
          <w:trHeight w:val="380" w:hRule="atLeast"/>
          <w:tblHeader w:val="0"/>
        </w:trPr>
        <w:tc>
          <w:tcPr/>
          <w:p w:rsidR="00000000" w:rsidDel="00000000" w:rsidP="00000000" w:rsidRDefault="00000000" w:rsidRPr="00000000" w14:paraId="00000056">
            <w:pPr>
              <w:pageBreakBefore w:val="0"/>
              <w:widowControl w:val="1"/>
              <w:spacing w:after="0" w:before="60" w:lineRule="auto"/>
              <w:rPr>
                <w:sz w:val="18"/>
                <w:szCs w:val="18"/>
              </w:rPr>
            </w:pPr>
            <w:r w:rsidDel="00000000" w:rsidR="00000000" w:rsidRPr="00000000">
              <w:rPr>
                <w:sz w:val="18"/>
                <w:szCs w:val="18"/>
                <w:rtl w:val="0"/>
              </w:rPr>
              <w:t xml:space="preserve">QBR</w:t>
            </w:r>
          </w:p>
        </w:tc>
        <w:tc>
          <w:tcPr/>
          <w:p w:rsidR="00000000" w:rsidDel="00000000" w:rsidP="00000000" w:rsidRDefault="00000000" w:rsidRPr="00000000" w14:paraId="00000057">
            <w:pPr>
              <w:pageBreakBefore w:val="0"/>
              <w:widowControl w:val="1"/>
              <w:spacing w:after="0" w:line="276" w:lineRule="auto"/>
              <w:rPr>
                <w:sz w:val="18"/>
                <w:szCs w:val="18"/>
              </w:rPr>
            </w:pPr>
            <w:r w:rsidDel="00000000" w:rsidR="00000000" w:rsidRPr="00000000">
              <w:rPr>
                <w:sz w:val="18"/>
                <w:szCs w:val="18"/>
                <w:rtl w:val="0"/>
              </w:rPr>
              <w:t xml:space="preserve">Sean will take a look at dates after his vacation next week.</w:t>
            </w:r>
          </w:p>
        </w:tc>
      </w:tr>
    </w:tbl>
    <w:p w:rsidR="00000000" w:rsidDel="00000000" w:rsidP="00000000" w:rsidRDefault="00000000" w:rsidRPr="00000000" w14:paraId="00000058">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59">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5E">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63">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64">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67">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68">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69">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A">
            <w:pPr>
              <w:pageBreakBefore w:val="0"/>
              <w:widowControl w:val="1"/>
              <w:spacing w:after="0" w:line="276" w:lineRule="auto"/>
              <w:rPr>
                <w:sz w:val="18"/>
                <w:szCs w:val="18"/>
              </w:rPr>
            </w:pPr>
            <w:hyperlink r:id="rId9">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B">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6C">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D">
            <w:pPr>
              <w:pageBreakBefore w:val="0"/>
              <w:widowControl w:val="1"/>
              <w:spacing w:after="0" w:before="60" w:lineRule="auto"/>
              <w:rPr>
                <w:sz w:val="18"/>
                <w:szCs w:val="18"/>
                <w:highlight w:val="white"/>
              </w:rPr>
            </w:pPr>
            <w:hyperlink r:id="rId10">
              <w:r w:rsidDel="00000000" w:rsidR="00000000" w:rsidRPr="00000000">
                <w:rPr>
                  <w:color w:val="1155cc"/>
                  <w:sz w:val="18"/>
                  <w:szCs w:val="18"/>
                  <w:highlight w:val="white"/>
                  <w:u w:val="single"/>
                  <w:rtl w:val="0"/>
                </w:rPr>
                <w:t xml:space="preserve">26381</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E">
            <w:pPr>
              <w:pageBreakBefore w:val="0"/>
              <w:widowControl w:val="1"/>
              <w:spacing w:after="0" w:before="60" w:lineRule="auto"/>
              <w:rPr>
                <w:sz w:val="18"/>
                <w:szCs w:val="18"/>
              </w:rPr>
            </w:pPr>
            <w:r w:rsidDel="00000000" w:rsidR="00000000" w:rsidRPr="00000000">
              <w:rPr>
                <w:sz w:val="18"/>
                <w:szCs w:val="18"/>
                <w:highlight w:val="white"/>
                <w:rtl w:val="0"/>
              </w:rPr>
              <w:t xml:space="preserve">mco puppet runonce took an hour to run</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F">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0">
            <w:pPr>
              <w:pageBreakBefore w:val="0"/>
              <w:widowControl w:val="1"/>
              <w:spacing w:after="0" w:before="60" w:lineRule="auto"/>
              <w:rPr>
                <w:sz w:val="18"/>
                <w:szCs w:val="18"/>
                <w:highlight w:val="white"/>
              </w:rPr>
            </w:pPr>
            <w:hyperlink r:id="rId11">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1">
            <w:pPr>
              <w:pageBreakBefore w:val="0"/>
              <w:widowControl w:val="1"/>
              <w:spacing w:after="0" w:before="60" w:lineRule="auto"/>
              <w:rPr>
                <w:sz w:val="18"/>
                <w:szCs w:val="18"/>
              </w:rPr>
            </w:pPr>
            <w:r w:rsidDel="00000000" w:rsidR="00000000" w:rsidRPr="00000000">
              <w:rPr>
                <w:sz w:val="18"/>
                <w:szCs w:val="18"/>
                <w:highlight w:val="white"/>
                <w:rtl w:val="0"/>
              </w:rPr>
              <w:t xml:space="preserve">John Thebault - Long running puppet agent -t --debug --noop</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2">
            <w:pPr>
              <w:pageBreakBefore w:val="0"/>
              <w:widowControl w:val="1"/>
              <w:spacing w:after="0" w:before="60" w:lineRule="auto"/>
              <w:rPr>
                <w:sz w:val="18"/>
                <w:szCs w:val="18"/>
              </w:rPr>
            </w:pPr>
            <w:r w:rsidDel="00000000" w:rsidR="00000000" w:rsidRPr="00000000">
              <w:rPr>
                <w:sz w:val="18"/>
                <w:szCs w:val="18"/>
                <w:rtl w:val="0"/>
              </w:rPr>
              <w:t xml:space="preserve">Pending</w:t>
            </w:r>
          </w:p>
        </w:tc>
      </w:tr>
    </w:tbl>
    <w:p w:rsidR="00000000" w:rsidDel="00000000" w:rsidP="00000000" w:rsidRDefault="00000000" w:rsidRPr="00000000" w14:paraId="00000073">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74">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77">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78">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79">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1"/>
              <w:spacing w:after="0" w:line="276" w:lineRule="auto"/>
              <w:rPr>
                <w:sz w:val="18"/>
                <w:szCs w:val="18"/>
              </w:rPr>
            </w:pPr>
            <w:hyperlink r:id="rId12">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B">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13">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C">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1"/>
              <w:spacing w:after="0" w:line="276" w:lineRule="auto"/>
              <w:rPr>
                <w:sz w:val="18"/>
                <w:szCs w:val="18"/>
              </w:rPr>
            </w:pPr>
            <w:hyperlink r:id="rId14">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E">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5">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F">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0">
            <w:pPr>
              <w:pageBreakBefore w:val="0"/>
              <w:widowControl w:val="1"/>
              <w:spacing w:after="0" w:line="276" w:lineRule="auto"/>
              <w:rPr>
                <w:sz w:val="18"/>
                <w:szCs w:val="18"/>
              </w:rPr>
            </w:pPr>
            <w:hyperlink r:id="rId16">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81">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7">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82">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3">
            <w:pPr>
              <w:pageBreakBefore w:val="0"/>
              <w:widowControl w:val="1"/>
              <w:spacing w:after="0" w:line="276" w:lineRule="auto"/>
              <w:rPr>
                <w:sz w:val="18"/>
                <w:szCs w:val="18"/>
              </w:rPr>
            </w:pPr>
            <w:hyperlink r:id="rId18">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4">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19">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85">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6">
            <w:pPr>
              <w:pageBreakBefore w:val="0"/>
              <w:widowControl w:val="1"/>
              <w:spacing w:after="0" w:line="276" w:lineRule="auto"/>
              <w:rPr>
                <w:sz w:val="18"/>
                <w:szCs w:val="18"/>
              </w:rPr>
            </w:pPr>
            <w:hyperlink r:id="rId20">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7">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21">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88">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9">
            <w:pPr>
              <w:pageBreakBefore w:val="0"/>
              <w:widowControl w:val="1"/>
              <w:spacing w:after="0" w:line="276" w:lineRule="auto"/>
              <w:rPr>
                <w:sz w:val="18"/>
                <w:szCs w:val="18"/>
              </w:rPr>
            </w:pPr>
            <w:hyperlink r:id="rId22">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A">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8B">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8C">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23" w:type="default"/>
      <w:footerReference r:id="rId24"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tickets.puppetlabs.com/browse/FACT-1379" TargetMode="External"/><Relationship Id="rId11" Type="http://schemas.openxmlformats.org/officeDocument/2006/relationships/hyperlink" Target="https://puppetlabs.zendesk.com/agent/tickets/24952" TargetMode="External"/><Relationship Id="rId22" Type="http://schemas.openxmlformats.org/officeDocument/2006/relationships/hyperlink" Target="https://tickets.puppetlabs.com/browse/PUP-6099" TargetMode="External"/><Relationship Id="rId10" Type="http://schemas.openxmlformats.org/officeDocument/2006/relationships/hyperlink" Target="https://puppetlabs.zendesk.com/agent/tickets/26381" TargetMode="External"/><Relationship Id="rId21" Type="http://schemas.openxmlformats.org/officeDocument/2006/relationships/hyperlink" Target="https://puppetlabs.zendesk.com/agent/tickets/17557" TargetMode="External"/><Relationship Id="rId13" Type="http://schemas.openxmlformats.org/officeDocument/2006/relationships/hyperlink" Target="https://puppetlabs.zendesk.com/agent/tickets/16899" TargetMode="External"/><Relationship Id="rId24" Type="http://schemas.openxmlformats.org/officeDocument/2006/relationships/footer" Target="footer1.xml"/><Relationship Id="rId12" Type="http://schemas.openxmlformats.org/officeDocument/2006/relationships/hyperlink" Target="https://tickets.puppetlabs.com/browse/PDB-2487"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labs.zendesk.com/agent/tickets/24952" TargetMode="External"/><Relationship Id="rId15" Type="http://schemas.openxmlformats.org/officeDocument/2006/relationships/hyperlink" Target="https://puppetlabs.zendesk.com/agent/tickets/17472" TargetMode="External"/><Relationship Id="rId14" Type="http://schemas.openxmlformats.org/officeDocument/2006/relationships/hyperlink" Target="https://tickets.puppetlabs.com/browse/ENTERPRISE-594" TargetMode="External"/><Relationship Id="rId17" Type="http://schemas.openxmlformats.org/officeDocument/2006/relationships/hyperlink" Target="https://puppetlabs.zendesk.com/agent/tickets/16979" TargetMode="External"/><Relationship Id="rId16" Type="http://schemas.openxmlformats.org/officeDocument/2006/relationships/hyperlink" Target="https://tickets.puppetlabs.com/browse/SERVER-377" TargetMode="External"/><Relationship Id="rId5" Type="http://schemas.openxmlformats.org/officeDocument/2006/relationships/styles" Target="styles.xml"/><Relationship Id="rId19" Type="http://schemas.openxmlformats.org/officeDocument/2006/relationships/hyperlink" Target="https://puppetlabs.zendesk.com/agent/tickets/17041" TargetMode="External"/><Relationship Id="rId6" Type="http://schemas.openxmlformats.org/officeDocument/2006/relationships/hyperlink" Target="https://puppetlabs.zendesk.com/agent/tickets/24952" TargetMode="External"/><Relationship Id="rId18" Type="http://schemas.openxmlformats.org/officeDocument/2006/relationships/hyperlink" Target="https://tickets.puppetlabs.com/browse/PE-14397" TargetMode="External"/><Relationship Id="rId7" Type="http://schemas.openxmlformats.org/officeDocument/2006/relationships/hyperlink" Target="https://puppetlabs.zendesk.com/agent/tickets/26385" TargetMode="External"/><Relationship Id="rId8" Type="http://schemas.openxmlformats.org/officeDocument/2006/relationships/hyperlink" Target="https://puppetlabs.zendesk.com/agent/tickets/263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