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239B9">
      <w:pPr>
        <w:spacing w:line="560" w:lineRule="exact"/>
        <w:jc w:val="center"/>
        <w:rPr>
          <w:rFonts w:hint="eastAsia" w:ascii="方正小标宋" w:hAnsi="华文中宋" w:eastAsia="方正小标宋" w:cs="华文中宋"/>
          <w:sz w:val="44"/>
          <w:szCs w:val="44"/>
        </w:rPr>
      </w:pPr>
      <w:r>
        <w:rPr>
          <w:rFonts w:hint="eastAsia" w:ascii="方正小标宋" w:hAnsi="华文中宋" w:eastAsia="方正小标宋" w:cs="华文中宋"/>
          <w:sz w:val="44"/>
          <w:szCs w:val="44"/>
          <w:lang w:eastAsia="zh-CN"/>
        </w:rPr>
        <w:t>2025</w:t>
      </w:r>
      <w:r>
        <w:rPr>
          <w:rFonts w:hint="eastAsia" w:ascii="方正小标宋" w:hAnsi="华文中宋" w:eastAsia="方正小标宋" w:cs="华文中宋"/>
          <w:sz w:val="44"/>
          <w:szCs w:val="44"/>
        </w:rPr>
        <w:t>年度述职报告</w:t>
      </w:r>
    </w:p>
    <w:p w14:paraId="5E426088">
      <w:pPr>
        <w:spacing w:line="560" w:lineRule="exact"/>
        <w:jc w:val="center"/>
        <w:rPr>
          <w:rFonts w:hint="eastAsia" w:ascii="方正小标宋" w:hAnsi="华文中宋" w:eastAsia="方正小标宋" w:cs="华文中宋"/>
          <w:sz w:val="44"/>
          <w:szCs w:val="44"/>
        </w:rPr>
      </w:pPr>
    </w:p>
    <w:p w14:paraId="5BD68FD9">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一、2025年重点工作推进情况和工作成果分析</w:t>
      </w:r>
    </w:p>
    <w:p w14:paraId="764F7219">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（一）2025年重点工作推进情况</w:t>
      </w:r>
    </w:p>
    <w:p w14:paraId="3F434A62">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自2025年7月1日入职半年来，作为行业大模型合作研发团队解决方案专家，重点工作主要围绕商机支撑、产品研发两个方面：</w:t>
      </w:r>
    </w:p>
    <w:p w14:paraId="2005F514">
      <w:pPr>
        <w:keepNext w:val="0"/>
        <w:keepLines w:val="0"/>
        <w:pageBreakBefore w:val="0"/>
        <w:widowControl/>
        <w:numPr>
          <w:ilvl w:val="0"/>
          <w:numId w:val="1"/>
        </w:numPr>
        <w:suppressLineNumbers w:val="0"/>
        <w:shd w:val="clear" w:fill="FFFFFF"/>
        <w:kinsoku/>
        <w:wordWrap/>
        <w:overflowPunct/>
        <w:topLinePunct w:val="0"/>
        <w:autoSpaceDE/>
        <w:autoSpaceDN/>
        <w:bidi w:val="0"/>
        <w:adjustRightInd w:val="0"/>
        <w:snapToGrid w:val="0"/>
        <w:spacing w:line="360" w:lineRule="auto"/>
        <w:ind w:left="420" w:leftChars="0"/>
        <w:jc w:val="left"/>
        <w:textAlignment w:val="auto"/>
        <w:rPr>
          <w:rFonts w:hint="eastAsia" w:ascii="楷体" w:hAnsi="楷体" w:eastAsia="楷体" w:cs="楷体"/>
          <w:b/>
          <w:bCs/>
          <w:i w:val="0"/>
          <w:iCs w:val="0"/>
          <w:caps w:val="0"/>
          <w:color w:val="000000"/>
          <w:spacing w:val="0"/>
          <w:kern w:val="0"/>
          <w:sz w:val="28"/>
          <w:szCs w:val="28"/>
          <w:shd w:val="clear" w:fill="FFFFFF"/>
          <w:lang w:val="en-US" w:eastAsia="zh-CN" w:bidi="ar"/>
        </w:rPr>
      </w:pPr>
      <w:r>
        <w:rPr>
          <w:rFonts w:hint="eastAsia" w:ascii="楷体" w:hAnsi="楷体" w:eastAsia="楷体" w:cs="楷体"/>
          <w:b/>
          <w:bCs/>
          <w:i w:val="0"/>
          <w:iCs w:val="0"/>
          <w:caps w:val="0"/>
          <w:color w:val="000000"/>
          <w:spacing w:val="0"/>
          <w:kern w:val="0"/>
          <w:sz w:val="28"/>
          <w:szCs w:val="28"/>
          <w:shd w:val="clear" w:fill="FFFFFF"/>
          <w:lang w:val="en-US" w:eastAsia="zh-CN" w:bidi="ar"/>
        </w:rPr>
        <w:t>商机支撑</w:t>
      </w:r>
    </w:p>
    <w:p w14:paraId="6B81D535">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数智YJ智能体应用建设项目，9月份完成客户方组织的智能问数智能体竞赛，共邀请10家厂商参赛（中国移动、中国联通、中国电信、中电启明星、华为</w:t>
      </w:r>
      <w:bookmarkStart w:id="7" w:name="_GoBack"/>
      <w:bookmarkEnd w:id="7"/>
      <w:r>
        <w:rPr>
          <w:rFonts w:hint="eastAsia" w:ascii="仿宋" w:hAnsi="仿宋" w:eastAsia="仿宋" w:cs="仿宋"/>
          <w:b w:val="0"/>
          <w:bCs w:val="0"/>
          <w:i w:val="0"/>
          <w:iCs w:val="0"/>
          <w:caps w:val="0"/>
          <w:color w:val="000000"/>
          <w:spacing w:val="0"/>
          <w:kern w:val="0"/>
          <w:sz w:val="32"/>
          <w:szCs w:val="32"/>
          <w:shd w:val="clear" w:fill="FFFFFF"/>
          <w:lang w:val="en-US" w:eastAsia="zh-CN" w:bidi="ar"/>
        </w:rPr>
        <w:t>、中交建、中电科、南方电网、中软国际、阿里云）。我作为AI解决方案专家带队AI业务部相关同僚，代表公司参赛获得第3名（入围第二轮智能体竞赛），入围客户邀标厂商，10月份带领团队完成第二轮竞赛完整方案设计与智能体部署，客户邀请三家参赛方举行参赛作品评审会，中国移动参赛作品作为典型作品得到客户的现场表扬。同时，率队完成面向数信部祝辉庆处长的数智YJ建设过程三大问题答疑，并形成汇报材料，得到祝辉庆处长认可。当前，面向中国雅江集团，我于12月初面向客户紧迫需求带领团队赴雅江，整体主导并负责雅江数信中心应急专班的智能体应用规划与设计工作。当前已完成关键性方案设计、及面向数信中心程鑫处长的阶段性汇报，并取得成果认可，雅江数信中心计划于2026年1季度开展应急垂类智能体的项目招采工作，后期我将率团队将长期驻扎专班现场，为明年的商机转化做充足的准备。</w:t>
      </w:r>
    </w:p>
    <w:p w14:paraId="6079590B">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RT集团AI中台建设项目，8月完成深化人工智能创新应用方案编写，基于自身丰富的企业管理咨询到落地全链路经验，对RT集团提出AI全栈原生能力构建方法。9月完成面向十五五规划的AI+专项行动建设方案建议。当前，我作为AI解决方案专家代表中国移动的前期支撑工作获得了最终成果，本月初，融通集团数智化转型规划项目，预算875万元，于12月1日发布公告由中移数智中标，中标金额825万元。集成公司将依照前期支撑情况进行项目相关内容承接工作。</w:t>
      </w:r>
    </w:p>
    <w:p w14:paraId="459B119C">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湛江AI渗透之城项目，9月完成可研方案编写与汇报。以中共湛江市委、湛江市人民政府印发《湛江市加快打造AI渗透之城行动方案（2025—2027年）》的通知文件为指导方针，以红莓a-maas平台产品全家桶AI能力为依托，完成客户方组织的多轮技术研讨，带领行业大模型合作研发团队完成超级智能体开发引擎的demo演示，得到湛江政数局领导、湛江移动战客中心总经理及总监的高度认可。</w:t>
      </w:r>
    </w:p>
    <w:p w14:paraId="67ABAAD9">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鞍钢集团远程技术支撑，9月客户方组织AI智能体MCP服务权限管控技术研讨会议，我作为AI解决方案专家，主导并解答了客户方提出的关于MCP Hub二级权限管控方案的专业性问题，并获得鞍钢集团技术总监的高度认可。</w:t>
      </w:r>
    </w:p>
    <w:p w14:paraId="5067E011">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面向西北五省，与各省公司开展省专协同模式下的红莓产品推广工作。2025年首先完成面向新疆省公司的红莓产品培训与对接工作，拜访新疆应急厅、新疆交通厅等核心政企客户，获得初步需求并建立联系，后续深入携手新疆省公司，面向全疆展开红莓产品推广工作，早日完成商机转化。</w:t>
      </w:r>
    </w:p>
    <w:p w14:paraId="73551107">
      <w:pPr>
        <w:keepNext w:val="0"/>
        <w:keepLines w:val="0"/>
        <w:pageBreakBefore w:val="0"/>
        <w:widowControl/>
        <w:numPr>
          <w:ilvl w:val="0"/>
          <w:numId w:val="1"/>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eastAsia" w:ascii="楷体" w:hAnsi="楷体" w:eastAsia="楷体" w:cs="楷体"/>
          <w:b/>
          <w:bCs/>
          <w:i w:val="0"/>
          <w:iCs w:val="0"/>
          <w:caps w:val="0"/>
          <w:color w:val="000000"/>
          <w:spacing w:val="0"/>
          <w:kern w:val="0"/>
          <w:sz w:val="28"/>
          <w:szCs w:val="28"/>
          <w:shd w:val="clear" w:fill="FFFFFF"/>
          <w:lang w:val="en-US" w:eastAsia="zh-CN" w:bidi="ar"/>
        </w:rPr>
      </w:pPr>
      <w:r>
        <w:rPr>
          <w:rFonts w:hint="eastAsia" w:ascii="楷体" w:hAnsi="楷体" w:eastAsia="楷体" w:cs="楷体"/>
          <w:b/>
          <w:bCs/>
          <w:i w:val="0"/>
          <w:iCs w:val="0"/>
          <w:caps w:val="0"/>
          <w:color w:val="000000"/>
          <w:spacing w:val="0"/>
          <w:kern w:val="0"/>
          <w:sz w:val="28"/>
          <w:szCs w:val="28"/>
          <w:shd w:val="clear" w:fill="FFFFFF"/>
          <w:lang w:val="en-US" w:eastAsia="zh-CN" w:bidi="ar"/>
        </w:rPr>
        <w:t>产品研发</w:t>
      </w:r>
    </w:p>
    <w:p w14:paraId="7A28DE3A">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以产品Owner视角、解决方案专家视角分别总结业界主流各产品能力优势，并以此为参考带领研发团队逐步实现自有超级智能体开发引擎的短期追赶，中期对标，长期超越愿景。其中：</w:t>
      </w:r>
    </w:p>
    <w:p w14:paraId="49CEBFA6">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主流产品的本地化部署与优势能力挖掘。对标业界主流AI应用开发平台Dify，Coze，Claude等，带领团队完成各产品的本地化部署与优势能力挖掘，如Dify的可视化编排，支持拖拽式构建复杂工作流，包括 Prompt、知识库检索、工具调用、代码执行等。Coze的零代码开发，无需编程基础，通过自然语言配置 Prompt、点选添加插件和知识库即可完成 Bot 构建，界面设计直观，支持拖拽式工作流编排。Claude 3.5系列的流程图与技术图纸解析能力，可实现图像生成代码的跨模态交互等。</w:t>
      </w:r>
    </w:p>
    <w:p w14:paraId="1FE32972">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基于主流产品的优势能力挖掘，开展自研超级智能体开发引擎产品的核心竞争力定位与规划，带领团队攻关核心技术点，包括构建内置企业级RAG知识库引擎、可视化工作流编排引擎等，支持复杂 Agent逻辑与多模态任务编排，工作流引擎支持并行任务处理，插件引擎支持第三方插件快速接入，提供MCP服务适配与接入，LLMOps监控体系等。</w:t>
      </w:r>
    </w:p>
    <w:p w14:paraId="541B0C96">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（二）2025年主要工作成果</w:t>
      </w:r>
    </w:p>
    <w:p w14:paraId="72639352">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p>
    <w:p w14:paraId="31A1BAFC">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（三）过去一年工作中发现的不足及下一步计划</w:t>
      </w:r>
    </w:p>
    <w:p w14:paraId="4A0C19B8">
      <w:pPr>
        <w:keepNext w:val="0"/>
        <w:keepLines w:val="0"/>
        <w:pageBreakBefore w:val="0"/>
        <w:widowControl/>
        <w:numPr>
          <w:ilvl w:val="0"/>
          <w:numId w:val="2"/>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eastAsia" w:ascii="楷体" w:hAnsi="楷体" w:eastAsia="楷体" w:cs="楷体"/>
          <w:b/>
          <w:bCs/>
          <w:i w:val="0"/>
          <w:iCs w:val="0"/>
          <w:caps w:val="0"/>
          <w:color w:val="000000"/>
          <w:spacing w:val="0"/>
          <w:kern w:val="0"/>
          <w:sz w:val="28"/>
          <w:szCs w:val="28"/>
          <w:shd w:val="clear" w:fill="FFFFFF"/>
          <w:lang w:val="en-US" w:eastAsia="zh-CN" w:bidi="ar"/>
        </w:rPr>
      </w:pPr>
      <w:r>
        <w:rPr>
          <w:rFonts w:hint="eastAsia" w:ascii="楷体" w:hAnsi="楷体" w:eastAsia="楷体" w:cs="楷体"/>
          <w:b/>
          <w:bCs/>
          <w:i w:val="0"/>
          <w:iCs w:val="0"/>
          <w:caps w:val="0"/>
          <w:color w:val="000000"/>
          <w:spacing w:val="0"/>
          <w:kern w:val="0"/>
          <w:sz w:val="28"/>
          <w:szCs w:val="28"/>
          <w:shd w:val="clear" w:fill="FFFFFF"/>
          <w:lang w:val="en-US" w:eastAsia="zh-CN" w:bidi="ar"/>
        </w:rPr>
        <w:t>工作中的不足</w:t>
      </w:r>
    </w:p>
    <w:p w14:paraId="7987F03C">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当前接触的商机客户行业跨度较大，如水利水电、资产管理、钢铁等，在这些行业积累的方案和经验偏少，需要快速的补充行业知识（通过线下学习，客户交流，内部复盘等方式提升）；</w:t>
      </w:r>
    </w:p>
    <w:p w14:paraId="2844BFFD">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自研产品研发过程中，相关方案材料积累较少，不能及时响应各商机客户提出的方案材料支撑需求，无法以最高效的方式将产品能力体现在客户现场，需要快速的带领团队积累相关方案，形成我公司自研AI产品优势能力方案资产。</w:t>
      </w:r>
    </w:p>
    <w:p w14:paraId="5B7AA2C5">
      <w:pPr>
        <w:keepNext w:val="0"/>
        <w:keepLines w:val="0"/>
        <w:pageBreakBefore w:val="0"/>
        <w:widowControl/>
        <w:numPr>
          <w:ilvl w:val="0"/>
          <w:numId w:val="2"/>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default" w:ascii="楷体" w:hAnsi="楷体" w:eastAsia="楷体" w:cs="楷体"/>
          <w:b/>
          <w:bCs/>
          <w:i w:val="0"/>
          <w:iCs w:val="0"/>
          <w:caps w:val="0"/>
          <w:color w:val="000000"/>
          <w:spacing w:val="0"/>
          <w:kern w:val="0"/>
          <w:sz w:val="28"/>
          <w:szCs w:val="28"/>
          <w:shd w:val="clear" w:fill="FFFFFF"/>
          <w:lang w:val="en-US" w:eastAsia="zh-CN" w:bidi="ar"/>
        </w:rPr>
      </w:pPr>
      <w:r>
        <w:rPr>
          <w:rFonts w:hint="eastAsia" w:ascii="楷体" w:hAnsi="楷体" w:eastAsia="楷体" w:cs="楷体"/>
          <w:b/>
          <w:bCs/>
          <w:i w:val="0"/>
          <w:iCs w:val="0"/>
          <w:caps w:val="0"/>
          <w:color w:val="000000"/>
          <w:spacing w:val="0"/>
          <w:kern w:val="0"/>
          <w:sz w:val="28"/>
          <w:szCs w:val="28"/>
          <w:shd w:val="clear" w:fill="FFFFFF"/>
          <w:lang w:val="en-US" w:eastAsia="zh-CN" w:bidi="ar"/>
        </w:rPr>
        <w:t>下一步的计划</w:t>
      </w:r>
    </w:p>
    <w:p w14:paraId="719B8DDD">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当前已被任命为集成公司RT突击队队长，2026计划主导并开展完成中国融通集团AI+专项行动规划与落地项目的支撑工作，以实力维护紧密客户黏性，2026年力争项目签单，实现中国融通集团AI规划到落地的全链路项目主导，为融通面向国家十五五规划布局贡献应有的力量。</w:t>
      </w:r>
    </w:p>
    <w:p w14:paraId="459EB5D8">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继续开展完成中国雅江集团数智YJ项目关于AI领域的商机转化工作，当前带领团队完成YJ应急专班垂类智能体规划与汇报演示工作，实现阶段性成果，2026年1、2季度项目招采，我将率移动借调专班团队力争项目签单，完成商机转化工作。</w:t>
      </w:r>
    </w:p>
    <w:p w14:paraId="5976EF54">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面向各大战客重客的AI+专项行动顶规顶设到实施落地全链路工作，通过实际客户项目交付、产品交付过程的痛点需求挖掘，洞察共性高价值需求，反向孵化全新产品定义迭代，提升自身红莓超级智能体开发平台的核心产品力及行业竞争力。</w:t>
      </w:r>
    </w:p>
    <w:p w14:paraId="44EF915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主导并开展面向内部自研超级智能体开发平台能力建设的AI+标杆智能体应用规划、设计与研发落地工作，全面完善红莓a-maas全家桶体系“1底座+1门户+N智能体”的全栈式AI服务能力。</w:t>
      </w:r>
    </w:p>
    <w:p w14:paraId="6F491699">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主导并开展面向西北五省的红莓产品推广工作，首批完成面向新疆，开展全疆包括建设兵团在内地的红莓产品推广与客户定制化需求商机的支撑工作，完成相关商机转化，并带队完成产品、项目交付。</w:t>
      </w:r>
    </w:p>
    <w:p w14:paraId="6BD07702">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二、年度技术任务书的重点完成情况</w:t>
      </w:r>
    </w:p>
    <w:p w14:paraId="5BC1F1EE">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default"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（一）技术任务书核心指标完成情况</w:t>
      </w:r>
    </w:p>
    <w:p w14:paraId="19ACE49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bookmarkStart w:id="0" w:name="OLE_LINK1"/>
      <w:r>
        <w:rPr>
          <w:rFonts w:hint="eastAsia" w:ascii="仿宋_GB2312" w:hAnsi="仿宋_GB2312" w:eastAsia="仿宋_GB2312" w:cs="仿宋_GB2312"/>
          <w:color w:val="auto"/>
          <w:sz w:val="32"/>
          <w:szCs w:val="32"/>
          <w:highlight w:val="none"/>
          <w:lang w:val="en-US" w:eastAsia="zh-CN"/>
        </w:rPr>
        <w:t>阐述年度任务书的考核目标和完成情况，呈现形式如下：</w:t>
      </w:r>
    </w:p>
    <w:tbl>
      <w:tblPr>
        <w:tblStyle w:val="5"/>
        <w:tblW w:w="8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497"/>
        <w:gridCol w:w="2151"/>
        <w:gridCol w:w="2249"/>
      </w:tblGrid>
      <w:tr w14:paraId="4B3C300F">
        <w:trPr>
          <w:trHeight w:val="535" w:hRule="atLeast"/>
          <w:jc w:val="center"/>
        </w:trPr>
        <w:tc>
          <w:tcPr>
            <w:tcW w:w="1441" w:type="dxa"/>
            <w:vAlign w:val="center"/>
          </w:tcPr>
          <w:p w14:paraId="709A9F0C">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序号</w:t>
            </w:r>
          </w:p>
        </w:tc>
        <w:tc>
          <w:tcPr>
            <w:tcW w:w="2497" w:type="dxa"/>
            <w:vAlign w:val="center"/>
          </w:tcPr>
          <w:p w14:paraId="1D1F24E6">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核心指标内容</w:t>
            </w:r>
          </w:p>
        </w:tc>
        <w:tc>
          <w:tcPr>
            <w:tcW w:w="2151" w:type="dxa"/>
            <w:vAlign w:val="center"/>
          </w:tcPr>
          <w:p w14:paraId="43D6CE2D">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指标考核规则</w:t>
            </w:r>
            <w:r>
              <w:rPr>
                <w:rFonts w:hint="eastAsia" w:ascii="仿宋_GB2312" w:hAnsi="仿宋_GB2312" w:eastAsia="仿宋_GB2312" w:cs="仿宋_GB2312"/>
                <w:b w:val="0"/>
                <w:bCs w:val="0"/>
                <w:sz w:val="24"/>
                <w:szCs w:val="24"/>
                <w:lang w:val="en-US" w:eastAsia="zh-CN"/>
              </w:rPr>
              <w:br w:type="textWrapping"/>
            </w:r>
            <w:r>
              <w:rPr>
                <w:rFonts w:hint="eastAsia" w:ascii="仿宋_GB2312" w:hAnsi="仿宋_GB2312" w:eastAsia="仿宋_GB2312" w:cs="仿宋_GB2312"/>
                <w:b w:val="0"/>
                <w:bCs w:val="0"/>
                <w:sz w:val="24"/>
                <w:szCs w:val="24"/>
                <w:lang w:val="en-US" w:eastAsia="zh-CN"/>
              </w:rPr>
              <w:t>（每项评分标准和考核规则）</w:t>
            </w:r>
          </w:p>
        </w:tc>
        <w:tc>
          <w:tcPr>
            <w:tcW w:w="2249" w:type="dxa"/>
            <w:vAlign w:val="center"/>
          </w:tcPr>
          <w:p w14:paraId="3C9A5484">
            <w:pPr>
              <w:keepNext w:val="0"/>
              <w:keepLines w:val="0"/>
              <w:pageBreakBefore w:val="0"/>
              <w:kinsoku/>
              <w:wordWrap/>
              <w:overflowPunct/>
              <w:topLinePunct w:val="0"/>
              <w:autoSpaceDE/>
              <w:autoSpaceDN/>
              <w:bidi w:val="0"/>
              <w:spacing w:line="560" w:lineRule="exact"/>
              <w:ind w:firstLine="240" w:firstLineChars="100"/>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完成情况</w:t>
            </w:r>
          </w:p>
        </w:tc>
      </w:tr>
      <w:tr w14:paraId="17232308">
        <w:trPr>
          <w:trHeight w:val="535" w:hRule="atLeast"/>
          <w:jc w:val="center"/>
        </w:trPr>
        <w:tc>
          <w:tcPr>
            <w:tcW w:w="1441" w:type="dxa"/>
          </w:tcPr>
          <w:p w14:paraId="58CD677A">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w:t>
            </w:r>
          </w:p>
        </w:tc>
        <w:tc>
          <w:tcPr>
            <w:tcW w:w="2497" w:type="dxa"/>
          </w:tcPr>
          <w:p w14:paraId="610AF83B">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151" w:type="dxa"/>
          </w:tcPr>
          <w:p w14:paraId="4FDD2D7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249" w:type="dxa"/>
          </w:tcPr>
          <w:p w14:paraId="6793B7B1">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r>
      <w:tr w14:paraId="1FA2E814">
        <w:trPr>
          <w:trHeight w:val="535" w:hRule="atLeast"/>
          <w:jc w:val="center"/>
        </w:trPr>
        <w:tc>
          <w:tcPr>
            <w:tcW w:w="1441" w:type="dxa"/>
          </w:tcPr>
          <w:p w14:paraId="2F4D5C6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2</w:t>
            </w:r>
          </w:p>
        </w:tc>
        <w:tc>
          <w:tcPr>
            <w:tcW w:w="2497" w:type="dxa"/>
          </w:tcPr>
          <w:p w14:paraId="3AD97ACC">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151" w:type="dxa"/>
          </w:tcPr>
          <w:p w14:paraId="7598F95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249" w:type="dxa"/>
          </w:tcPr>
          <w:p w14:paraId="147B1BC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r>
      <w:tr w14:paraId="0E3C0036">
        <w:trPr>
          <w:trHeight w:val="535" w:hRule="atLeast"/>
          <w:jc w:val="center"/>
        </w:trPr>
        <w:tc>
          <w:tcPr>
            <w:tcW w:w="1441" w:type="dxa"/>
          </w:tcPr>
          <w:p w14:paraId="6E55504F">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3</w:t>
            </w:r>
          </w:p>
        </w:tc>
        <w:tc>
          <w:tcPr>
            <w:tcW w:w="2497" w:type="dxa"/>
          </w:tcPr>
          <w:p w14:paraId="6173B038">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151" w:type="dxa"/>
          </w:tcPr>
          <w:p w14:paraId="491F0833">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c>
          <w:tcPr>
            <w:tcW w:w="2249" w:type="dxa"/>
          </w:tcPr>
          <w:p w14:paraId="3297CA88">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r>
      <w:tr w14:paraId="5C737E59">
        <w:trPr>
          <w:trHeight w:val="90" w:hRule="atLeast"/>
          <w:jc w:val="center"/>
        </w:trPr>
        <w:tc>
          <w:tcPr>
            <w:tcW w:w="8338" w:type="dxa"/>
            <w:gridSpan w:val="4"/>
          </w:tcPr>
          <w:p w14:paraId="33B262C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vertAlign w:val="baseline"/>
                <w:lang w:val="en-US" w:eastAsia="zh-CN"/>
              </w:rPr>
            </w:pPr>
            <w:r>
              <w:rPr>
                <w:rFonts w:hint="eastAsia" w:ascii="仿宋_GB2312" w:hAnsi="仿宋_GB2312" w:eastAsia="仿宋_GB2312" w:cs="仿宋_GB2312"/>
                <w:b w:val="0"/>
                <w:bCs w:val="0"/>
                <w:sz w:val="24"/>
                <w:szCs w:val="24"/>
              </w:rPr>
              <w:t>…</w:t>
            </w:r>
          </w:p>
        </w:tc>
      </w:tr>
      <w:bookmarkEnd w:id="0"/>
    </w:tbl>
    <w:p w14:paraId="7E989345">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default"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（二）专家价值发挥情况</w:t>
      </w:r>
    </w:p>
    <w:p w14:paraId="5A502C6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1.专业攻坚：参与本专业相关的重点攻关项目、创新课题或专项任务情况。</w:t>
      </w:r>
    </w:p>
    <w:p w14:paraId="69BF5D2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2.专业建议：每年对研发技术、市场拓展、经营管理等发展策略提供的专业参考和专业支撑。</w:t>
      </w:r>
    </w:p>
    <w:p w14:paraId="50EBAC3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3.人才培养：每年担任员工导师，参与本专业领域人才培养的情况。</w:t>
      </w:r>
    </w:p>
    <w:p w14:paraId="4B553975">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4.专业分享：每年参与本专业内训工作，期间在相关专业领域授课时长或开发课件情况。</w:t>
      </w:r>
    </w:p>
    <w:p w14:paraId="3B4EAC5C">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t>
      </w:r>
    </w:p>
    <w:p w14:paraId="78B35348">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三、对公司的建议</w:t>
      </w:r>
    </w:p>
    <w:p w14:paraId="7E49797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坚持强化自有产品的竞争力，不仅是技术竞争力，也要重视行业积累的竞争力，面对重大重点项目相关行业客户的多源需求，积极提取需求共性，提升产品升级适配能力；</w:t>
      </w:r>
    </w:p>
    <w:p w14:paraId="07AC877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以“大客户”战略为主，坚持并坚守在国家发展的重点行业领域，深耕大客户业务，产出先进性产品；</w:t>
      </w:r>
    </w:p>
    <w:p w14:paraId="1F8AF71A">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培养行业管理咨询能力，基于企业架构规划与设计标杆框架实行“先咨询、后落地”的最佳实践“打法”；</w:t>
      </w:r>
    </w:p>
    <w:p w14:paraId="39EFD2B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提高与集团政企高层、客户高层的紧密联系，避免丢失赢单率较高的标的。</w:t>
      </w:r>
    </w:p>
    <w:p w14:paraId="7DD43D3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客户发标存在多标共存的情况，公司在投标策略上，尽量倾斜有助于公司战略发展的客户项目。</w:t>
      </w:r>
    </w:p>
    <w:p w14:paraId="0EC052A2">
      <w:pPr>
        <w:spacing w:line="560" w:lineRule="exact"/>
        <w:ind w:firstLine="640" w:firstLineChars="200"/>
        <w:rPr>
          <w:rFonts w:ascii="仿宋_GB2312" w:hAnsi="仿宋_GB2312" w:eastAsia="仿宋_GB2312" w:cs="仿宋_GB2312"/>
          <w:sz w:val="32"/>
          <w:szCs w:val="32"/>
        </w:rPr>
      </w:pPr>
    </w:p>
    <w:sectPr>
      <w:headerReference r:id="rId3" w:type="default"/>
      <w:footerReference r:id="rId5" w:type="default"/>
      <w:headerReference r:id="rId4" w:type="even"/>
      <w:footerReference r:id="rId6" w:type="even"/>
      <w:pgSz w:w="11906" w:h="16838"/>
      <w:pgMar w:top="2098" w:right="1587" w:bottom="2098"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小标宋">
    <w:altName w:val="汉仪书宋二KW"/>
    <w:panose1 w:val="00000000000000000000"/>
    <w:charset w:val="86"/>
    <w:family w:val="roman"/>
    <w:pitch w:val="default"/>
    <w:sig w:usb0="00000000" w:usb1="00000000" w:usb2="00000000" w:usb3="00000000" w:csb0="00000000"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
    <w:altName w:val="方正仿宋_GBK"/>
    <w:panose1 w:val="02010609060101010101"/>
    <w:charset w:val="86"/>
    <w:family w:val="modern"/>
    <w:pitch w:val="default"/>
    <w:sig w:usb0="00000000" w:usb1="00000000"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12C65">
    <w:pPr>
      <w:pStyle w:val="2"/>
      <w:tabs>
        <w:tab w:val="center" w:pos="4366"/>
        <w:tab w:val="clear" w:pos="8306"/>
      </w:tabs>
      <w:ind w:right="720" w:firstLine="7200" w:firstLineChars="400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76119">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476119">
                    <w:pPr>
                      <w:pStyle w:val="2"/>
                    </w:pPr>
                    <w:r>
                      <w:fldChar w:fldCharType="begin"/>
                    </w:r>
                    <w:r>
                      <w:instrText xml:space="preserve"> PAGE  \* MERGEFORMAT </w:instrText>
                    </w:r>
                    <w:r>
                      <w:fldChar w:fldCharType="separate"/>
                    </w:r>
                    <w:r>
                      <w:t>- 1 -</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1AFAE">
                          <w:pPr>
                            <w:pStyle w:val="2"/>
                            <w:tabs>
                              <w:tab w:val="center" w:pos="4366"/>
                              <w:tab w:val="clear" w:pos="8306"/>
                            </w:tabs>
                            <w:ind w:right="720"/>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C1AFAE">
                    <w:pPr>
                      <w:pStyle w:val="2"/>
                      <w:tabs>
                        <w:tab w:val="center" w:pos="4366"/>
                        <w:tab w:val="clear" w:pos="8306"/>
                      </w:tabs>
                      <w:ind w:right="720"/>
                      <w:jc w:val="both"/>
                    </w:pPr>
                  </w:p>
                </w:txbxContent>
              </v:textbox>
            </v:shape>
          </w:pict>
        </mc:Fallback>
      </mc:AlternateContent>
    </w:r>
  </w:p>
  <w:p w14:paraId="443E2C8D">
    <w:pPr>
      <w:pStyle w:val="2"/>
    </w:pPr>
    <w:r>
      <w:rPr>
        <w:rFonts w:hint="eastAsia"/>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E645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679A4EB2">
                              <w:pPr>
                                <w:pStyle w:val="2"/>
                              </w:pPr>
                              <w:r>
                                <w:fldChar w:fldCharType="begin"/>
                              </w:r>
                              <w:r>
                                <w:instrText xml:space="preserve">PAGE   \* MERGEFORMAT</w:instrText>
                              </w:r>
                              <w:r>
                                <w:fldChar w:fldCharType="separate"/>
                              </w:r>
                              <w:r>
                                <w:rPr>
                                  <w:lang w:val="zh-CN"/>
                                </w:rPr>
                                <w:t>-</w:t>
                              </w:r>
                              <w:r>
                                <w:t xml:space="preserve"> 4 -</w:t>
                              </w:r>
                              <w:r>
                                <w:fldChar w:fldCharType="end"/>
                              </w:r>
                            </w:p>
                          </w:sdtContent>
                        </w:sdt>
                        <w:p w14:paraId="44174BF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
                    </w:sdtPr>
                    <w:sdtContent>
                      <w:p w14:paraId="679A4EB2">
                        <w:pPr>
                          <w:pStyle w:val="2"/>
                        </w:pPr>
                        <w:r>
                          <w:fldChar w:fldCharType="begin"/>
                        </w:r>
                        <w:r>
                          <w:instrText xml:space="preserve">PAGE   \* MERGEFORMAT</w:instrText>
                        </w:r>
                        <w:r>
                          <w:fldChar w:fldCharType="separate"/>
                        </w:r>
                        <w:r>
                          <w:rPr>
                            <w:lang w:val="zh-CN"/>
                          </w:rPr>
                          <w:t>-</w:t>
                        </w:r>
                        <w:r>
                          <w:t xml:space="preserve"> 4 -</w:t>
                        </w:r>
                        <w:r>
                          <w:fldChar w:fldCharType="end"/>
                        </w:r>
                      </w:p>
                    </w:sdtContent>
                  </w:sdt>
                  <w:p w14:paraId="44174BF6"/>
                </w:txbxContent>
              </v:textbox>
            </v:shape>
          </w:pict>
        </mc:Fallback>
      </mc:AlternateContent>
    </w:r>
  </w:p>
  <w:p w14:paraId="1E37864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74736">
    <w:pPr>
      <w:pStyle w:val="3"/>
    </w:pPr>
    <w:bookmarkStart w:id="1" w:name="_Hlk80776344"/>
    <w:bookmarkStart w:id="2" w:name="_Hlk80776339"/>
    <w:bookmarkStart w:id="3" w:name="_Hlk80776343"/>
    <w:bookmarkStart w:id="4" w:name="_Hlk80776342"/>
    <w:bookmarkStart w:id="5" w:name="_Hlk80776340"/>
    <w:bookmarkStart w:id="6" w:name="_Hlk80776341"/>
    <w:r>
      <w:drawing>
        <wp:inline distT="0" distB="0" distL="0" distR="0">
          <wp:extent cx="1316990" cy="446405"/>
          <wp:effectExtent l="19050" t="0" r="0" b="0"/>
          <wp:docPr id="2"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85a7d1bab5f478d4abd8c6c53f58436"/>
                  <pic:cNvPicPr>
                    <a:picLocks noChangeAspect="1" noChangeArrowheads="1"/>
                  </pic:cNvPicPr>
                </pic:nvPicPr>
                <pic:blipFill>
                  <a:blip r:embed="rId1"/>
                  <a:srcRect t="19179"/>
                  <a:stretch>
                    <a:fillRect/>
                  </a:stretch>
                </pic:blipFill>
                <pic:spPr>
                  <a:xfrm>
                    <a:off x="0" y="0"/>
                    <a:ext cx="1316990" cy="446405"/>
                  </a:xfrm>
                  <a:prstGeom prst="rect">
                    <a:avLst/>
                  </a:prstGeom>
                  <a:noFill/>
                  <a:ln w="9525">
                    <a:noFill/>
                    <a:miter lim="800000"/>
                    <a:headEnd/>
                    <a:tailEnd/>
                  </a:ln>
                </pic:spPr>
              </pic:pic>
            </a:graphicData>
          </a:graphic>
        </wp:inline>
      </w:drawing>
    </w:r>
    <w:r>
      <w:rPr>
        <w:rFonts w:hint="eastAsia"/>
      </w:rPr>
      <w:t xml:space="preserve">                                                中移系统集成有限公司</w:t>
    </w:r>
    <w:bookmarkEnd w:id="1"/>
    <w:bookmarkEnd w:id="2"/>
    <w:bookmarkEnd w:id="3"/>
    <w:bookmarkEnd w:id="4"/>
    <w:bookmarkEnd w:id="5"/>
    <w:bookmarkEnd w:id="6"/>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F0515">
    <w:pPr>
      <w:pStyle w:val="3"/>
    </w:pPr>
    <w:r>
      <w:drawing>
        <wp:inline distT="0" distB="0" distL="0" distR="0">
          <wp:extent cx="1316990" cy="446405"/>
          <wp:effectExtent l="19050" t="0" r="0" b="0"/>
          <wp:docPr id="3"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585a7d1bab5f478d4abd8c6c53f58436"/>
                  <pic:cNvPicPr>
                    <a:picLocks noChangeAspect="1" noChangeArrowheads="1"/>
                  </pic:cNvPicPr>
                </pic:nvPicPr>
                <pic:blipFill>
                  <a:blip r:embed="rId1"/>
                  <a:srcRect t="19179"/>
                  <a:stretch>
                    <a:fillRect/>
                  </a:stretch>
                </pic:blipFill>
                <pic:spPr>
                  <a:xfrm>
                    <a:off x="0" y="0"/>
                    <a:ext cx="1316990" cy="446405"/>
                  </a:xfrm>
                  <a:prstGeom prst="rect">
                    <a:avLst/>
                  </a:prstGeom>
                  <a:noFill/>
                  <a:ln w="9525">
                    <a:noFill/>
                    <a:miter lim="800000"/>
                    <a:headEnd/>
                    <a:tailEnd/>
                  </a:ln>
                </pic:spPr>
              </pic:pic>
            </a:graphicData>
          </a:graphic>
        </wp:inline>
      </w:drawing>
    </w:r>
    <w:r>
      <w:rPr>
        <w:rFonts w:hint="eastAsia"/>
      </w:rPr>
      <w:t xml:space="preserve">                                                中移系统集成有限公司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BAE1A"/>
    <w:multiLevelType w:val="singleLevel"/>
    <w:tmpl w:val="9BDBAE1A"/>
    <w:lvl w:ilvl="0" w:tentative="0">
      <w:start w:val="1"/>
      <w:numFmt w:val="decimal"/>
      <w:suff w:val="space"/>
      <w:lvlText w:val="%1."/>
      <w:lvlJc w:val="left"/>
      <w:pPr>
        <w:ind w:left="420"/>
      </w:pPr>
    </w:lvl>
  </w:abstractNum>
  <w:abstractNum w:abstractNumId="1">
    <w:nsid w:val="DF1FE263"/>
    <w:multiLevelType w:val="singleLevel"/>
    <w:tmpl w:val="DF1FE263"/>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705"/>
    <w:rsid w:val="0002397C"/>
    <w:rsid w:val="00026705"/>
    <w:rsid w:val="00046FBE"/>
    <w:rsid w:val="00053D26"/>
    <w:rsid w:val="00070039"/>
    <w:rsid w:val="0007237F"/>
    <w:rsid w:val="00080C8D"/>
    <w:rsid w:val="000C2BA6"/>
    <w:rsid w:val="0019365D"/>
    <w:rsid w:val="001F1E94"/>
    <w:rsid w:val="00200F22"/>
    <w:rsid w:val="00200FBF"/>
    <w:rsid w:val="00210110"/>
    <w:rsid w:val="00270619"/>
    <w:rsid w:val="002B2B59"/>
    <w:rsid w:val="00305CC2"/>
    <w:rsid w:val="003D519E"/>
    <w:rsid w:val="0047246F"/>
    <w:rsid w:val="004A6F34"/>
    <w:rsid w:val="004D50DC"/>
    <w:rsid w:val="005206D5"/>
    <w:rsid w:val="00585D17"/>
    <w:rsid w:val="005E28C2"/>
    <w:rsid w:val="005E38E1"/>
    <w:rsid w:val="005E3EBD"/>
    <w:rsid w:val="005F33E2"/>
    <w:rsid w:val="005F754C"/>
    <w:rsid w:val="00602550"/>
    <w:rsid w:val="00603B9A"/>
    <w:rsid w:val="006058A6"/>
    <w:rsid w:val="00620AFF"/>
    <w:rsid w:val="00646C23"/>
    <w:rsid w:val="006A39C4"/>
    <w:rsid w:val="006A4729"/>
    <w:rsid w:val="006C590D"/>
    <w:rsid w:val="0073050D"/>
    <w:rsid w:val="007921B9"/>
    <w:rsid w:val="0085556F"/>
    <w:rsid w:val="008C6422"/>
    <w:rsid w:val="008D4844"/>
    <w:rsid w:val="008E3716"/>
    <w:rsid w:val="00901E5E"/>
    <w:rsid w:val="0096360C"/>
    <w:rsid w:val="00972A5F"/>
    <w:rsid w:val="009A130D"/>
    <w:rsid w:val="00A45334"/>
    <w:rsid w:val="00AA00F5"/>
    <w:rsid w:val="00AA2C4E"/>
    <w:rsid w:val="00AD19B7"/>
    <w:rsid w:val="00AF4953"/>
    <w:rsid w:val="00B117BE"/>
    <w:rsid w:val="00B17FD8"/>
    <w:rsid w:val="00B73905"/>
    <w:rsid w:val="00B7713B"/>
    <w:rsid w:val="00B8530B"/>
    <w:rsid w:val="00BE6D98"/>
    <w:rsid w:val="00C34C4F"/>
    <w:rsid w:val="00C650BB"/>
    <w:rsid w:val="00C74BF9"/>
    <w:rsid w:val="00CA1E03"/>
    <w:rsid w:val="00CC0B65"/>
    <w:rsid w:val="00D36F60"/>
    <w:rsid w:val="00D42EFF"/>
    <w:rsid w:val="00D75C8E"/>
    <w:rsid w:val="00D92378"/>
    <w:rsid w:val="00D95837"/>
    <w:rsid w:val="00E323BF"/>
    <w:rsid w:val="00E40B34"/>
    <w:rsid w:val="00E524F5"/>
    <w:rsid w:val="00E5736B"/>
    <w:rsid w:val="00E60DEB"/>
    <w:rsid w:val="00E9164E"/>
    <w:rsid w:val="00F25F62"/>
    <w:rsid w:val="00F60416"/>
    <w:rsid w:val="00F82C79"/>
    <w:rsid w:val="00F83D46"/>
    <w:rsid w:val="00F93DA6"/>
    <w:rsid w:val="00FA7C53"/>
    <w:rsid w:val="00FF4AEA"/>
    <w:rsid w:val="047019BD"/>
    <w:rsid w:val="047B93FA"/>
    <w:rsid w:val="04D12ECF"/>
    <w:rsid w:val="05425C12"/>
    <w:rsid w:val="066D2BD7"/>
    <w:rsid w:val="088C25F7"/>
    <w:rsid w:val="0E843233"/>
    <w:rsid w:val="0EAE61C6"/>
    <w:rsid w:val="0FCC27CB"/>
    <w:rsid w:val="0FFF378D"/>
    <w:rsid w:val="103725EB"/>
    <w:rsid w:val="12741F99"/>
    <w:rsid w:val="12FE138B"/>
    <w:rsid w:val="15223373"/>
    <w:rsid w:val="16EFCBFC"/>
    <w:rsid w:val="1BF43D4C"/>
    <w:rsid w:val="1C0D5A57"/>
    <w:rsid w:val="1C7C1B4C"/>
    <w:rsid w:val="1CBD789A"/>
    <w:rsid w:val="1DE35B3D"/>
    <w:rsid w:val="228D33DE"/>
    <w:rsid w:val="23FCEE61"/>
    <w:rsid w:val="2471658F"/>
    <w:rsid w:val="285870E4"/>
    <w:rsid w:val="2ABC1037"/>
    <w:rsid w:val="2B45104E"/>
    <w:rsid w:val="2C0F294E"/>
    <w:rsid w:val="2C214CC3"/>
    <w:rsid w:val="2D3C1581"/>
    <w:rsid w:val="34FE4B93"/>
    <w:rsid w:val="36A57869"/>
    <w:rsid w:val="36FCE990"/>
    <w:rsid w:val="37F51D14"/>
    <w:rsid w:val="37F60A5C"/>
    <w:rsid w:val="3A543677"/>
    <w:rsid w:val="3CFF5411"/>
    <w:rsid w:val="3DFF9DE1"/>
    <w:rsid w:val="3EF5F85F"/>
    <w:rsid w:val="3EF7FF26"/>
    <w:rsid w:val="3EFFF3FC"/>
    <w:rsid w:val="3FF79213"/>
    <w:rsid w:val="3FFE09F3"/>
    <w:rsid w:val="40924508"/>
    <w:rsid w:val="41685D20"/>
    <w:rsid w:val="42D83BE2"/>
    <w:rsid w:val="430D2558"/>
    <w:rsid w:val="44375833"/>
    <w:rsid w:val="4892636A"/>
    <w:rsid w:val="4D7E20C8"/>
    <w:rsid w:val="4F7B5AEF"/>
    <w:rsid w:val="503F7BD5"/>
    <w:rsid w:val="50C54F59"/>
    <w:rsid w:val="55FC2340"/>
    <w:rsid w:val="56F408BE"/>
    <w:rsid w:val="579999D3"/>
    <w:rsid w:val="586F4EB4"/>
    <w:rsid w:val="59444C49"/>
    <w:rsid w:val="59585AA8"/>
    <w:rsid w:val="5979DA8B"/>
    <w:rsid w:val="5D50313B"/>
    <w:rsid w:val="5DFB98F1"/>
    <w:rsid w:val="5ED761F9"/>
    <w:rsid w:val="5EF92FF4"/>
    <w:rsid w:val="5F6BCEA2"/>
    <w:rsid w:val="5F7DB2CA"/>
    <w:rsid w:val="65541E4C"/>
    <w:rsid w:val="66A8668B"/>
    <w:rsid w:val="67EBB66E"/>
    <w:rsid w:val="68601624"/>
    <w:rsid w:val="6AFFBB67"/>
    <w:rsid w:val="6BEDAB84"/>
    <w:rsid w:val="6C274241"/>
    <w:rsid w:val="6DF96FF4"/>
    <w:rsid w:val="6EEA6987"/>
    <w:rsid w:val="6EEF40CF"/>
    <w:rsid w:val="6EFEAA53"/>
    <w:rsid w:val="6F7B91FC"/>
    <w:rsid w:val="6FF5638F"/>
    <w:rsid w:val="72E7B6A4"/>
    <w:rsid w:val="73EE87DE"/>
    <w:rsid w:val="74371C0F"/>
    <w:rsid w:val="74EF89A8"/>
    <w:rsid w:val="75D53B41"/>
    <w:rsid w:val="75FFE66A"/>
    <w:rsid w:val="772A00A3"/>
    <w:rsid w:val="777E58BB"/>
    <w:rsid w:val="777FF6D6"/>
    <w:rsid w:val="778560B1"/>
    <w:rsid w:val="77CF8907"/>
    <w:rsid w:val="782D943A"/>
    <w:rsid w:val="79FD7985"/>
    <w:rsid w:val="7B5FC085"/>
    <w:rsid w:val="7BAA4A79"/>
    <w:rsid w:val="7BB223B1"/>
    <w:rsid w:val="7BDC5930"/>
    <w:rsid w:val="7BE39249"/>
    <w:rsid w:val="7BEF0767"/>
    <w:rsid w:val="7BF3E443"/>
    <w:rsid w:val="7BFA0E49"/>
    <w:rsid w:val="7C3243D9"/>
    <w:rsid w:val="7CFE8A1F"/>
    <w:rsid w:val="7DBBD693"/>
    <w:rsid w:val="7DEC816A"/>
    <w:rsid w:val="7EFA9E94"/>
    <w:rsid w:val="7F2E9E47"/>
    <w:rsid w:val="7F938195"/>
    <w:rsid w:val="7FBFFC3D"/>
    <w:rsid w:val="7FFB4328"/>
    <w:rsid w:val="7FFD1693"/>
    <w:rsid w:val="9EEEBB9A"/>
    <w:rsid w:val="9FFF2234"/>
    <w:rsid w:val="A79DD78A"/>
    <w:rsid w:val="ABBD1E65"/>
    <w:rsid w:val="ADFBDB83"/>
    <w:rsid w:val="AEAF341A"/>
    <w:rsid w:val="AFDF5A32"/>
    <w:rsid w:val="B3FD75AD"/>
    <w:rsid w:val="B5FFDB49"/>
    <w:rsid w:val="B7BB2EFF"/>
    <w:rsid w:val="B7F7FC4B"/>
    <w:rsid w:val="B97F82F1"/>
    <w:rsid w:val="BA3D296C"/>
    <w:rsid w:val="BAFCF8BE"/>
    <w:rsid w:val="BCAF3121"/>
    <w:rsid w:val="BCE7401E"/>
    <w:rsid w:val="BE3F854D"/>
    <w:rsid w:val="BEFB32C3"/>
    <w:rsid w:val="BF9F5E72"/>
    <w:rsid w:val="C3F7689F"/>
    <w:rsid w:val="CFF7305A"/>
    <w:rsid w:val="CFFF2181"/>
    <w:rsid w:val="D4CE08A6"/>
    <w:rsid w:val="D57FC69D"/>
    <w:rsid w:val="D5FB5FB6"/>
    <w:rsid w:val="D7EB8D2E"/>
    <w:rsid w:val="DD7722EC"/>
    <w:rsid w:val="DF7F342A"/>
    <w:rsid w:val="DF937819"/>
    <w:rsid w:val="E7B7A532"/>
    <w:rsid w:val="E7CF8B9F"/>
    <w:rsid w:val="E95F68BA"/>
    <w:rsid w:val="EBF44313"/>
    <w:rsid w:val="EE9BA352"/>
    <w:rsid w:val="EEDFB2AE"/>
    <w:rsid w:val="EF9B0491"/>
    <w:rsid w:val="EFB7D72C"/>
    <w:rsid w:val="EFEFD4D3"/>
    <w:rsid w:val="EFFD9F1C"/>
    <w:rsid w:val="EFFF5C2E"/>
    <w:rsid w:val="F7EB527A"/>
    <w:rsid w:val="F7F7FC7E"/>
    <w:rsid w:val="F7FFED65"/>
    <w:rsid w:val="F9F7FA9F"/>
    <w:rsid w:val="FADD5553"/>
    <w:rsid w:val="FAEE650A"/>
    <w:rsid w:val="FAF94E84"/>
    <w:rsid w:val="FB5FC8E6"/>
    <w:rsid w:val="FBF3A1C5"/>
    <w:rsid w:val="FCDB2E78"/>
    <w:rsid w:val="FCF7F550"/>
    <w:rsid w:val="FD5DEA13"/>
    <w:rsid w:val="FDABA6D7"/>
    <w:rsid w:val="FDBFE135"/>
    <w:rsid w:val="FDFF2FDA"/>
    <w:rsid w:val="FE2B8672"/>
    <w:rsid w:val="FE893106"/>
    <w:rsid w:val="FEAF5E2C"/>
    <w:rsid w:val="FF7C94F3"/>
    <w:rsid w:val="FF7FDFA4"/>
    <w:rsid w:val="FFBF6EAE"/>
    <w:rsid w:val="FFEF5F00"/>
    <w:rsid w:val="FFF7568F"/>
    <w:rsid w:val="FFF82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table" w:customStyle="1" w:styleId="10">
    <w:name w:val="Intense $1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 w:type="table" w:customStyle="1" w:styleId="11">
    <w:name w:val="Intense $2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 w:type="table" w:customStyle="1" w:styleId="12">
    <w:name w:val="Intense $3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259</Words>
  <Characters>1481</Characters>
  <Lines>12</Lines>
  <Paragraphs>3</Paragraphs>
  <TotalTime>4</TotalTime>
  <ScaleCrop>false</ScaleCrop>
  <LinksUpToDate>false</LinksUpToDate>
  <CharactersWithSpaces>1737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2021-08-25T09:33:00Z</dcterms:created>
  <dc:creator>user</dc:creator>
  <cp:lastModifiedBy>YXY</cp:lastModifiedBy>
  <dcterms:modified xsi:type="dcterms:W3CDTF">2026-01-18T12:03:34Z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2B7D95CDCD564C569BD0955F8A216BBC_13</vt:lpwstr>
  </property>
</Properties>
</file>