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0239B9">
      <w:pPr>
        <w:spacing w:line="560" w:lineRule="exact"/>
        <w:jc w:val="center"/>
        <w:rPr>
          <w:rFonts w:hint="eastAsia" w:ascii="方正小标宋" w:hAnsi="华文中宋" w:eastAsia="方正小标宋" w:cs="华文中宋"/>
          <w:sz w:val="44"/>
          <w:szCs w:val="44"/>
        </w:rPr>
      </w:pPr>
      <w:r>
        <w:rPr>
          <w:rFonts w:hint="eastAsia" w:ascii="方正小标宋" w:hAnsi="华文中宋" w:eastAsia="方正小标宋" w:cs="华文中宋"/>
          <w:sz w:val="44"/>
          <w:szCs w:val="44"/>
          <w:lang w:eastAsia="zh-CN"/>
        </w:rPr>
        <w:t>2025</w:t>
      </w:r>
      <w:r>
        <w:rPr>
          <w:rFonts w:hint="eastAsia" w:ascii="方正小标宋" w:hAnsi="华文中宋" w:eastAsia="方正小标宋" w:cs="华文中宋"/>
          <w:sz w:val="44"/>
          <w:szCs w:val="44"/>
        </w:rPr>
        <w:t>年度述职报告</w:t>
      </w:r>
    </w:p>
    <w:p w14:paraId="5E426088">
      <w:pPr>
        <w:spacing w:line="560" w:lineRule="exact"/>
        <w:jc w:val="center"/>
        <w:rPr>
          <w:rFonts w:hint="eastAsia" w:ascii="方正小标宋" w:hAnsi="华文中宋" w:eastAsia="方正小标宋" w:cs="华文中宋"/>
          <w:sz w:val="44"/>
          <w:szCs w:val="44"/>
        </w:rPr>
      </w:pPr>
    </w:p>
    <w:p w14:paraId="5BD68FD9">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黑体" w:hAnsi="黑体" w:eastAsia="黑体" w:cs="楷体"/>
          <w:color w:val="000000"/>
          <w:sz w:val="32"/>
          <w:szCs w:val="32"/>
          <w:shd w:val="clear" w:color="auto" w:fill="FFFFFF"/>
          <w:lang w:val="en-US" w:eastAsia="zh-CN"/>
        </w:rPr>
      </w:pPr>
      <w:r>
        <w:rPr>
          <w:rFonts w:hint="eastAsia" w:ascii="黑体" w:hAnsi="黑体" w:eastAsia="黑体" w:cs="楷体"/>
          <w:color w:val="000000"/>
          <w:sz w:val="32"/>
          <w:szCs w:val="32"/>
          <w:shd w:val="clear" w:color="auto" w:fill="FFFFFF"/>
          <w:lang w:val="en-US" w:eastAsia="zh-CN"/>
        </w:rPr>
        <w:t>一、2025年重点工作推进情况和工作成果分析</w:t>
      </w:r>
    </w:p>
    <w:p w14:paraId="764F7219">
      <w:pPr>
        <w:keepNext w:val="0"/>
        <w:keepLines w:val="0"/>
        <w:pageBreakBefore w:val="0"/>
        <w:kinsoku/>
        <w:wordWrap/>
        <w:overflowPunct/>
        <w:topLinePunct w:val="0"/>
        <w:autoSpaceDE/>
        <w:autoSpaceDN/>
        <w:bidi w:val="0"/>
        <w:adjustRightInd w:val="0"/>
        <w:snapToGrid w:val="0"/>
        <w:spacing w:line="560" w:lineRule="exact"/>
        <w:ind w:firstLine="641" w:firstLineChars="200"/>
        <w:textAlignment w:val="auto"/>
        <w:rPr>
          <w:rFonts w:hint="eastAsia" w:ascii="楷体" w:hAnsi="楷体" w:eastAsia="楷体" w:cs="楷体"/>
          <w:b/>
          <w:bCs/>
          <w:color w:val="000000"/>
          <w:sz w:val="32"/>
          <w:szCs w:val="32"/>
          <w:shd w:val="clear" w:color="auto" w:fill="FFFFFF"/>
          <w:lang w:val="en-US" w:eastAsia="zh-CN"/>
        </w:rPr>
      </w:pPr>
      <w:r>
        <w:rPr>
          <w:rFonts w:hint="eastAsia" w:ascii="楷体" w:hAnsi="楷体" w:eastAsia="楷体" w:cs="楷体"/>
          <w:b/>
          <w:bCs/>
          <w:color w:val="000000"/>
          <w:sz w:val="32"/>
          <w:szCs w:val="32"/>
          <w:shd w:val="clear" w:color="auto" w:fill="FFFFFF"/>
          <w:lang w:val="en-US" w:eastAsia="zh-CN"/>
        </w:rPr>
        <w:t>（一）2025年重点工作推进情况</w:t>
      </w:r>
    </w:p>
    <w:p w14:paraId="3F434A62">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default"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自2025年7月1日入职半年来，作为行业大模型合作研发团队解决方案专家，重点工作主要围绕商机支撑、产品研发两个方面：</w:t>
      </w:r>
    </w:p>
    <w:p w14:paraId="2005F514">
      <w:pPr>
        <w:keepNext w:val="0"/>
        <w:keepLines w:val="0"/>
        <w:pageBreakBefore w:val="0"/>
        <w:widowControl/>
        <w:numPr>
          <w:ilvl w:val="0"/>
          <w:numId w:val="1"/>
        </w:numPr>
        <w:suppressLineNumbers w:val="0"/>
        <w:shd w:val="clear" w:fill="FFFFFF"/>
        <w:kinsoku/>
        <w:wordWrap/>
        <w:overflowPunct/>
        <w:topLinePunct w:val="0"/>
        <w:autoSpaceDE/>
        <w:autoSpaceDN/>
        <w:bidi w:val="0"/>
        <w:adjustRightInd w:val="0"/>
        <w:snapToGrid w:val="0"/>
        <w:spacing w:line="360" w:lineRule="auto"/>
        <w:ind w:left="420" w:leftChars="0"/>
        <w:jc w:val="left"/>
        <w:textAlignment w:val="auto"/>
        <w:rPr>
          <w:rFonts w:hint="eastAsia" w:ascii="楷体" w:hAnsi="楷体" w:eastAsia="楷体" w:cs="楷体"/>
          <w:b/>
          <w:bCs/>
          <w:i w:val="0"/>
          <w:iCs w:val="0"/>
          <w:caps w:val="0"/>
          <w:color w:val="000000"/>
          <w:spacing w:val="0"/>
          <w:kern w:val="0"/>
          <w:sz w:val="32"/>
          <w:szCs w:val="32"/>
          <w:shd w:val="clear" w:fill="FFFFFF"/>
          <w:lang w:val="en-US" w:eastAsia="zh-CN" w:bidi="ar"/>
        </w:rPr>
      </w:pPr>
      <w:r>
        <w:rPr>
          <w:rFonts w:hint="eastAsia" w:ascii="楷体" w:hAnsi="楷体" w:eastAsia="楷体" w:cs="楷体"/>
          <w:b/>
          <w:bCs/>
          <w:i w:val="0"/>
          <w:iCs w:val="0"/>
          <w:caps w:val="0"/>
          <w:color w:val="000000"/>
          <w:spacing w:val="0"/>
          <w:kern w:val="0"/>
          <w:sz w:val="32"/>
          <w:szCs w:val="32"/>
          <w:shd w:val="clear" w:fill="FFFFFF"/>
          <w:lang w:val="en-US" w:eastAsia="zh-CN" w:bidi="ar"/>
        </w:rPr>
        <w:t>商机支撑</w:t>
      </w:r>
    </w:p>
    <w:p w14:paraId="6B81D535">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数智YJ智能体应用建设项目，9月份完成客户方组织的智能问数智能体竞赛，共邀请10家厂商参赛（中国移动、中国联通、中国电信、中电启明星、华为、中交建、中电科、南方电网、中软国际、阿里云）。我作为AI解决方案专家带队AI业务部相关同僚，代表公司参赛获得第3名（入围第二轮智能体竞赛），入围客户邀标厂商，10月份带领团队完成第二轮竞赛完整方案设计与智能体部署，客户邀请三家参赛方举行参赛作品评审会，中国移动参赛作品作为典型作品得到客户的现场表扬。同时，率队完成面向数信部祝辉庆处长的数智YJ建设过程三大问题答疑，并形成汇报材料，得到祝辉庆处长认可。当前，面向中国雅江集团，我于12月初面向客户紧迫需求带领团队赴雅江，整体主导并负责雅江数信中心应急专班的智能体应用规划与设计工作。当前已完成关键性方案设计、及面向数信中心程鑫处长的阶段性汇报，并取得成果认可，雅江数信中心计划于2026年1、2季度开展应急垂类智能体的项目招采工作，后期我将率团队将长期驻扎专班现场，为明年的商机转化做充足的准备。</w:t>
      </w:r>
    </w:p>
    <w:p w14:paraId="6079590B">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RT集团AI中台建设项目，8月完成深化人工智能创新应用方案编写，基于自身丰富的企业管理咨询到落地全链路经验，对RT集团提出AI全栈原生能力构建方法。9月完成面向十五五规划的AI+专项行动建设方案建议。当前，我作为AI解决方案专家代表中国移动的前期支撑工作获得了最终成果，融通集团数智化转型规划项目，预算875万元，于12月1日发布公告由中移数智中标，中标金额825万元。集成公司将依照前期支撑情况进行项目相关内容承接工作，目前商务团队正在接洽跟进。</w:t>
      </w:r>
    </w:p>
    <w:p w14:paraId="459B119C">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湛江AI渗透之城项目，9月完成可研方案编写与汇报。以中共湛江市委、湛江市人民政府印发《湛江市加快打造AI渗透之城行动方案（2025—2027年）》的通知文件为指导方针，以红莓a-maas平台产品全家桶AI能力为依托，完成客户方组织的多轮技术研讨，带领行业大模型合作研发团队完成超级智能体开发引擎的demo演示，得到湛江政数局领导、湛江移动战客中心总经理及总监的高度认可。</w:t>
      </w:r>
    </w:p>
    <w:p w14:paraId="67ABAAD9">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鞍钢集团远程技术支撑，9月客户方组织AI智能体MCP服务权限管控技术研讨会议，我作为AI解决方案专家，主导并解答了客户方提出的关于MCP Hub二级权限管控方案的专业性问题，并获得鞍钢集团技术总监的高度认可。</w:t>
      </w:r>
    </w:p>
    <w:p w14:paraId="5067E011">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default"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面向西北五省，与各省公司开展省专协同模式下的红莓产品推广工作。2025年首先完成面向新疆省公司的红莓产品培训与对接工作，拜访新疆应急厅、新疆交通厅等核心政企客户，获得初步需求并建立联系，后续深入携手新疆省公司，面向全疆展开红莓产品推广工作，早日完成商机转化。</w:t>
      </w:r>
    </w:p>
    <w:p w14:paraId="73551107">
      <w:pPr>
        <w:keepNext w:val="0"/>
        <w:keepLines w:val="0"/>
        <w:pageBreakBefore w:val="0"/>
        <w:widowControl/>
        <w:numPr>
          <w:ilvl w:val="0"/>
          <w:numId w:val="1"/>
        </w:numPr>
        <w:suppressLineNumbers w:val="0"/>
        <w:shd w:val="clear" w:fill="FFFFFF"/>
        <w:kinsoku/>
        <w:wordWrap/>
        <w:overflowPunct/>
        <w:topLinePunct w:val="0"/>
        <w:autoSpaceDE/>
        <w:autoSpaceDN/>
        <w:bidi w:val="0"/>
        <w:adjustRightInd w:val="0"/>
        <w:snapToGrid w:val="0"/>
        <w:spacing w:line="360" w:lineRule="auto"/>
        <w:ind w:left="420" w:leftChars="0" w:firstLine="0" w:firstLineChars="0"/>
        <w:jc w:val="left"/>
        <w:textAlignment w:val="auto"/>
        <w:rPr>
          <w:rFonts w:hint="eastAsia" w:ascii="楷体" w:hAnsi="楷体" w:eastAsia="楷体" w:cs="楷体"/>
          <w:b/>
          <w:bCs/>
          <w:i w:val="0"/>
          <w:iCs w:val="0"/>
          <w:caps w:val="0"/>
          <w:color w:val="000000"/>
          <w:spacing w:val="0"/>
          <w:kern w:val="0"/>
          <w:sz w:val="32"/>
          <w:szCs w:val="32"/>
          <w:shd w:val="clear" w:fill="FFFFFF"/>
          <w:lang w:val="en-US" w:eastAsia="zh-CN" w:bidi="ar"/>
        </w:rPr>
      </w:pPr>
      <w:r>
        <w:rPr>
          <w:rFonts w:hint="eastAsia" w:ascii="楷体" w:hAnsi="楷体" w:eastAsia="楷体" w:cs="楷体"/>
          <w:b/>
          <w:bCs/>
          <w:i w:val="0"/>
          <w:iCs w:val="0"/>
          <w:caps w:val="0"/>
          <w:color w:val="000000"/>
          <w:spacing w:val="0"/>
          <w:kern w:val="0"/>
          <w:sz w:val="32"/>
          <w:szCs w:val="32"/>
          <w:shd w:val="clear" w:fill="FFFFFF"/>
          <w:lang w:val="en-US" w:eastAsia="zh-CN" w:bidi="ar"/>
        </w:rPr>
        <w:t>产品研发</w:t>
      </w:r>
    </w:p>
    <w:p w14:paraId="49CEBFA6">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以产品Owner视角、解决方案专家视角分别总结业界主流各产品能力优势，并以此为参考带领研发团队逐步实现自有超级智能体开发引擎的短期追赶，中期对标，长期超越愿景。其中：</w:t>
      </w:r>
      <w:r>
        <w:rPr>
          <w:rFonts w:hint="eastAsia" w:ascii="仿宋" w:hAnsi="仿宋" w:eastAsia="仿宋" w:cs="仿宋"/>
          <w:b w:val="0"/>
          <w:bCs w:val="0"/>
          <w:i w:val="0"/>
          <w:iCs w:val="0"/>
          <w:caps w:val="0"/>
          <w:color w:val="000000"/>
          <w:spacing w:val="0"/>
          <w:kern w:val="0"/>
          <w:sz w:val="32"/>
          <w:szCs w:val="32"/>
          <w:shd w:val="clear" w:fill="FFFFFF"/>
          <w:lang w:val="en-US" w:eastAsia="zh-CN" w:bidi="ar"/>
        </w:rPr>
        <w:tab/>
        <w:t>主流产品的本地化部署与优势能力挖掘，对标业界主流AI应用开发平台Dify，Coze，Claude等，带领团队完成各产品的本地化部署与优势能力挖掘，如Dify的可视化编排，支持拖拽式构建复杂工作流，包括 Prompt、知识库检索、工具调用、代码执行等。Coze的零代码开发，无需编程基础，通过自然语言配置 Prompt、点选添加插件和知识库即可完成 Bot 构建，界面设计直观，支持拖拽式工作流编排。Claude 3.5系列的流程图与技术图纸解析能力，可实现图像生成代码的跨模态交互等。</w:t>
      </w:r>
    </w:p>
    <w:p w14:paraId="1FE32972">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基于主流产品的优势能力挖掘，开展自研超级智能体开发引擎产品的核心竞争力定位与规划，带领团队攻关核心技术点，包括构建内置企业级RAG知识库引擎、可视化工作流编排引擎等，支持复杂 Agent逻辑与多模态任务编排，工作流引擎支持并行任务处理，插件引擎支持第三方插件快速接入，提供MCP服务适配与接入，LLMOps监控体系等。</w:t>
      </w:r>
    </w:p>
    <w:p w14:paraId="541B0C96">
      <w:pPr>
        <w:keepNext w:val="0"/>
        <w:keepLines w:val="0"/>
        <w:pageBreakBefore w:val="0"/>
        <w:kinsoku/>
        <w:wordWrap/>
        <w:overflowPunct/>
        <w:topLinePunct w:val="0"/>
        <w:autoSpaceDE/>
        <w:autoSpaceDN/>
        <w:bidi w:val="0"/>
        <w:adjustRightInd w:val="0"/>
        <w:snapToGrid w:val="0"/>
        <w:spacing w:line="560" w:lineRule="exact"/>
        <w:ind w:firstLine="641" w:firstLineChars="200"/>
        <w:textAlignment w:val="auto"/>
        <w:rPr>
          <w:rFonts w:hint="eastAsia" w:ascii="楷体" w:hAnsi="楷体" w:eastAsia="楷体" w:cs="楷体"/>
          <w:b/>
          <w:bCs/>
          <w:color w:val="000000"/>
          <w:sz w:val="32"/>
          <w:szCs w:val="32"/>
          <w:shd w:val="clear" w:color="auto" w:fill="FFFFFF"/>
          <w:lang w:val="en-US" w:eastAsia="zh-CN"/>
        </w:rPr>
      </w:pPr>
      <w:r>
        <w:rPr>
          <w:rFonts w:hint="eastAsia" w:ascii="楷体" w:hAnsi="楷体" w:eastAsia="楷体" w:cs="楷体"/>
          <w:b/>
          <w:bCs/>
          <w:color w:val="000000"/>
          <w:sz w:val="32"/>
          <w:szCs w:val="32"/>
          <w:shd w:val="clear" w:color="auto" w:fill="FFFFFF"/>
          <w:lang w:val="en-US" w:eastAsia="zh-CN"/>
        </w:rPr>
        <w:t>（二）2025年主要工作成果</w:t>
      </w:r>
    </w:p>
    <w:p w14:paraId="7918848E">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主导完成超级智能体开发平台的技术架构评审及修改建议工作，并同步完成超级智能体开发平台相关的客户商机支撑；</w:t>
      </w:r>
    </w:p>
    <w:p w14:paraId="33EC23ED">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default"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主导完成《“数智YJ”AI智能体建设项目建议书》编写；</w:t>
      </w:r>
    </w:p>
    <w:p w14:paraId="5C42F83F">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default"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主导完成《“数智YJ”AI+应用规划思路汇报》编写；</w:t>
      </w:r>
    </w:p>
    <w:p w14:paraId="72639352">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主导完成中国雅江集团智能体竞赛第一场次（客观赛，第三名），同步完成《“数智YJ”智能问数智能体竞赛分享》编写；</w:t>
      </w:r>
    </w:p>
    <w:p w14:paraId="7F61A77F">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主导完成中国雅江集团智能体竞赛第二场次（主观赛，现场评比客户点名表扬），同步完成《YJ项目管理内容审核智能体实施方案》编写；</w:t>
      </w:r>
    </w:p>
    <w:p w14:paraId="7FF131AA">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主导完成中国雅江集团智能体项目投标技术文件编写工作；</w:t>
      </w:r>
    </w:p>
    <w:p w14:paraId="78FB6E95">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default"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主导完成中国雅江集团应急专班小组应急监测智能体规划方案设计；</w:t>
      </w:r>
    </w:p>
    <w:p w14:paraId="622351FE">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主导完成中国融通集团AI数智化转型项目前期咨询方案，编写《</w:t>
      </w:r>
      <w:r>
        <w:rPr>
          <w:rFonts w:hint="eastAsia" w:ascii="仿宋" w:hAnsi="仿宋" w:eastAsia="仿宋" w:cs="仿宋"/>
          <w:b w:val="0"/>
          <w:bCs w:val="0"/>
          <w:i w:val="0"/>
          <w:iCs w:val="0"/>
          <w:caps w:val="0"/>
          <w:color w:val="000000"/>
          <w:spacing w:val="0"/>
          <w:kern w:val="0"/>
          <w:sz w:val="32"/>
          <w:szCs w:val="32"/>
          <w:shd w:val="clear" w:fill="FFFFFF"/>
          <w:lang w:val="en-US" w:eastAsia="zh-CN" w:bidi="ar"/>
        </w:rPr>
        <w:t>深化人工智能创新应用》。</w:t>
      </w:r>
    </w:p>
    <w:p w14:paraId="5FB06DFE">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主导完成湛江AI+渗透之城项目前期咨询方案，编写《AI+超级智能体平台应用建设》。</w:t>
      </w:r>
    </w:p>
    <w:p w14:paraId="18A6288E">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default"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主导完成新疆交通厅、新疆应急厅相关培训交流材料编写。</w:t>
      </w:r>
    </w:p>
    <w:p w14:paraId="31A1BAFC">
      <w:pPr>
        <w:keepNext w:val="0"/>
        <w:keepLines w:val="0"/>
        <w:pageBreakBefore w:val="0"/>
        <w:kinsoku/>
        <w:wordWrap/>
        <w:overflowPunct/>
        <w:topLinePunct w:val="0"/>
        <w:autoSpaceDE/>
        <w:autoSpaceDN/>
        <w:bidi w:val="0"/>
        <w:adjustRightInd w:val="0"/>
        <w:snapToGrid w:val="0"/>
        <w:spacing w:line="560" w:lineRule="exact"/>
        <w:ind w:firstLine="641" w:firstLineChars="200"/>
        <w:textAlignment w:val="auto"/>
        <w:rPr>
          <w:rFonts w:hint="eastAsia" w:ascii="楷体" w:hAnsi="楷体" w:eastAsia="楷体" w:cs="楷体"/>
          <w:b/>
          <w:bCs/>
          <w:color w:val="000000"/>
          <w:sz w:val="32"/>
          <w:szCs w:val="32"/>
          <w:shd w:val="clear" w:color="auto" w:fill="FFFFFF"/>
          <w:lang w:val="en-US" w:eastAsia="zh-CN"/>
        </w:rPr>
      </w:pPr>
      <w:r>
        <w:rPr>
          <w:rFonts w:hint="eastAsia" w:ascii="楷体" w:hAnsi="楷体" w:eastAsia="楷体" w:cs="楷体"/>
          <w:b/>
          <w:bCs/>
          <w:color w:val="000000"/>
          <w:sz w:val="32"/>
          <w:szCs w:val="32"/>
          <w:shd w:val="clear" w:color="auto" w:fill="FFFFFF"/>
          <w:lang w:val="en-US" w:eastAsia="zh-CN"/>
        </w:rPr>
        <w:t>（三）过去一年工作中发现的不足及下一步计划</w:t>
      </w:r>
    </w:p>
    <w:p w14:paraId="4A0C19B8">
      <w:pPr>
        <w:keepNext w:val="0"/>
        <w:keepLines w:val="0"/>
        <w:pageBreakBefore w:val="0"/>
        <w:widowControl/>
        <w:numPr>
          <w:ilvl w:val="0"/>
          <w:numId w:val="2"/>
        </w:numPr>
        <w:suppressLineNumbers w:val="0"/>
        <w:shd w:val="clear" w:fill="FFFFFF"/>
        <w:kinsoku/>
        <w:wordWrap/>
        <w:overflowPunct/>
        <w:topLinePunct w:val="0"/>
        <w:autoSpaceDE/>
        <w:autoSpaceDN/>
        <w:bidi w:val="0"/>
        <w:adjustRightInd w:val="0"/>
        <w:snapToGrid w:val="0"/>
        <w:spacing w:line="360" w:lineRule="auto"/>
        <w:ind w:left="420" w:leftChars="0" w:firstLine="0" w:firstLineChars="0"/>
        <w:jc w:val="left"/>
        <w:textAlignment w:val="auto"/>
        <w:rPr>
          <w:rFonts w:hint="eastAsia" w:ascii="楷体" w:hAnsi="楷体" w:eastAsia="楷体" w:cs="楷体"/>
          <w:b/>
          <w:bCs/>
          <w:i w:val="0"/>
          <w:iCs w:val="0"/>
          <w:caps w:val="0"/>
          <w:color w:val="000000"/>
          <w:spacing w:val="0"/>
          <w:kern w:val="0"/>
          <w:sz w:val="32"/>
          <w:szCs w:val="32"/>
          <w:shd w:val="clear" w:fill="FFFFFF"/>
          <w:lang w:val="en-US" w:eastAsia="zh-CN" w:bidi="ar"/>
        </w:rPr>
      </w:pPr>
      <w:r>
        <w:rPr>
          <w:rFonts w:hint="eastAsia" w:ascii="楷体" w:hAnsi="楷体" w:eastAsia="楷体" w:cs="楷体"/>
          <w:b/>
          <w:bCs/>
          <w:i w:val="0"/>
          <w:iCs w:val="0"/>
          <w:caps w:val="0"/>
          <w:color w:val="000000"/>
          <w:spacing w:val="0"/>
          <w:kern w:val="0"/>
          <w:sz w:val="32"/>
          <w:szCs w:val="32"/>
          <w:shd w:val="clear" w:fill="FFFFFF"/>
          <w:lang w:val="en-US" w:eastAsia="zh-CN" w:bidi="ar"/>
        </w:rPr>
        <w:t>工作中的不足</w:t>
      </w:r>
    </w:p>
    <w:p w14:paraId="7987F03C">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default"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当前接触的商机客户行业跨度较大，如水利水电、资产管理、钢铁等，在这些行业积累的方案和经验偏少，需要快速的补充行业知识（通过线下学习，客户交流，内部复盘等方式提升）；</w:t>
      </w:r>
    </w:p>
    <w:p w14:paraId="2844BFFD">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自研产品研发过程中，相关方案材料积累较少，不能及时响应各商机客户提出的方案材料支撑需求，无法以最高效的方式将产品能力体现在客户现场，需要快速的带领团队积累相关方案，形成我公司自研AI产品优势能力方案资产。</w:t>
      </w:r>
    </w:p>
    <w:p w14:paraId="5B7AA2C5">
      <w:pPr>
        <w:keepNext w:val="0"/>
        <w:keepLines w:val="0"/>
        <w:pageBreakBefore w:val="0"/>
        <w:widowControl/>
        <w:numPr>
          <w:ilvl w:val="0"/>
          <w:numId w:val="2"/>
        </w:numPr>
        <w:suppressLineNumbers w:val="0"/>
        <w:shd w:val="clear" w:fill="FFFFFF"/>
        <w:kinsoku/>
        <w:wordWrap/>
        <w:overflowPunct/>
        <w:topLinePunct w:val="0"/>
        <w:autoSpaceDE/>
        <w:autoSpaceDN/>
        <w:bidi w:val="0"/>
        <w:adjustRightInd w:val="0"/>
        <w:snapToGrid w:val="0"/>
        <w:spacing w:line="360" w:lineRule="auto"/>
        <w:ind w:left="420" w:leftChars="0" w:firstLine="0" w:firstLineChars="0"/>
        <w:jc w:val="left"/>
        <w:textAlignment w:val="auto"/>
        <w:rPr>
          <w:rFonts w:hint="default" w:ascii="楷体" w:hAnsi="楷体" w:eastAsia="楷体" w:cs="楷体"/>
          <w:b/>
          <w:bCs/>
          <w:i w:val="0"/>
          <w:iCs w:val="0"/>
          <w:caps w:val="0"/>
          <w:color w:val="000000"/>
          <w:spacing w:val="0"/>
          <w:kern w:val="0"/>
          <w:sz w:val="32"/>
          <w:szCs w:val="32"/>
          <w:shd w:val="clear" w:fill="FFFFFF"/>
          <w:lang w:val="en-US" w:eastAsia="zh-CN" w:bidi="ar"/>
        </w:rPr>
      </w:pPr>
      <w:r>
        <w:rPr>
          <w:rFonts w:hint="eastAsia" w:ascii="楷体" w:hAnsi="楷体" w:eastAsia="楷体" w:cs="楷体"/>
          <w:b/>
          <w:bCs/>
          <w:i w:val="0"/>
          <w:iCs w:val="0"/>
          <w:caps w:val="0"/>
          <w:color w:val="000000"/>
          <w:spacing w:val="0"/>
          <w:kern w:val="0"/>
          <w:sz w:val="32"/>
          <w:szCs w:val="32"/>
          <w:shd w:val="clear" w:fill="FFFFFF"/>
          <w:lang w:val="en-US" w:eastAsia="zh-CN" w:bidi="ar"/>
        </w:rPr>
        <w:t>下一步的计划</w:t>
      </w:r>
    </w:p>
    <w:p w14:paraId="719B8DDD">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当前已被提名为集成公司RT突击队队长，上报集团政企。2026计划主导并开展完成中国融通集团AI+专项行动规划与落地项目的支撑工作，以实力维护紧密客户黏性，2026年力争项目签单，实现中国融通集团AI规划到落地的全链路项目主导，为融通面向国家十五五规划布局贡献应有的力量。</w:t>
      </w:r>
    </w:p>
    <w:p w14:paraId="459EB5D8">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继续开展完成中国雅江集团数智YJ项目关于AI领域的商机转化工作，当前带领团队完成YJ应急专班垂类智能体规划与汇报演示工作，实现阶段性成果，2026年1、2季度项目招采，我将率移动借调专班团队力争项目签单，完成商机转化工作。</w:t>
      </w:r>
    </w:p>
    <w:p w14:paraId="5976EF54">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面向各大战客重客的AI+专项行动顶规顶设到实施落地全链路工作，通过实际客户项目交付、产品交付过程的痛点需求挖掘，洞察共性高价值需求，反向孵化全新产品定义迭代，提升自身红莓超级智能体开发平台的核心产品力及行业竞争力。</w:t>
      </w:r>
    </w:p>
    <w:p w14:paraId="44EF915E">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主导并开展面向内部自研超级智能体开发平台能力建设的AI+标杆智能体应用规划、设计与研发落地工作，全面完善红莓a-maas全家桶体系“1底座+1门户+N智能体”的全栈式AI服务能力。</w:t>
      </w:r>
    </w:p>
    <w:p w14:paraId="6F491699">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主导并开展面向西北五省的红莓产品推广工作，首批面向新疆，开展全疆包括建设兵团在内的各政企客户红莓产品推广与客户定制化需求商机的支撑工作，完成相关商机转化，并带队完成产品、项目交付。</w:t>
      </w:r>
    </w:p>
    <w:p w14:paraId="5CB87B61">
      <w:pPr>
        <w:keepNext w:val="0"/>
        <w:keepLines w:val="0"/>
        <w:pageBreakBefore w:val="0"/>
        <w:widowControl/>
        <w:numPr>
          <w:ilvl w:val="0"/>
          <w:numId w:val="0"/>
        </w:numPr>
        <w:suppressLineNumbers w:val="0"/>
        <w:shd w:val="clear" w:fill="FFFFFF"/>
        <w:kinsoku/>
        <w:wordWrap/>
        <w:overflowPunct/>
        <w:topLinePunct w:val="0"/>
        <w:autoSpaceDE/>
        <w:autoSpaceDN/>
        <w:bidi w:val="0"/>
        <w:adjustRightInd w:val="0"/>
        <w:snapToGrid w:val="0"/>
        <w:spacing w:line="360" w:lineRule="auto"/>
        <w:ind w:firstLine="420" w:firstLineChars="0"/>
        <w:jc w:val="left"/>
        <w:textAlignment w:val="auto"/>
        <w:rPr>
          <w:rFonts w:hint="eastAsia" w:ascii="仿宋" w:hAnsi="仿宋" w:eastAsia="仿宋" w:cs="仿宋"/>
          <w:b w:val="0"/>
          <w:bCs w:val="0"/>
          <w:i w:val="0"/>
          <w:iCs w:val="0"/>
          <w:caps w:val="0"/>
          <w:color w:val="000000"/>
          <w:spacing w:val="0"/>
          <w:kern w:val="0"/>
          <w:sz w:val="32"/>
          <w:szCs w:val="32"/>
          <w:shd w:val="clear" w:fill="FFFFFF"/>
          <w:lang w:val="en-US" w:eastAsia="zh-CN" w:bidi="ar"/>
        </w:rPr>
      </w:pPr>
      <w:r>
        <w:rPr>
          <w:rFonts w:hint="eastAsia" w:ascii="仿宋" w:hAnsi="仿宋" w:eastAsia="仿宋" w:cs="仿宋"/>
          <w:b w:val="0"/>
          <w:bCs w:val="0"/>
          <w:i w:val="0"/>
          <w:iCs w:val="0"/>
          <w:caps w:val="0"/>
          <w:color w:val="000000"/>
          <w:spacing w:val="0"/>
          <w:kern w:val="0"/>
          <w:sz w:val="32"/>
          <w:szCs w:val="32"/>
          <w:shd w:val="clear" w:fill="FFFFFF"/>
          <w:lang w:val="en-US" w:eastAsia="zh-CN" w:bidi="ar"/>
        </w:rPr>
        <w:t>其他方面，积极关注和响应“十五五规划”AI产业发展格局，积极关注和影响AI产业发展走向，为AI+专项行动中自研产品与客户项目，提供技术咨询和决策建议，分享客户项目成功交付案例，实现知识、经验和专业能力的传递和延伸；以多类型商机项目客户需求为源动力，以自研超级智能体开发引擎平台产品为载体，红莓a-maas平台为依托底座，积极对标业界标杆产品，积极响应客户真实需求。以需求促进产品优化迭代，以产品先进性引导和挖掘更多潜在高价值需求。专注AI原生能力构建，赋能客户AI+专项行动，为国家“十五五规划”贡献应有的力量；快速完成并完善个人AI知识储备，包含算力规划、高质量数据集管理与标注、模型算法、AI应用建设等。负责或主导超级智能体开发引擎平台产品、AI+智能体应用的具体研发、测试、部署、优化和落地，将技术方案转化为实际产品或解决方案，全面提升技术实操能力，进而全面支撑公司在AI技术领域，从管理咨询到实施落地全流程的核心竞争力与高质量发展。</w:t>
      </w:r>
    </w:p>
    <w:p w14:paraId="6BD07702">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黑体" w:hAnsi="黑体" w:eastAsia="黑体" w:cs="楷体"/>
          <w:color w:val="000000"/>
          <w:sz w:val="32"/>
          <w:szCs w:val="32"/>
          <w:shd w:val="clear" w:color="auto" w:fill="FFFFFF"/>
          <w:lang w:val="en-US" w:eastAsia="zh-CN"/>
        </w:rPr>
      </w:pPr>
      <w:r>
        <w:rPr>
          <w:rFonts w:hint="eastAsia" w:ascii="黑体" w:hAnsi="黑体" w:eastAsia="黑体" w:cs="楷体"/>
          <w:color w:val="000000"/>
          <w:sz w:val="32"/>
          <w:szCs w:val="32"/>
          <w:shd w:val="clear" w:color="auto" w:fill="FFFFFF"/>
          <w:lang w:val="en-US" w:eastAsia="zh-CN"/>
        </w:rPr>
        <w:t>二、年度技术任务书的重点完成情况</w:t>
      </w:r>
    </w:p>
    <w:p w14:paraId="5BC1F1EE">
      <w:pPr>
        <w:keepNext w:val="0"/>
        <w:keepLines w:val="0"/>
        <w:pageBreakBefore w:val="0"/>
        <w:kinsoku/>
        <w:wordWrap/>
        <w:overflowPunct/>
        <w:topLinePunct w:val="0"/>
        <w:autoSpaceDE/>
        <w:autoSpaceDN/>
        <w:bidi w:val="0"/>
        <w:adjustRightInd w:val="0"/>
        <w:snapToGrid w:val="0"/>
        <w:spacing w:line="560" w:lineRule="exact"/>
        <w:ind w:firstLine="641" w:firstLineChars="200"/>
        <w:textAlignment w:val="auto"/>
        <w:rPr>
          <w:rFonts w:hint="default" w:ascii="楷体" w:hAnsi="楷体" w:eastAsia="楷体" w:cs="楷体"/>
          <w:b/>
          <w:bCs/>
          <w:color w:val="000000"/>
          <w:sz w:val="32"/>
          <w:szCs w:val="32"/>
          <w:shd w:val="clear" w:color="auto" w:fill="FFFFFF"/>
          <w:lang w:val="en-US" w:eastAsia="zh-CN"/>
        </w:rPr>
      </w:pPr>
      <w:r>
        <w:rPr>
          <w:rFonts w:hint="eastAsia" w:ascii="楷体" w:hAnsi="楷体" w:eastAsia="楷体" w:cs="楷体"/>
          <w:b/>
          <w:bCs/>
          <w:color w:val="000000"/>
          <w:sz w:val="32"/>
          <w:szCs w:val="32"/>
          <w:shd w:val="clear" w:color="auto" w:fill="FFFFFF"/>
          <w:lang w:val="en-US" w:eastAsia="zh-CN"/>
        </w:rPr>
        <w:t>（一）技术任务书核心指标完成情况</w:t>
      </w:r>
    </w:p>
    <w:p w14:paraId="19ACE49D">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bookmarkStart w:id="0" w:name="OLE_LINK1"/>
      <w:r>
        <w:rPr>
          <w:rFonts w:hint="eastAsia" w:ascii="仿宋_GB2312" w:hAnsi="仿宋_GB2312" w:eastAsia="仿宋_GB2312" w:cs="仿宋_GB2312"/>
          <w:color w:val="auto"/>
          <w:sz w:val="32"/>
          <w:szCs w:val="32"/>
          <w:highlight w:val="none"/>
          <w:lang w:val="en-US" w:eastAsia="zh-CN"/>
        </w:rPr>
        <w:t>阐述年度任务书的考核目标和完成情况，呈现形式如下：</w:t>
      </w:r>
    </w:p>
    <w:tbl>
      <w:tblPr>
        <w:tblStyle w:val="5"/>
        <w:tblW w:w="83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1"/>
        <w:gridCol w:w="2497"/>
        <w:gridCol w:w="2151"/>
        <w:gridCol w:w="2249"/>
      </w:tblGrid>
      <w:tr w14:paraId="4B3C300F">
        <w:trPr>
          <w:trHeight w:val="535" w:hRule="atLeast"/>
          <w:jc w:val="center"/>
        </w:trPr>
        <w:tc>
          <w:tcPr>
            <w:tcW w:w="1441" w:type="dxa"/>
            <w:vAlign w:val="center"/>
          </w:tcPr>
          <w:p w14:paraId="709A9F0C">
            <w:pPr>
              <w:keepNext w:val="0"/>
              <w:keepLines w:val="0"/>
              <w:pageBreakBefore w:val="0"/>
              <w:kinsoku/>
              <w:wordWrap/>
              <w:overflowPunct/>
              <w:topLinePunct w:val="0"/>
              <w:autoSpaceDE/>
              <w:autoSpaceDN/>
              <w:bidi w:val="0"/>
              <w:spacing w:line="560" w:lineRule="exact"/>
              <w:jc w:val="center"/>
              <w:textAlignment w:val="auto"/>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序号</w:t>
            </w:r>
          </w:p>
        </w:tc>
        <w:tc>
          <w:tcPr>
            <w:tcW w:w="2497" w:type="dxa"/>
            <w:vAlign w:val="center"/>
          </w:tcPr>
          <w:p w14:paraId="1D1F24E6">
            <w:pPr>
              <w:keepNext w:val="0"/>
              <w:keepLines w:val="0"/>
              <w:pageBreakBefore w:val="0"/>
              <w:kinsoku/>
              <w:wordWrap/>
              <w:overflowPunct/>
              <w:topLinePunct w:val="0"/>
              <w:autoSpaceDE/>
              <w:autoSpaceDN/>
              <w:bidi w:val="0"/>
              <w:spacing w:line="560" w:lineRule="exact"/>
              <w:jc w:val="center"/>
              <w:textAlignment w:val="auto"/>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核心指标内容</w:t>
            </w:r>
          </w:p>
        </w:tc>
        <w:tc>
          <w:tcPr>
            <w:tcW w:w="2151" w:type="dxa"/>
            <w:vAlign w:val="center"/>
          </w:tcPr>
          <w:p w14:paraId="43D6CE2D">
            <w:pPr>
              <w:keepNext w:val="0"/>
              <w:keepLines w:val="0"/>
              <w:pageBreakBefore w:val="0"/>
              <w:kinsoku/>
              <w:wordWrap/>
              <w:overflowPunct/>
              <w:topLinePunct w:val="0"/>
              <w:autoSpaceDE/>
              <w:autoSpaceDN/>
              <w:bidi w:val="0"/>
              <w:spacing w:line="560" w:lineRule="exact"/>
              <w:jc w:val="center"/>
              <w:textAlignment w:val="auto"/>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指标考核规则</w:t>
            </w:r>
            <w:r>
              <w:rPr>
                <w:rFonts w:hint="eastAsia" w:ascii="仿宋_GB2312" w:hAnsi="仿宋_GB2312" w:eastAsia="仿宋_GB2312" w:cs="仿宋_GB2312"/>
                <w:b w:val="0"/>
                <w:bCs w:val="0"/>
                <w:sz w:val="24"/>
                <w:szCs w:val="24"/>
                <w:lang w:val="en-US" w:eastAsia="zh-CN"/>
              </w:rPr>
              <w:br w:type="textWrapping"/>
            </w:r>
            <w:r>
              <w:rPr>
                <w:rFonts w:hint="eastAsia" w:ascii="仿宋_GB2312" w:hAnsi="仿宋_GB2312" w:eastAsia="仿宋_GB2312" w:cs="仿宋_GB2312"/>
                <w:b w:val="0"/>
                <w:bCs w:val="0"/>
                <w:sz w:val="24"/>
                <w:szCs w:val="24"/>
                <w:lang w:val="en-US" w:eastAsia="zh-CN"/>
              </w:rPr>
              <w:t>（每项评分标准和考核规则）</w:t>
            </w:r>
          </w:p>
        </w:tc>
        <w:tc>
          <w:tcPr>
            <w:tcW w:w="2249" w:type="dxa"/>
            <w:vAlign w:val="center"/>
          </w:tcPr>
          <w:p w14:paraId="3C9A5484">
            <w:pPr>
              <w:keepNext w:val="0"/>
              <w:keepLines w:val="0"/>
              <w:pageBreakBefore w:val="0"/>
              <w:kinsoku/>
              <w:wordWrap/>
              <w:overflowPunct/>
              <w:topLinePunct w:val="0"/>
              <w:autoSpaceDE/>
              <w:autoSpaceDN/>
              <w:bidi w:val="0"/>
              <w:spacing w:line="560" w:lineRule="exact"/>
              <w:ind w:firstLine="240" w:firstLineChars="100"/>
              <w:jc w:val="center"/>
              <w:textAlignment w:val="auto"/>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完成情况</w:t>
            </w:r>
          </w:p>
        </w:tc>
      </w:tr>
      <w:tr w14:paraId="17232308">
        <w:trPr>
          <w:trHeight w:val="535" w:hRule="atLeast"/>
          <w:jc w:val="center"/>
        </w:trPr>
        <w:tc>
          <w:tcPr>
            <w:tcW w:w="1441" w:type="dxa"/>
          </w:tcPr>
          <w:p w14:paraId="58CD677A">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1</w:t>
            </w:r>
          </w:p>
        </w:tc>
        <w:tc>
          <w:tcPr>
            <w:tcW w:w="2497" w:type="dxa"/>
          </w:tcPr>
          <w:p w14:paraId="610AF83B">
            <w:pPr>
              <w:keepNext w:val="0"/>
              <w:keepLines w:val="0"/>
              <w:pageBreakBefore w:val="0"/>
              <w:kinsoku/>
              <w:wordWrap/>
              <w:overflowPunct/>
              <w:topLinePunct w:val="0"/>
              <w:autoSpaceDE/>
              <w:autoSpaceDN/>
              <w:bidi w:val="0"/>
              <w:spacing w:line="560" w:lineRule="exact"/>
              <w:ind w:firstLine="560" w:firstLineChars="200"/>
              <w:jc w:val="left"/>
              <w:textAlignment w:val="auto"/>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color w:val="000000" w:themeColor="text1"/>
                <w:sz w:val="28"/>
                <w:szCs w:val="24"/>
                <w:lang w:val="en-US" w:eastAsia="zh-CN"/>
                <w14:textFill>
                  <w14:solidFill>
                    <w14:schemeClr w14:val="tx1"/>
                  </w14:solidFill>
                </w14:textFill>
              </w:rPr>
              <w:t>完成自研超级智能体引擎平台产品客户沟通，严谨把控客户定制化需求，提高客户黏性的同时保证产品交付质量，任务工作量约40人/天，评测方式以自研超级智能体引擎平台产品是否落地客户项目衡量。</w:t>
            </w:r>
          </w:p>
        </w:tc>
        <w:tc>
          <w:tcPr>
            <w:tcW w:w="2151" w:type="dxa"/>
          </w:tcPr>
          <w:p w14:paraId="4A843AC7">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超级智能体平台是否落地客户项目。（20分）</w:t>
            </w:r>
          </w:p>
        </w:tc>
        <w:tc>
          <w:tcPr>
            <w:tcW w:w="2249" w:type="dxa"/>
          </w:tcPr>
          <w:p w14:paraId="1C41031A">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超级智能体平台赢单并落地客户：包括矿冶集团、广西东盟博览局、四川中移智问。（18分）</w:t>
            </w:r>
          </w:p>
          <w:p w14:paraId="2D1FED7A">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eastAsia" w:ascii="仿宋_GB2312" w:hAnsi="仿宋_GB2312" w:eastAsia="仿宋_GB2312" w:cs="仿宋_GB2312"/>
                <w:b w:val="0"/>
                <w:bCs w:val="0"/>
                <w:sz w:val="24"/>
                <w:szCs w:val="24"/>
                <w:lang w:val="en-US" w:eastAsia="zh-CN"/>
              </w:rPr>
            </w:pPr>
          </w:p>
        </w:tc>
      </w:tr>
      <w:tr w14:paraId="1FA2E814">
        <w:trPr>
          <w:trHeight w:val="535" w:hRule="atLeast"/>
          <w:jc w:val="center"/>
        </w:trPr>
        <w:tc>
          <w:tcPr>
            <w:tcW w:w="1441" w:type="dxa"/>
          </w:tcPr>
          <w:p w14:paraId="2F4D5C66">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2</w:t>
            </w:r>
          </w:p>
        </w:tc>
        <w:tc>
          <w:tcPr>
            <w:tcW w:w="2497" w:type="dxa"/>
          </w:tcPr>
          <w:p w14:paraId="6423E1DF">
            <w:pPr>
              <w:keepNext w:val="0"/>
              <w:keepLines w:val="0"/>
              <w:pageBreakBefore w:val="0"/>
              <w:widowControl w:val="0"/>
              <w:kinsoku/>
              <w:wordWrap/>
              <w:overflowPunct/>
              <w:topLinePunct w:val="0"/>
              <w:autoSpaceDE/>
              <w:autoSpaceDN/>
              <w:bidi w:val="0"/>
              <w:adjustRightInd/>
              <w:spacing w:line="600" w:lineRule="exact"/>
              <w:ind w:firstLine="420" w:firstLineChars="0"/>
              <w:textAlignment w:val="auto"/>
              <w:rPr>
                <w:rFonts w:hint="eastAsia" w:ascii="仿宋_GB2312" w:hAnsi="仿宋_GB2312" w:eastAsia="仿宋_GB2312" w:cs="仿宋_GB2312"/>
                <w:color w:val="000000" w:themeColor="text1"/>
                <w:sz w:val="28"/>
                <w:szCs w:val="24"/>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4"/>
                <w:lang w:val="en-US" w:eastAsia="zh-CN"/>
                <w14:textFill>
                  <w14:solidFill>
                    <w14:schemeClr w14:val="tx1"/>
                  </w14:solidFill>
                </w14:textFill>
              </w:rPr>
              <w:t>中国雅江集团邀标入围，并完成AI智能体应用项目商机转化合同，任务工作量约60人/天，评测方式以是否中标衡量，预期成果为AI智能体应用项目中标。</w:t>
            </w:r>
          </w:p>
          <w:p w14:paraId="770127E4">
            <w:pPr>
              <w:keepNext w:val="0"/>
              <w:keepLines w:val="0"/>
              <w:pageBreakBefore w:val="0"/>
              <w:widowControl w:val="0"/>
              <w:kinsoku/>
              <w:wordWrap/>
              <w:overflowPunct/>
              <w:topLinePunct w:val="0"/>
              <w:autoSpaceDE/>
              <w:autoSpaceDN/>
              <w:bidi w:val="0"/>
              <w:adjustRightInd/>
              <w:spacing w:line="600" w:lineRule="exact"/>
              <w:ind w:firstLine="420" w:firstLineChars="0"/>
              <w:textAlignment w:val="auto"/>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color w:val="000000" w:themeColor="text1"/>
                <w:sz w:val="28"/>
                <w:szCs w:val="24"/>
                <w:lang w:val="en-US" w:eastAsia="zh-CN"/>
                <w14:textFill>
                  <w14:solidFill>
                    <w14:schemeClr w14:val="tx1"/>
                  </w14:solidFill>
                </w14:textFill>
              </w:rPr>
              <w:t>中国融通集团邀标入围，并完成AI中台项目商机转化合同，任务工作量约30人/天，评测方式以是否中标衡量，预期成果为AI中台项目中标。</w:t>
            </w:r>
          </w:p>
        </w:tc>
        <w:tc>
          <w:tcPr>
            <w:tcW w:w="2151" w:type="dxa"/>
          </w:tcPr>
          <w:p w14:paraId="7598F956">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雅江AI智能体应用项目是否中标；（10分）</w:t>
            </w:r>
          </w:p>
          <w:p w14:paraId="2BABCCEF">
            <w:pPr>
              <w:pStyle w:val="2"/>
              <w:rPr>
                <w:rFonts w:hint="eastAsia" w:ascii="仿宋_GB2312" w:hAnsi="仿宋_GB2312" w:eastAsia="仿宋_GB2312" w:cs="仿宋_GB2312"/>
                <w:b w:val="0"/>
                <w:bCs w:val="0"/>
                <w:sz w:val="24"/>
                <w:szCs w:val="24"/>
                <w:lang w:val="en-US" w:eastAsia="zh-CN"/>
              </w:rPr>
            </w:pPr>
          </w:p>
          <w:p w14:paraId="10F41484">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融通AI中台项目（数智化转型项目）是否中标；（10分）</w:t>
            </w:r>
          </w:p>
          <w:p w14:paraId="26C3A78B">
            <w:pPr>
              <w:pStyle w:val="2"/>
              <w:rPr>
                <w:rFonts w:hint="default"/>
                <w:lang w:val="en-US" w:eastAsia="zh-CN"/>
              </w:rPr>
            </w:pPr>
          </w:p>
        </w:tc>
        <w:tc>
          <w:tcPr>
            <w:tcW w:w="2249" w:type="dxa"/>
          </w:tcPr>
          <w:p w14:paraId="147B1BC4">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雅江各轮AI竞赛均取得佳绩、客户支撑满意度高，未中标原因不由技术支撑主要引起。（5分）</w:t>
            </w:r>
          </w:p>
          <w:p w14:paraId="04BA0C25">
            <w:pPr>
              <w:pStyle w:val="2"/>
              <w:rPr>
                <w:rFonts w:hint="eastAsia" w:ascii="仿宋_GB2312" w:hAnsi="仿宋_GB2312" w:eastAsia="仿宋_GB2312" w:cs="仿宋_GB2312"/>
                <w:b w:val="0"/>
                <w:bCs w:val="0"/>
                <w:sz w:val="24"/>
                <w:szCs w:val="24"/>
                <w:lang w:val="en-US" w:eastAsia="zh-CN"/>
              </w:rPr>
            </w:pPr>
          </w:p>
          <w:p w14:paraId="20F7F6E4">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融通集团数智化转型项目中标，由集团政企牵头，中移数智投标，集成公司基于前期支撑进行相关承接，目前商务正在跟进。（10分）</w:t>
            </w:r>
          </w:p>
        </w:tc>
      </w:tr>
      <w:tr w14:paraId="0E3C0036">
        <w:trPr>
          <w:trHeight w:val="535" w:hRule="atLeast"/>
          <w:jc w:val="center"/>
        </w:trPr>
        <w:tc>
          <w:tcPr>
            <w:tcW w:w="1441" w:type="dxa"/>
          </w:tcPr>
          <w:p w14:paraId="6E55504F">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3</w:t>
            </w:r>
          </w:p>
        </w:tc>
        <w:tc>
          <w:tcPr>
            <w:tcW w:w="2497" w:type="dxa"/>
          </w:tcPr>
          <w:p w14:paraId="6173B038">
            <w:pPr>
              <w:keepNext w:val="0"/>
              <w:keepLines w:val="0"/>
              <w:pageBreakBefore w:val="0"/>
              <w:kinsoku/>
              <w:wordWrap/>
              <w:overflowPunct/>
              <w:topLinePunct w:val="0"/>
              <w:autoSpaceDE/>
              <w:autoSpaceDN/>
              <w:bidi w:val="0"/>
              <w:spacing w:line="560" w:lineRule="exact"/>
              <w:ind w:firstLine="560" w:firstLineChars="200"/>
              <w:jc w:val="left"/>
              <w:textAlignment w:val="auto"/>
              <w:rPr>
                <w:rFonts w:hint="eastAsia" w:ascii="仿宋_GB2312" w:hAnsi="仿宋_GB2312" w:eastAsia="仿宋_GB2312" w:cs="仿宋_GB2312"/>
                <w:b w:val="0"/>
                <w:bCs w:val="0"/>
                <w:sz w:val="24"/>
                <w:szCs w:val="24"/>
                <w:lang w:val="en-US" w:eastAsia="zh-CN"/>
              </w:rPr>
            </w:pPr>
            <w:r>
              <w:rPr>
                <w:rFonts w:hint="eastAsia" w:ascii="仿宋_GB2312" w:hAnsi="仿宋_GB2312" w:eastAsia="仿宋_GB2312" w:cs="仿宋_GB2312"/>
                <w:color w:val="000000" w:themeColor="text1"/>
                <w:sz w:val="28"/>
                <w:szCs w:val="24"/>
                <w:lang w:val="en-US" w:eastAsia="zh-CN"/>
                <w14:textFill>
                  <w14:solidFill>
                    <w14:schemeClr w14:val="tx1"/>
                  </w14:solidFill>
                </w14:textFill>
              </w:rPr>
              <w:t>自研超级智能体开发引擎平台部署并演示支撑不少于3家客户，并获得客户认可。</w:t>
            </w:r>
          </w:p>
        </w:tc>
        <w:tc>
          <w:tcPr>
            <w:tcW w:w="2151" w:type="dxa"/>
          </w:tcPr>
          <w:p w14:paraId="491F0833">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支撑不少于3家客户，并获得认可；（10分）</w:t>
            </w:r>
          </w:p>
        </w:tc>
        <w:tc>
          <w:tcPr>
            <w:tcW w:w="2249" w:type="dxa"/>
          </w:tcPr>
          <w:p w14:paraId="38C86303">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完成面向湛江政数局、鞍钢集团、矿冶集团、广西东盟博览局、四川中移智问、新疆移动、吐鲁番移动、新疆应急厅、新疆交通厅的超级智能体开发平台产品培训及演示支撑，获得各方客户认可。（10分）</w:t>
            </w:r>
          </w:p>
          <w:p w14:paraId="1D11FC47">
            <w:pPr>
              <w:pStyle w:val="2"/>
              <w:rPr>
                <w:rFonts w:hint="default"/>
                <w:lang w:val="en-US" w:eastAsia="zh-CN"/>
              </w:rPr>
            </w:pPr>
          </w:p>
        </w:tc>
      </w:tr>
      <w:tr w14:paraId="27E617F0">
        <w:trPr>
          <w:trHeight w:val="535" w:hRule="atLeast"/>
          <w:jc w:val="center"/>
        </w:trPr>
        <w:tc>
          <w:tcPr>
            <w:tcW w:w="1441" w:type="dxa"/>
          </w:tcPr>
          <w:p w14:paraId="540BE3C4">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4</w:t>
            </w:r>
          </w:p>
        </w:tc>
        <w:tc>
          <w:tcPr>
            <w:tcW w:w="2497" w:type="dxa"/>
          </w:tcPr>
          <w:p w14:paraId="51C330DC">
            <w:pPr>
              <w:keepNext w:val="0"/>
              <w:keepLines w:val="0"/>
              <w:pageBreakBefore w:val="0"/>
              <w:kinsoku/>
              <w:wordWrap/>
              <w:overflowPunct/>
              <w:topLinePunct w:val="0"/>
              <w:autoSpaceDE/>
              <w:autoSpaceDN/>
              <w:bidi w:val="0"/>
              <w:spacing w:line="560" w:lineRule="exact"/>
              <w:ind w:firstLine="560" w:firstLineChars="200"/>
              <w:jc w:val="left"/>
              <w:textAlignment w:val="auto"/>
              <w:rPr>
                <w:rFonts w:hint="eastAsia" w:ascii="仿宋_GB2312" w:hAnsi="仿宋_GB2312" w:eastAsia="仿宋_GB2312" w:cs="仿宋_GB2312"/>
                <w:color w:val="000000" w:themeColor="text1"/>
                <w:sz w:val="28"/>
                <w:szCs w:val="24"/>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4"/>
                <w:lang w:val="en-US" w:eastAsia="zh-CN"/>
                <w14:textFill>
                  <w14:solidFill>
                    <w14:schemeClr w14:val="tx1"/>
                  </w14:solidFill>
                </w14:textFill>
              </w:rPr>
              <w:t>基于AI原生能力构建方法，完成不少于3家AI+专项行动商机项目方法论支撑，并获得客户认可。</w:t>
            </w:r>
          </w:p>
        </w:tc>
        <w:tc>
          <w:tcPr>
            <w:tcW w:w="2151" w:type="dxa"/>
          </w:tcPr>
          <w:p w14:paraId="61C62941">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完成不少于3家客户AI+专项行动支撑，获得客户认可。（10分）</w:t>
            </w:r>
          </w:p>
        </w:tc>
        <w:tc>
          <w:tcPr>
            <w:tcW w:w="2249" w:type="dxa"/>
          </w:tcPr>
          <w:p w14:paraId="1124C585">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完成中国雅江集团、中国融通集团、中铝集团等客户的AI+专项行动方案编写支撑；（10分）</w:t>
            </w:r>
          </w:p>
        </w:tc>
      </w:tr>
      <w:tr w14:paraId="51390964">
        <w:trPr>
          <w:trHeight w:val="535" w:hRule="atLeast"/>
          <w:jc w:val="center"/>
        </w:trPr>
        <w:tc>
          <w:tcPr>
            <w:tcW w:w="1441" w:type="dxa"/>
          </w:tcPr>
          <w:p w14:paraId="732106E0">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5</w:t>
            </w:r>
          </w:p>
        </w:tc>
        <w:tc>
          <w:tcPr>
            <w:tcW w:w="2497" w:type="dxa"/>
          </w:tcPr>
          <w:p w14:paraId="6CF9265D">
            <w:pPr>
              <w:keepNext w:val="0"/>
              <w:keepLines w:val="0"/>
              <w:pageBreakBefore w:val="0"/>
              <w:kinsoku/>
              <w:wordWrap/>
              <w:overflowPunct/>
              <w:topLinePunct w:val="0"/>
              <w:autoSpaceDE/>
              <w:autoSpaceDN/>
              <w:bidi w:val="0"/>
              <w:spacing w:line="560" w:lineRule="exact"/>
              <w:ind w:firstLine="560" w:firstLineChars="200"/>
              <w:jc w:val="left"/>
              <w:textAlignment w:val="auto"/>
              <w:rPr>
                <w:rFonts w:hint="eastAsia" w:ascii="仿宋_GB2312" w:hAnsi="仿宋_GB2312" w:eastAsia="仿宋_GB2312" w:cs="仿宋_GB2312"/>
                <w:color w:val="000000" w:themeColor="text1"/>
                <w:sz w:val="28"/>
                <w:szCs w:val="24"/>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4"/>
                <w:lang w:val="en-US" w:eastAsia="zh-CN"/>
                <w14:textFill>
                  <w14:solidFill>
                    <w14:schemeClr w14:val="tx1"/>
                  </w14:solidFill>
                </w14:textFill>
              </w:rPr>
              <w:t>以中国雅江集团为代表，完成1次技术交流。</w:t>
            </w:r>
          </w:p>
        </w:tc>
        <w:tc>
          <w:tcPr>
            <w:tcW w:w="2151" w:type="dxa"/>
          </w:tcPr>
          <w:p w14:paraId="754D9873">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完成至少1次客户技术交流；（10分）</w:t>
            </w:r>
          </w:p>
        </w:tc>
        <w:tc>
          <w:tcPr>
            <w:tcW w:w="2249" w:type="dxa"/>
          </w:tcPr>
          <w:p w14:paraId="7258B32E">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完成湛江AI+渗透之城项目AI中台及智能体应用落地、中国雅江集团AI智能体应用规划、鞍钢集团MCP Hub权限管控等客户技术专题交流（10分）</w:t>
            </w:r>
          </w:p>
        </w:tc>
      </w:tr>
      <w:tr w14:paraId="5485F35B">
        <w:trPr>
          <w:trHeight w:val="535" w:hRule="atLeast"/>
          <w:jc w:val="center"/>
        </w:trPr>
        <w:tc>
          <w:tcPr>
            <w:tcW w:w="1441" w:type="dxa"/>
          </w:tcPr>
          <w:p w14:paraId="42F00A78">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6</w:t>
            </w:r>
          </w:p>
        </w:tc>
        <w:tc>
          <w:tcPr>
            <w:tcW w:w="2497" w:type="dxa"/>
          </w:tcPr>
          <w:p w14:paraId="63116666">
            <w:pPr>
              <w:keepNext w:val="0"/>
              <w:keepLines w:val="0"/>
              <w:pageBreakBefore w:val="0"/>
              <w:widowControl w:val="0"/>
              <w:kinsoku/>
              <w:wordWrap/>
              <w:overflowPunct/>
              <w:topLinePunct w:val="0"/>
              <w:autoSpaceDE/>
              <w:autoSpaceDN/>
              <w:bidi w:val="0"/>
              <w:adjustRightInd/>
              <w:spacing w:line="600" w:lineRule="exact"/>
              <w:ind w:firstLine="420" w:firstLineChars="0"/>
              <w:textAlignment w:val="auto"/>
              <w:rPr>
                <w:rFonts w:hint="eastAsia" w:ascii="仿宋_GB2312" w:hAnsi="仿宋_GB2312" w:eastAsia="仿宋_GB2312" w:cs="仿宋_GB2312"/>
                <w:color w:val="000000" w:themeColor="text1"/>
                <w:sz w:val="28"/>
                <w:szCs w:val="24"/>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4"/>
                <w:lang w:val="en-US" w:eastAsia="zh-CN"/>
                <w14:textFill>
                  <w14:solidFill>
                    <w14:schemeClr w14:val="tx1"/>
                  </w14:solidFill>
                </w14:textFill>
              </w:rPr>
              <w:t>以中国雅江集团、中国融通集团为代表，完成AI相关项目立项审核支撑，辅助客户成功完成项目立项。</w:t>
            </w:r>
          </w:p>
        </w:tc>
        <w:tc>
          <w:tcPr>
            <w:tcW w:w="2151" w:type="dxa"/>
          </w:tcPr>
          <w:p w14:paraId="6A91B2E2">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管理咨询及AI技术支撑，辅助客户完成项目立项。（10分）</w:t>
            </w:r>
          </w:p>
        </w:tc>
        <w:tc>
          <w:tcPr>
            <w:tcW w:w="2249" w:type="dxa"/>
          </w:tcPr>
          <w:p w14:paraId="77167CCB">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支撑雅江集团数信中心客户，辅助客户完成智能体项目立项工作，支撑融通集团客户完成数智化转型项目立项工作。（8分）</w:t>
            </w:r>
          </w:p>
        </w:tc>
      </w:tr>
      <w:tr w14:paraId="4AF1B1BE">
        <w:trPr>
          <w:trHeight w:val="535" w:hRule="atLeast"/>
          <w:jc w:val="center"/>
        </w:trPr>
        <w:tc>
          <w:tcPr>
            <w:tcW w:w="1441" w:type="dxa"/>
          </w:tcPr>
          <w:p w14:paraId="468E21E9">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7</w:t>
            </w:r>
          </w:p>
        </w:tc>
        <w:tc>
          <w:tcPr>
            <w:tcW w:w="2497" w:type="dxa"/>
          </w:tcPr>
          <w:p w14:paraId="3C7DB170">
            <w:pPr>
              <w:keepNext w:val="0"/>
              <w:keepLines w:val="0"/>
              <w:pageBreakBefore w:val="0"/>
              <w:widowControl w:val="0"/>
              <w:kinsoku/>
              <w:wordWrap/>
              <w:overflowPunct/>
              <w:topLinePunct w:val="0"/>
              <w:autoSpaceDE/>
              <w:autoSpaceDN/>
              <w:bidi w:val="0"/>
              <w:adjustRightInd/>
              <w:spacing w:line="600" w:lineRule="exact"/>
              <w:ind w:firstLine="420" w:firstLineChars="0"/>
              <w:textAlignment w:val="auto"/>
              <w:rPr>
                <w:rFonts w:hint="eastAsia" w:ascii="仿宋_GB2312" w:hAnsi="仿宋_GB2312" w:eastAsia="仿宋_GB2312" w:cs="仿宋_GB2312"/>
                <w:color w:val="000000" w:themeColor="text1"/>
                <w:sz w:val="28"/>
                <w:szCs w:val="24"/>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4"/>
                <w:lang w:val="en-US" w:eastAsia="zh-CN"/>
                <w14:textFill>
                  <w14:solidFill>
                    <w14:schemeClr w14:val="tx1"/>
                  </w14:solidFill>
                </w14:textFill>
              </w:rPr>
              <w:t>每一个客户项目咨询、落地过程中，至少成功发表1项专利。</w:t>
            </w:r>
          </w:p>
        </w:tc>
        <w:tc>
          <w:tcPr>
            <w:tcW w:w="2151" w:type="dxa"/>
          </w:tcPr>
          <w:p w14:paraId="6509AF36">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至少发表1项专利。（10分）</w:t>
            </w:r>
          </w:p>
        </w:tc>
        <w:tc>
          <w:tcPr>
            <w:tcW w:w="2249" w:type="dxa"/>
          </w:tcPr>
          <w:p w14:paraId="2449E631">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已完成2项专利提交，目前已过初审，等待立案。（10分）</w:t>
            </w:r>
          </w:p>
        </w:tc>
      </w:tr>
      <w:tr w14:paraId="3738EEC2">
        <w:trPr>
          <w:trHeight w:val="535" w:hRule="atLeast"/>
          <w:jc w:val="center"/>
        </w:trPr>
        <w:tc>
          <w:tcPr>
            <w:tcW w:w="1441" w:type="dxa"/>
          </w:tcPr>
          <w:p w14:paraId="7338464C">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8</w:t>
            </w:r>
          </w:p>
        </w:tc>
        <w:tc>
          <w:tcPr>
            <w:tcW w:w="2497" w:type="dxa"/>
          </w:tcPr>
          <w:p w14:paraId="70856DFB">
            <w:pPr>
              <w:keepNext w:val="0"/>
              <w:keepLines w:val="0"/>
              <w:pageBreakBefore w:val="0"/>
              <w:widowControl w:val="0"/>
              <w:kinsoku/>
              <w:wordWrap/>
              <w:overflowPunct/>
              <w:topLinePunct w:val="0"/>
              <w:autoSpaceDE/>
              <w:autoSpaceDN/>
              <w:bidi w:val="0"/>
              <w:adjustRightInd/>
              <w:spacing w:line="600" w:lineRule="exact"/>
              <w:ind w:firstLine="420" w:firstLineChars="0"/>
              <w:textAlignment w:val="auto"/>
              <w:rPr>
                <w:rFonts w:hint="eastAsia" w:ascii="仿宋_GB2312" w:hAnsi="仿宋_GB2312" w:eastAsia="仿宋_GB2312" w:cs="仿宋_GB2312"/>
                <w:color w:val="000000" w:themeColor="text1"/>
                <w:sz w:val="28"/>
                <w:szCs w:val="24"/>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4"/>
                <w:lang w:val="en-US" w:eastAsia="zh-CN"/>
                <w14:textFill>
                  <w14:solidFill>
                    <w14:schemeClr w14:val="tx1"/>
                  </w14:solidFill>
                </w14:textFill>
              </w:rPr>
              <w:t>团队中的每一个角色都可以讲出一个真实的高价值客户需求，并给出应对方案。</w:t>
            </w:r>
          </w:p>
        </w:tc>
        <w:tc>
          <w:tcPr>
            <w:tcW w:w="2151" w:type="dxa"/>
          </w:tcPr>
          <w:p w14:paraId="3B526593">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面向自研团队，完成各行业真实客户需求总结输入，并培训规划方案。（10分）</w:t>
            </w:r>
          </w:p>
        </w:tc>
        <w:tc>
          <w:tcPr>
            <w:tcW w:w="2249" w:type="dxa"/>
          </w:tcPr>
          <w:p w14:paraId="5C24FF07">
            <w:pPr>
              <w:keepNext w:val="0"/>
              <w:keepLines w:val="0"/>
              <w:pageBreakBefore w:val="0"/>
              <w:kinsoku/>
              <w:wordWrap/>
              <w:overflowPunct/>
              <w:topLinePunct w:val="0"/>
              <w:autoSpaceDE/>
              <w:autoSpaceDN/>
              <w:bidi w:val="0"/>
              <w:spacing w:line="560" w:lineRule="exact"/>
              <w:ind w:firstLine="480" w:firstLineChars="200"/>
              <w:jc w:val="left"/>
              <w:textAlignment w:val="auto"/>
              <w:rPr>
                <w:rFonts w:hint="default" w:ascii="仿宋_GB2312" w:hAnsi="仿宋_GB2312" w:eastAsia="仿宋_GB2312" w:cs="仿宋_GB2312"/>
                <w:b w:val="0"/>
                <w:bCs w:val="0"/>
                <w:sz w:val="24"/>
                <w:szCs w:val="24"/>
                <w:lang w:val="en-US" w:eastAsia="zh-CN"/>
              </w:rPr>
            </w:pPr>
            <w:r>
              <w:rPr>
                <w:rFonts w:hint="eastAsia" w:ascii="仿宋_GB2312" w:hAnsi="仿宋_GB2312" w:eastAsia="仿宋_GB2312" w:cs="仿宋_GB2312"/>
                <w:b w:val="0"/>
                <w:bCs w:val="0"/>
                <w:sz w:val="24"/>
                <w:szCs w:val="24"/>
                <w:lang w:val="en-US" w:eastAsia="zh-CN"/>
              </w:rPr>
              <w:t>面向自研团队，主导并组织参加客户方举办的智能体竞赛、PoC演示等，完成方案总结与团队复盘培训。（10分）</w:t>
            </w:r>
          </w:p>
        </w:tc>
      </w:tr>
      <w:bookmarkEnd w:id="0"/>
    </w:tbl>
    <w:p w14:paraId="7E989345">
      <w:pPr>
        <w:keepNext w:val="0"/>
        <w:keepLines w:val="0"/>
        <w:pageBreakBefore w:val="0"/>
        <w:kinsoku/>
        <w:wordWrap/>
        <w:overflowPunct/>
        <w:topLinePunct w:val="0"/>
        <w:autoSpaceDE/>
        <w:autoSpaceDN/>
        <w:bidi w:val="0"/>
        <w:adjustRightInd w:val="0"/>
        <w:snapToGrid w:val="0"/>
        <w:spacing w:line="560" w:lineRule="exact"/>
        <w:ind w:firstLine="641" w:firstLineChars="200"/>
        <w:textAlignment w:val="auto"/>
        <w:rPr>
          <w:rFonts w:hint="default" w:ascii="楷体" w:hAnsi="楷体" w:eastAsia="楷体" w:cs="楷体"/>
          <w:b/>
          <w:bCs/>
          <w:color w:val="000000"/>
          <w:sz w:val="32"/>
          <w:szCs w:val="32"/>
          <w:shd w:val="clear" w:color="auto" w:fill="FFFFFF"/>
          <w:lang w:val="en-US" w:eastAsia="zh-CN"/>
        </w:rPr>
      </w:pPr>
      <w:r>
        <w:rPr>
          <w:rFonts w:hint="eastAsia" w:ascii="楷体" w:hAnsi="楷体" w:eastAsia="楷体" w:cs="楷体"/>
          <w:b/>
          <w:bCs/>
          <w:color w:val="000000"/>
          <w:sz w:val="32"/>
          <w:szCs w:val="32"/>
          <w:shd w:val="clear" w:color="auto" w:fill="FFFFFF"/>
          <w:lang w:val="en-US" w:eastAsia="zh-CN"/>
        </w:rPr>
        <w:t>（二）专家价值发挥情况</w:t>
      </w:r>
    </w:p>
    <w:p w14:paraId="6BCC11C0">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default"/>
          <w:lang w:val="en-US" w:eastAsia="zh-CN"/>
        </w:rPr>
      </w:pPr>
      <w:r>
        <w:rPr>
          <w:rFonts w:hint="eastAsia" w:ascii="仿宋_GB2312" w:hAnsi="仿宋_GB2312" w:eastAsia="仿宋_GB2312" w:cs="仿宋_GB2312"/>
          <w:color w:val="auto"/>
          <w:sz w:val="32"/>
          <w:szCs w:val="32"/>
          <w:highlight w:val="none"/>
          <w:lang w:val="en-US" w:eastAsia="zh-CN"/>
        </w:rPr>
        <w:t>1.专业攻坚：参与中国雅江集团“数智YJ项目”攻关，先后完成项目建议书编写，带队完成两轮次智能体竞赛；参与十五五规划夺旗行动，与TL协同负责AI业务部的夺旗行动任务；参与AI能力揭榜挂帅专项，负责AI+应急救援力量调度场景的专项申报，完成研发计划、效益测算编制；由集团政企牵头，代表集成公司担任面向中国融通集团的RT突击队长，负责RT重点项目攻关与现场支撑。</w:t>
      </w:r>
    </w:p>
    <w:p w14:paraId="69BF5D2F">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default"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2.专业建议：研发技术方面，面向自研团队，提出重点关注智能体技术路线的相关建议，除关注当前主流AI应用构建平台Dify、</w:t>
      </w:r>
      <w:r>
        <w:rPr>
          <w:rFonts w:hint="default" w:ascii="仿宋_GB2312" w:hAnsi="仿宋_GB2312" w:eastAsia="仿宋_GB2312" w:cs="仿宋_GB2312"/>
          <w:color w:val="auto"/>
          <w:sz w:val="32"/>
          <w:szCs w:val="32"/>
          <w:highlight w:val="none"/>
          <w:lang w:val="en-US" w:eastAsia="zh-CN"/>
        </w:rPr>
        <w:t>Coze</w:t>
      </w:r>
      <w:r>
        <w:rPr>
          <w:rFonts w:hint="eastAsia" w:ascii="仿宋_GB2312" w:hAnsi="仿宋_GB2312" w:eastAsia="仿宋_GB2312" w:cs="仿宋_GB2312"/>
          <w:color w:val="auto"/>
          <w:sz w:val="32"/>
          <w:szCs w:val="32"/>
          <w:highlight w:val="none"/>
          <w:lang w:val="en-US" w:eastAsia="zh-CN"/>
        </w:rPr>
        <w:t>、</w:t>
      </w:r>
      <w:r>
        <w:rPr>
          <w:rFonts w:hint="default" w:ascii="仿宋_GB2312" w:hAnsi="仿宋_GB2312" w:eastAsia="仿宋_GB2312" w:cs="仿宋_GB2312"/>
          <w:color w:val="auto"/>
          <w:sz w:val="32"/>
          <w:szCs w:val="32"/>
          <w:highlight w:val="none"/>
          <w:lang w:val="en-US" w:eastAsia="zh-CN"/>
        </w:rPr>
        <w:t>Manus</w:t>
      </w:r>
      <w:r>
        <w:rPr>
          <w:rFonts w:hint="eastAsia" w:ascii="仿宋_GB2312" w:hAnsi="仿宋_GB2312" w:eastAsia="仿宋_GB2312" w:cs="仿宋_GB2312"/>
          <w:color w:val="auto"/>
          <w:sz w:val="32"/>
          <w:szCs w:val="32"/>
          <w:highlight w:val="none"/>
          <w:lang w:val="en-US" w:eastAsia="zh-CN"/>
        </w:rPr>
        <w:t>、Claude等，还要从宏观上关注以李飞飞为代表的世界模型流派，和以杨立昆为代表的隐式表征流派，这两者的发展趋势与客户群接受程度，决定着AI未来发展的指导性方向。紧跟世界技术发展步伐，提前洞察面向2026年人类可能实现的AGI，将会对AI领域带来怎样的影响，同时探索并提前布局AGI应用的可能性；市场拓展方面，建议团队分批次直面客户，建立“老带新”市场拓展机制发挥各自优势，形成能力互补，将团队综合实力最大化发展，灵活响应市场需求。同时与市场前端团队形成紧密协同机制，前后方团队可及时了解市占率提升空间，共同探索提升方案；经营管理方面，团队相关核心成员应及时了解年度经营分析会议结论，包括经营目标、各项细化指标等，研讨目标拆解方案，真正做到经营目标的落实可行性评估，及时提出风险项、依赖项等，有序推进目标执行，而不是将经营管理视为只有领导才应该关注的事项。</w:t>
      </w:r>
    </w:p>
    <w:p w14:paraId="50EBAC36">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3.人才培养：客户商机支撑过程中，带领相关同事完成相关方案设计，培养团队管理咨询能力。以TOGAF企业架构框架、企业架构设计白皮书为基础能力教材，培养团队成员高阶设计思维，基于此基础，现已带领团队成员完成面向中国雅江集团应急监测智能体、项目管理内容审核智能体的全套规划方案设计及Demo研发部署工作。</w:t>
      </w:r>
    </w:p>
    <w:p w14:paraId="3B4EAC5C">
      <w:pPr>
        <w:numPr>
          <w:ilvl w:val="0"/>
          <w:numId w:val="0"/>
        </w:numPr>
        <w:spacing w:line="240" w:lineRule="auto"/>
        <w:ind w:firstLine="421"/>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4.专业分享：积极关注和响应“十五五规划”AI产业发展格局，积极关注和影响AI产业发展走向，为AI+专项行动中自研产品与客户项目，提供技术咨询和决策建议，向团队分享客户项目成功交付案例，实现知识、经验和专业能力的传递和延伸；以多类型商机项目客户需求为源动力，快速辅助团队增强知识储备，包含算力规划、高质量数据集管理与标注、模型算法、AI应用建设等。通过客户项目分享，提升团队在AI产业化应用的全局观意识，全面提升团队技术实操能力，进而全面支撑公司在AI技术领域，从管理咨询到实施落地全流程的核心竞争力与高质量发展；重点关注新人培养过程，以“边练边学”为培养策略，帮助新人快速搭建宏观产品思维框架、宏观技术思维框架、宏观客户思维框架。带领新人快速融入商机支撑、顶规顶设、管理咨询、产品研发、项目交付全流程，使其全维度感知自身薄弱环节，完成针对性学习、训练及实战，循序渐进拔高团队的综合硬实力。</w:t>
      </w:r>
    </w:p>
    <w:p w14:paraId="78B35348">
      <w:pPr>
        <w:keepNext w:val="0"/>
        <w:keepLines w:val="0"/>
        <w:pageBreakBefore w:val="0"/>
        <w:kinsoku/>
        <w:wordWrap/>
        <w:overflowPunct/>
        <w:topLinePunct w:val="0"/>
        <w:autoSpaceDE/>
        <w:autoSpaceDN/>
        <w:bidi w:val="0"/>
        <w:adjustRightInd w:val="0"/>
        <w:snapToGrid w:val="0"/>
        <w:spacing w:line="560" w:lineRule="exact"/>
        <w:ind w:firstLine="640" w:firstLineChars="200"/>
        <w:textAlignment w:val="auto"/>
        <w:rPr>
          <w:rFonts w:hint="eastAsia" w:ascii="黑体" w:hAnsi="黑体" w:eastAsia="黑体" w:cs="楷体"/>
          <w:color w:val="000000"/>
          <w:sz w:val="32"/>
          <w:szCs w:val="32"/>
          <w:shd w:val="clear" w:color="auto" w:fill="FFFFFF"/>
          <w:lang w:val="en-US" w:eastAsia="zh-CN"/>
        </w:rPr>
      </w:pPr>
      <w:r>
        <w:rPr>
          <w:rFonts w:hint="eastAsia" w:ascii="黑体" w:hAnsi="黑体" w:eastAsia="黑体" w:cs="楷体"/>
          <w:color w:val="000000"/>
          <w:sz w:val="32"/>
          <w:szCs w:val="32"/>
          <w:shd w:val="clear" w:color="auto" w:fill="FFFFFF"/>
          <w:lang w:val="en-US" w:eastAsia="zh-CN"/>
        </w:rPr>
        <w:t>三、对公司的建议</w:t>
      </w:r>
    </w:p>
    <w:p w14:paraId="7E497976">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1. 坚持强化自有产品的竞争力，不仅是技术竞争力，也要重视行业积累的竞争力，面对重大重点项目相关行业客户的多源需求，积极提取需求共性，提升产品升级适配能力。</w:t>
      </w:r>
    </w:p>
    <w:p w14:paraId="07AC8773">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 以“大客户”战略为主，坚持并坚守在国家发展的重点行业领域，深耕大客户业务，产出先进性产品。</w:t>
      </w:r>
    </w:p>
    <w:p w14:paraId="1F8AF71A">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3. 培养行业管理咨询能力，基于企业架构规划与设计标杆框架实行“先咨询、后落地”的最佳实践“打法”。</w:t>
      </w:r>
      <w:bookmarkStart w:id="7" w:name="_GoBack"/>
      <w:bookmarkEnd w:id="7"/>
    </w:p>
    <w:p w14:paraId="39EFD2B6">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4. 提高与集团政企高层、客户高层的紧密联系，避免丢失赢单率较高的标的。</w:t>
      </w:r>
    </w:p>
    <w:p w14:paraId="7DD43D3F">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default"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5. 客户发标存在多标共存的情况，公司在投标策略上，尽量倾斜有助于公司战略发展的客户项目。</w:t>
      </w:r>
    </w:p>
    <w:p w14:paraId="0EC052A2">
      <w:pPr>
        <w:spacing w:line="560" w:lineRule="exact"/>
        <w:ind w:firstLine="640" w:firstLineChars="200"/>
        <w:rPr>
          <w:rFonts w:ascii="仿宋_GB2312" w:hAnsi="仿宋_GB2312" w:eastAsia="仿宋_GB2312" w:cs="仿宋_GB2312"/>
          <w:sz w:val="32"/>
          <w:szCs w:val="32"/>
        </w:rPr>
      </w:pPr>
    </w:p>
    <w:sectPr>
      <w:headerReference r:id="rId3" w:type="default"/>
      <w:footerReference r:id="rId5" w:type="default"/>
      <w:headerReference r:id="rId4" w:type="even"/>
      <w:footerReference r:id="rId6" w:type="even"/>
      <w:pgSz w:w="11906" w:h="16838"/>
      <w:pgMar w:top="2098" w:right="1587" w:bottom="2098" w:left="1587"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方正小标宋">
    <w:altName w:val="汉仪书宋二KW"/>
    <w:panose1 w:val="00000000000000000000"/>
    <w:charset w:val="86"/>
    <w:family w:val="roman"/>
    <w:pitch w:val="default"/>
    <w:sig w:usb0="00000000" w:usb1="00000000" w:usb2="00000000" w:usb3="00000000" w:csb0="00000000" w:csb1="00000000"/>
  </w:font>
  <w:font w:name="华文中宋">
    <w:altName w:val="汉仪书宋二KW"/>
    <w:panose1 w:val="02010600040101010101"/>
    <w:charset w:val="86"/>
    <w:family w:val="auto"/>
    <w:pitch w:val="default"/>
    <w:sig w:usb0="00000000" w:usb1="00000000" w:usb2="00000000" w:usb3="00000000" w:csb0="0004009F" w:csb1="DFD70000"/>
  </w:font>
  <w:font w:name="楷体">
    <w:altName w:val="汉仪楷体KW"/>
    <w:panose1 w:val="02010609060101010101"/>
    <w:charset w:val="86"/>
    <w:family w:val="modern"/>
    <w:pitch w:val="default"/>
    <w:sig w:usb0="00000000" w:usb1="00000000" w:usb2="00000016" w:usb3="00000000" w:csb0="00040001" w:csb1="00000000"/>
  </w:font>
  <w:font w:name="仿宋_GB2312">
    <w:altName w:val="方正仿宋_GBK"/>
    <w:panose1 w:val="02010609030101010101"/>
    <w:charset w:val="86"/>
    <w:family w:val="modern"/>
    <w:pitch w:val="default"/>
    <w:sig w:usb0="00000000" w:usb1="00000000" w:usb2="00000000" w:usb3="00000000" w:csb0="00040000"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仿宋">
    <w:altName w:val="方正仿宋_GBK"/>
    <w:panose1 w:val="02010609060101010101"/>
    <w:charset w:val="86"/>
    <w:family w:val="modern"/>
    <w:pitch w:val="default"/>
    <w:sig w:usb0="00000000" w:usb1="00000000" w:usb2="00000016"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楷体">
    <w:altName w:val="汉仪楷体KW"/>
    <w:panose1 w:val="00000000000000000000"/>
    <w:charset w:val="00"/>
    <w:family w:val="auto"/>
    <w:pitch w:val="default"/>
    <w:sig w:usb0="00000000" w:usb1="00000000" w:usb2="00000000" w:usb3="00000000" w:csb0="00000000" w:csb1="00000000"/>
  </w:font>
  <w:font w:name="仿宋">
    <w:altName w:val="方正仿宋_GBK"/>
    <w:panose1 w:val="00000000000000000000"/>
    <w:charset w:val="00"/>
    <w:family w:val="auto"/>
    <w:pitch w:val="default"/>
    <w:sig w:usb0="00000000" w:usb1="00000000" w:usb2="00000000" w:usb3="00000000" w:csb0="00000000" w:csb1="00000000"/>
  </w:font>
  <w:font w:name="仿宋_GB2312">
    <w:altName w:val="方正仿宋_GBK"/>
    <w:panose1 w:val="02010609030101010101"/>
    <w:charset w:val="00"/>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12C65">
    <w:pPr>
      <w:pStyle w:val="2"/>
      <w:tabs>
        <w:tab w:val="center" w:pos="4366"/>
        <w:tab w:val="clear" w:pos="8306"/>
      </w:tabs>
      <w:ind w:right="720" w:firstLine="7200" w:firstLineChars="4000"/>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476119">
                          <w:pPr>
                            <w:pStyle w:val="2"/>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3F476119">
                    <w:pPr>
                      <w:pStyle w:val="2"/>
                    </w:pPr>
                    <w:r>
                      <w:fldChar w:fldCharType="begin"/>
                    </w:r>
                    <w:r>
                      <w:instrText xml:space="preserve"> PAGE  \* MERGEFORMAT </w:instrText>
                    </w:r>
                    <w:r>
                      <w:fldChar w:fldCharType="separate"/>
                    </w:r>
                    <w:r>
                      <w:t>- 1 -</w:t>
                    </w:r>
                    <w:r>
                      <w:fldChar w:fldCharType="end"/>
                    </w: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C1AFAE">
                          <w:pPr>
                            <w:pStyle w:val="2"/>
                            <w:tabs>
                              <w:tab w:val="center" w:pos="4366"/>
                              <w:tab w:val="clear" w:pos="8306"/>
                            </w:tabs>
                            <w:ind w:right="720"/>
                            <w:jc w:val="both"/>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6C1AFAE">
                    <w:pPr>
                      <w:pStyle w:val="2"/>
                      <w:tabs>
                        <w:tab w:val="center" w:pos="4366"/>
                        <w:tab w:val="clear" w:pos="8306"/>
                      </w:tabs>
                      <w:ind w:right="720"/>
                      <w:jc w:val="both"/>
                    </w:pPr>
                  </w:p>
                </w:txbxContent>
              </v:textbox>
            </v:shape>
          </w:pict>
        </mc:Fallback>
      </mc:AlternateContent>
    </w:r>
  </w:p>
  <w:p w14:paraId="443E2C8D">
    <w:pPr>
      <w:pStyle w:val="2"/>
    </w:pPr>
    <w:r>
      <w:rPr>
        <w:rFonts w:hint="eastAsia"/>
      </w:rPr>
      <w:t xml:space="preserve"> </w:t>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E645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
                          </w:sdtPr>
                          <w:sdtContent>
                            <w:p w14:paraId="679A4EB2">
                              <w:pPr>
                                <w:pStyle w:val="2"/>
                              </w:pPr>
                              <w:r>
                                <w:fldChar w:fldCharType="begin"/>
                              </w:r>
                              <w:r>
                                <w:instrText xml:space="preserve">PAGE   \* MERGEFORMAT</w:instrText>
                              </w:r>
                              <w:r>
                                <w:fldChar w:fldCharType="separate"/>
                              </w:r>
                              <w:r>
                                <w:rPr>
                                  <w:lang w:val="zh-CN"/>
                                </w:rPr>
                                <w:t>-</w:t>
                              </w:r>
                              <w:r>
                                <w:t xml:space="preserve"> 4 -</w:t>
                              </w:r>
                              <w:r>
                                <w:fldChar w:fldCharType="end"/>
                              </w:r>
                            </w:p>
                          </w:sdtContent>
                        </w:sdt>
                        <w:p w14:paraId="44174BF6"/>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sdt>
                    <w:sdtPr>
                      <w:id w:val="-1"/>
                    </w:sdtPr>
                    <w:sdtContent>
                      <w:p w14:paraId="679A4EB2">
                        <w:pPr>
                          <w:pStyle w:val="2"/>
                        </w:pPr>
                        <w:r>
                          <w:fldChar w:fldCharType="begin"/>
                        </w:r>
                        <w:r>
                          <w:instrText xml:space="preserve">PAGE   \* MERGEFORMAT</w:instrText>
                        </w:r>
                        <w:r>
                          <w:fldChar w:fldCharType="separate"/>
                        </w:r>
                        <w:r>
                          <w:rPr>
                            <w:lang w:val="zh-CN"/>
                          </w:rPr>
                          <w:t>-</w:t>
                        </w:r>
                        <w:r>
                          <w:t xml:space="preserve"> 4 -</w:t>
                        </w:r>
                        <w:r>
                          <w:fldChar w:fldCharType="end"/>
                        </w:r>
                      </w:p>
                    </w:sdtContent>
                  </w:sdt>
                  <w:p w14:paraId="44174BF6"/>
                </w:txbxContent>
              </v:textbox>
            </v:shape>
          </w:pict>
        </mc:Fallback>
      </mc:AlternateContent>
    </w:r>
  </w:p>
  <w:p w14:paraId="1E378644">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C74736">
    <w:pPr>
      <w:pStyle w:val="3"/>
    </w:pPr>
    <w:bookmarkStart w:id="1" w:name="_Hlk80776344"/>
    <w:bookmarkStart w:id="2" w:name="_Hlk80776339"/>
    <w:bookmarkStart w:id="3" w:name="_Hlk80776343"/>
    <w:bookmarkStart w:id="4" w:name="_Hlk80776342"/>
    <w:bookmarkStart w:id="5" w:name="_Hlk80776340"/>
    <w:bookmarkStart w:id="6" w:name="_Hlk80776341"/>
    <w:r>
      <w:drawing>
        <wp:inline distT="0" distB="0" distL="0" distR="0">
          <wp:extent cx="1316990" cy="446405"/>
          <wp:effectExtent l="19050" t="0" r="0" b="0"/>
          <wp:docPr id="2" name="图片 1" descr="585a7d1bab5f478d4abd8c6c53f58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585a7d1bab5f478d4abd8c6c53f58436"/>
                  <pic:cNvPicPr>
                    <a:picLocks noChangeAspect="1" noChangeArrowheads="1"/>
                  </pic:cNvPicPr>
                </pic:nvPicPr>
                <pic:blipFill>
                  <a:blip r:embed="rId1"/>
                  <a:srcRect t="19179"/>
                  <a:stretch>
                    <a:fillRect/>
                  </a:stretch>
                </pic:blipFill>
                <pic:spPr>
                  <a:xfrm>
                    <a:off x="0" y="0"/>
                    <a:ext cx="1316990" cy="446405"/>
                  </a:xfrm>
                  <a:prstGeom prst="rect">
                    <a:avLst/>
                  </a:prstGeom>
                  <a:noFill/>
                  <a:ln w="9525">
                    <a:noFill/>
                    <a:miter lim="800000"/>
                    <a:headEnd/>
                    <a:tailEnd/>
                  </a:ln>
                </pic:spPr>
              </pic:pic>
            </a:graphicData>
          </a:graphic>
        </wp:inline>
      </w:drawing>
    </w:r>
    <w:r>
      <w:rPr>
        <w:rFonts w:hint="eastAsia"/>
      </w:rPr>
      <w:t xml:space="preserve">                                                中移系统集成有限公司</w:t>
    </w:r>
    <w:bookmarkEnd w:id="1"/>
    <w:bookmarkEnd w:id="2"/>
    <w:bookmarkEnd w:id="3"/>
    <w:bookmarkEnd w:id="4"/>
    <w:bookmarkEnd w:id="5"/>
    <w:bookmarkEnd w:id="6"/>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F0515">
    <w:pPr>
      <w:pStyle w:val="3"/>
    </w:pPr>
    <w:r>
      <w:drawing>
        <wp:inline distT="0" distB="0" distL="0" distR="0">
          <wp:extent cx="1316990" cy="446405"/>
          <wp:effectExtent l="19050" t="0" r="0" b="0"/>
          <wp:docPr id="3" name="图片 1" descr="585a7d1bab5f478d4abd8c6c53f58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585a7d1bab5f478d4abd8c6c53f58436"/>
                  <pic:cNvPicPr>
                    <a:picLocks noChangeAspect="1" noChangeArrowheads="1"/>
                  </pic:cNvPicPr>
                </pic:nvPicPr>
                <pic:blipFill>
                  <a:blip r:embed="rId1"/>
                  <a:srcRect t="19179"/>
                  <a:stretch>
                    <a:fillRect/>
                  </a:stretch>
                </pic:blipFill>
                <pic:spPr>
                  <a:xfrm>
                    <a:off x="0" y="0"/>
                    <a:ext cx="1316990" cy="446405"/>
                  </a:xfrm>
                  <a:prstGeom prst="rect">
                    <a:avLst/>
                  </a:prstGeom>
                  <a:noFill/>
                  <a:ln w="9525">
                    <a:noFill/>
                    <a:miter lim="800000"/>
                    <a:headEnd/>
                    <a:tailEnd/>
                  </a:ln>
                </pic:spPr>
              </pic:pic>
            </a:graphicData>
          </a:graphic>
        </wp:inline>
      </w:drawing>
    </w:r>
    <w:r>
      <w:rPr>
        <w:rFonts w:hint="eastAsia"/>
      </w:rPr>
      <w:t xml:space="preserve">                                                中移系统集成有限公司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DBAE1A"/>
    <w:multiLevelType w:val="singleLevel"/>
    <w:tmpl w:val="9BDBAE1A"/>
    <w:lvl w:ilvl="0" w:tentative="0">
      <w:start w:val="1"/>
      <w:numFmt w:val="decimal"/>
      <w:suff w:val="space"/>
      <w:lvlText w:val="%1."/>
      <w:lvlJc w:val="left"/>
      <w:pPr>
        <w:ind w:left="420"/>
      </w:pPr>
    </w:lvl>
  </w:abstractNum>
  <w:abstractNum w:abstractNumId="1">
    <w:nsid w:val="DF1FE263"/>
    <w:multiLevelType w:val="singleLevel"/>
    <w:tmpl w:val="DF1FE263"/>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705"/>
    <w:rsid w:val="0002397C"/>
    <w:rsid w:val="00026705"/>
    <w:rsid w:val="00046FBE"/>
    <w:rsid w:val="00053D26"/>
    <w:rsid w:val="00070039"/>
    <w:rsid w:val="0007237F"/>
    <w:rsid w:val="00080C8D"/>
    <w:rsid w:val="000C2BA6"/>
    <w:rsid w:val="0019365D"/>
    <w:rsid w:val="001F1E94"/>
    <w:rsid w:val="00200F22"/>
    <w:rsid w:val="00200FBF"/>
    <w:rsid w:val="00210110"/>
    <w:rsid w:val="00270619"/>
    <w:rsid w:val="002B2B59"/>
    <w:rsid w:val="00305CC2"/>
    <w:rsid w:val="003D519E"/>
    <w:rsid w:val="0047246F"/>
    <w:rsid w:val="004A6F34"/>
    <w:rsid w:val="004D50DC"/>
    <w:rsid w:val="005206D5"/>
    <w:rsid w:val="00585D17"/>
    <w:rsid w:val="005E28C2"/>
    <w:rsid w:val="005E38E1"/>
    <w:rsid w:val="005E3EBD"/>
    <w:rsid w:val="005F33E2"/>
    <w:rsid w:val="005F754C"/>
    <w:rsid w:val="00602550"/>
    <w:rsid w:val="00603B9A"/>
    <w:rsid w:val="006058A6"/>
    <w:rsid w:val="00620AFF"/>
    <w:rsid w:val="00646C23"/>
    <w:rsid w:val="006A39C4"/>
    <w:rsid w:val="006A4729"/>
    <w:rsid w:val="006C590D"/>
    <w:rsid w:val="0073050D"/>
    <w:rsid w:val="007921B9"/>
    <w:rsid w:val="0085556F"/>
    <w:rsid w:val="008C6422"/>
    <w:rsid w:val="008D4844"/>
    <w:rsid w:val="008E3716"/>
    <w:rsid w:val="00901E5E"/>
    <w:rsid w:val="0096360C"/>
    <w:rsid w:val="00972A5F"/>
    <w:rsid w:val="009A130D"/>
    <w:rsid w:val="00A45334"/>
    <w:rsid w:val="00AA00F5"/>
    <w:rsid w:val="00AA2C4E"/>
    <w:rsid w:val="00AD19B7"/>
    <w:rsid w:val="00AF4953"/>
    <w:rsid w:val="00B117BE"/>
    <w:rsid w:val="00B17FD8"/>
    <w:rsid w:val="00B73905"/>
    <w:rsid w:val="00B7713B"/>
    <w:rsid w:val="00B8530B"/>
    <w:rsid w:val="00BE6D98"/>
    <w:rsid w:val="00C34C4F"/>
    <w:rsid w:val="00C650BB"/>
    <w:rsid w:val="00C74BF9"/>
    <w:rsid w:val="00CA1E03"/>
    <w:rsid w:val="00CC0B65"/>
    <w:rsid w:val="00D36F60"/>
    <w:rsid w:val="00D42EFF"/>
    <w:rsid w:val="00D75C8E"/>
    <w:rsid w:val="00D92378"/>
    <w:rsid w:val="00D95837"/>
    <w:rsid w:val="00E323BF"/>
    <w:rsid w:val="00E40B34"/>
    <w:rsid w:val="00E524F5"/>
    <w:rsid w:val="00E5736B"/>
    <w:rsid w:val="00E60DEB"/>
    <w:rsid w:val="00E9164E"/>
    <w:rsid w:val="00F25F62"/>
    <w:rsid w:val="00F60416"/>
    <w:rsid w:val="00F82C79"/>
    <w:rsid w:val="00F83D46"/>
    <w:rsid w:val="00F93DA6"/>
    <w:rsid w:val="00FA7C53"/>
    <w:rsid w:val="00FF4AEA"/>
    <w:rsid w:val="047019BD"/>
    <w:rsid w:val="047B93FA"/>
    <w:rsid w:val="04D12ECF"/>
    <w:rsid w:val="05425C12"/>
    <w:rsid w:val="066D2BD7"/>
    <w:rsid w:val="088C25F7"/>
    <w:rsid w:val="0DBD10F8"/>
    <w:rsid w:val="0E843233"/>
    <w:rsid w:val="0EAE61C6"/>
    <w:rsid w:val="0FCC27CB"/>
    <w:rsid w:val="0FFE5F04"/>
    <w:rsid w:val="0FFF378D"/>
    <w:rsid w:val="103725EB"/>
    <w:rsid w:val="1129EFCB"/>
    <w:rsid w:val="12741F99"/>
    <w:rsid w:val="12FE138B"/>
    <w:rsid w:val="15223373"/>
    <w:rsid w:val="16D36497"/>
    <w:rsid w:val="16EFCBFC"/>
    <w:rsid w:val="17DFD2F6"/>
    <w:rsid w:val="17F45577"/>
    <w:rsid w:val="17FA6107"/>
    <w:rsid w:val="19AF212D"/>
    <w:rsid w:val="1AFE129D"/>
    <w:rsid w:val="1BEFAE25"/>
    <w:rsid w:val="1BF43D4C"/>
    <w:rsid w:val="1C0D5A57"/>
    <w:rsid w:val="1C7C1B4C"/>
    <w:rsid w:val="1CBD789A"/>
    <w:rsid w:val="1DE35B3D"/>
    <w:rsid w:val="1F153215"/>
    <w:rsid w:val="1FEF14EE"/>
    <w:rsid w:val="228D33DE"/>
    <w:rsid w:val="23FCEE61"/>
    <w:rsid w:val="2471658F"/>
    <w:rsid w:val="255F6141"/>
    <w:rsid w:val="27D700E2"/>
    <w:rsid w:val="285870E4"/>
    <w:rsid w:val="2ABC1037"/>
    <w:rsid w:val="2B45104E"/>
    <w:rsid w:val="2BBA676D"/>
    <w:rsid w:val="2C0F294E"/>
    <w:rsid w:val="2C214CC3"/>
    <w:rsid w:val="2D1D20A4"/>
    <w:rsid w:val="2D3C1581"/>
    <w:rsid w:val="2DFFC176"/>
    <w:rsid w:val="2FF2AF26"/>
    <w:rsid w:val="31FD1E0E"/>
    <w:rsid w:val="34FE4B93"/>
    <w:rsid w:val="36A57869"/>
    <w:rsid w:val="36FCE990"/>
    <w:rsid w:val="377DC3DA"/>
    <w:rsid w:val="37F34827"/>
    <w:rsid w:val="37F51D14"/>
    <w:rsid w:val="37F60A5C"/>
    <w:rsid w:val="37F74334"/>
    <w:rsid w:val="37FDB145"/>
    <w:rsid w:val="37FE023E"/>
    <w:rsid w:val="37FEDEEF"/>
    <w:rsid w:val="389C15E4"/>
    <w:rsid w:val="39B71ABB"/>
    <w:rsid w:val="39FFE2EC"/>
    <w:rsid w:val="3A543677"/>
    <w:rsid w:val="3AFE581A"/>
    <w:rsid w:val="3BFDC104"/>
    <w:rsid w:val="3BFF9DBD"/>
    <w:rsid w:val="3CDFD42A"/>
    <w:rsid w:val="3CFF5411"/>
    <w:rsid w:val="3DF69314"/>
    <w:rsid w:val="3DFF9DE1"/>
    <w:rsid w:val="3E0BF2B4"/>
    <w:rsid w:val="3ECFE975"/>
    <w:rsid w:val="3EF5F85F"/>
    <w:rsid w:val="3EF7FF26"/>
    <w:rsid w:val="3EFFF3FC"/>
    <w:rsid w:val="3F17F218"/>
    <w:rsid w:val="3F5F049A"/>
    <w:rsid w:val="3F6B4AB3"/>
    <w:rsid w:val="3F770450"/>
    <w:rsid w:val="3F7F8D79"/>
    <w:rsid w:val="3F9D188A"/>
    <w:rsid w:val="3FB763AE"/>
    <w:rsid w:val="3FB7D03C"/>
    <w:rsid w:val="3FDC6AF5"/>
    <w:rsid w:val="3FF79213"/>
    <w:rsid w:val="3FF92ACA"/>
    <w:rsid w:val="3FFDF7CF"/>
    <w:rsid w:val="3FFE09F3"/>
    <w:rsid w:val="3FFF893D"/>
    <w:rsid w:val="40924508"/>
    <w:rsid w:val="41685D20"/>
    <w:rsid w:val="42D83BE2"/>
    <w:rsid w:val="430D2558"/>
    <w:rsid w:val="44375833"/>
    <w:rsid w:val="47C7082B"/>
    <w:rsid w:val="4892636A"/>
    <w:rsid w:val="4BFF037E"/>
    <w:rsid w:val="4C7995B7"/>
    <w:rsid w:val="4CFF28DF"/>
    <w:rsid w:val="4D7E20C8"/>
    <w:rsid w:val="4ED94E27"/>
    <w:rsid w:val="4F7B5AEF"/>
    <w:rsid w:val="4F7E838A"/>
    <w:rsid w:val="4FEBA335"/>
    <w:rsid w:val="4FFF972A"/>
    <w:rsid w:val="503F7BD5"/>
    <w:rsid w:val="50C54F59"/>
    <w:rsid w:val="53BEBC9E"/>
    <w:rsid w:val="5585EFEF"/>
    <w:rsid w:val="55EB0CAD"/>
    <w:rsid w:val="55FC2340"/>
    <w:rsid w:val="563B1B68"/>
    <w:rsid w:val="56F408BE"/>
    <w:rsid w:val="56FBCFCB"/>
    <w:rsid w:val="577A6E8E"/>
    <w:rsid w:val="57969E99"/>
    <w:rsid w:val="579999D3"/>
    <w:rsid w:val="57EBF8CB"/>
    <w:rsid w:val="57FF7206"/>
    <w:rsid w:val="586F4EB4"/>
    <w:rsid w:val="59444C49"/>
    <w:rsid w:val="59585AA8"/>
    <w:rsid w:val="5979DA8B"/>
    <w:rsid w:val="59D6995F"/>
    <w:rsid w:val="5AEF1224"/>
    <w:rsid w:val="5B2C8D99"/>
    <w:rsid w:val="5B7764E6"/>
    <w:rsid w:val="5BBDF8C9"/>
    <w:rsid w:val="5BEEEC15"/>
    <w:rsid w:val="5D50313B"/>
    <w:rsid w:val="5DBF8032"/>
    <w:rsid w:val="5DF3EA9A"/>
    <w:rsid w:val="5DF74DBB"/>
    <w:rsid w:val="5DFB98F1"/>
    <w:rsid w:val="5ED4AF10"/>
    <w:rsid w:val="5ED761F9"/>
    <w:rsid w:val="5EF7ACEA"/>
    <w:rsid w:val="5EF92FF4"/>
    <w:rsid w:val="5EFFFAD3"/>
    <w:rsid w:val="5F3D4FF7"/>
    <w:rsid w:val="5F6BCEA2"/>
    <w:rsid w:val="5F78AE16"/>
    <w:rsid w:val="5F7DB2CA"/>
    <w:rsid w:val="5F7F90C4"/>
    <w:rsid w:val="5FBBC4E6"/>
    <w:rsid w:val="5FE938D9"/>
    <w:rsid w:val="5FFD2885"/>
    <w:rsid w:val="5FFF1D57"/>
    <w:rsid w:val="5FFFE851"/>
    <w:rsid w:val="62BE212C"/>
    <w:rsid w:val="65541E4C"/>
    <w:rsid w:val="65EFA195"/>
    <w:rsid w:val="66A8668B"/>
    <w:rsid w:val="6736466C"/>
    <w:rsid w:val="6753E84A"/>
    <w:rsid w:val="67EBB66E"/>
    <w:rsid w:val="68601624"/>
    <w:rsid w:val="69BFEBE8"/>
    <w:rsid w:val="69F388A2"/>
    <w:rsid w:val="6AFFBB67"/>
    <w:rsid w:val="6BC1F6E4"/>
    <w:rsid w:val="6BEDAB84"/>
    <w:rsid w:val="6C274241"/>
    <w:rsid w:val="6CBF5C47"/>
    <w:rsid w:val="6DF96FF4"/>
    <w:rsid w:val="6EDB32BE"/>
    <w:rsid w:val="6EE7F99E"/>
    <w:rsid w:val="6EEA6987"/>
    <w:rsid w:val="6EEF40CF"/>
    <w:rsid w:val="6EF3454B"/>
    <w:rsid w:val="6EFEAA53"/>
    <w:rsid w:val="6F6B2C0D"/>
    <w:rsid w:val="6F7B91FC"/>
    <w:rsid w:val="6FAF7FCC"/>
    <w:rsid w:val="6FDAD5EB"/>
    <w:rsid w:val="6FEF7A29"/>
    <w:rsid w:val="6FF5638F"/>
    <w:rsid w:val="6FFD835D"/>
    <w:rsid w:val="6FFE9353"/>
    <w:rsid w:val="6FFFFF80"/>
    <w:rsid w:val="71DCED24"/>
    <w:rsid w:val="72E7B6A4"/>
    <w:rsid w:val="735F0416"/>
    <w:rsid w:val="73EE87DE"/>
    <w:rsid w:val="74371C0F"/>
    <w:rsid w:val="74EF89A8"/>
    <w:rsid w:val="753B8490"/>
    <w:rsid w:val="75754805"/>
    <w:rsid w:val="759A2F1A"/>
    <w:rsid w:val="75D53B41"/>
    <w:rsid w:val="75F37DF9"/>
    <w:rsid w:val="75FF6D71"/>
    <w:rsid w:val="75FF7C47"/>
    <w:rsid w:val="75FFE66A"/>
    <w:rsid w:val="767B7042"/>
    <w:rsid w:val="76DF2BE7"/>
    <w:rsid w:val="76FD69EB"/>
    <w:rsid w:val="76FFA3AE"/>
    <w:rsid w:val="772A00A3"/>
    <w:rsid w:val="774F493F"/>
    <w:rsid w:val="777E58BB"/>
    <w:rsid w:val="777FF6D6"/>
    <w:rsid w:val="778560B1"/>
    <w:rsid w:val="77B7EB88"/>
    <w:rsid w:val="77CF8907"/>
    <w:rsid w:val="77D580EF"/>
    <w:rsid w:val="77D746A6"/>
    <w:rsid w:val="77EB2706"/>
    <w:rsid w:val="77F9F8E7"/>
    <w:rsid w:val="782D943A"/>
    <w:rsid w:val="79DF9F68"/>
    <w:rsid w:val="79FD7985"/>
    <w:rsid w:val="7A2FCA73"/>
    <w:rsid w:val="7AE96F0E"/>
    <w:rsid w:val="7B0F8CD5"/>
    <w:rsid w:val="7B2BC18E"/>
    <w:rsid w:val="7B4F254A"/>
    <w:rsid w:val="7B4FA979"/>
    <w:rsid w:val="7B5FC085"/>
    <w:rsid w:val="7B9D9B75"/>
    <w:rsid w:val="7BAA4A79"/>
    <w:rsid w:val="7BAF88F0"/>
    <w:rsid w:val="7BB223B1"/>
    <w:rsid w:val="7BB7D788"/>
    <w:rsid w:val="7BBD5125"/>
    <w:rsid w:val="7BCE41AB"/>
    <w:rsid w:val="7BDC5930"/>
    <w:rsid w:val="7BE39249"/>
    <w:rsid w:val="7BEF0767"/>
    <w:rsid w:val="7BF351DC"/>
    <w:rsid w:val="7BF3E443"/>
    <w:rsid w:val="7BFA0E49"/>
    <w:rsid w:val="7C3243D9"/>
    <w:rsid w:val="7CFE8A1F"/>
    <w:rsid w:val="7D777406"/>
    <w:rsid w:val="7DBBD693"/>
    <w:rsid w:val="7DDD9344"/>
    <w:rsid w:val="7DE8D6F7"/>
    <w:rsid w:val="7DEC816A"/>
    <w:rsid w:val="7DED4C60"/>
    <w:rsid w:val="7DED4DA4"/>
    <w:rsid w:val="7E731A6B"/>
    <w:rsid w:val="7E86529F"/>
    <w:rsid w:val="7E9A3075"/>
    <w:rsid w:val="7EB5A263"/>
    <w:rsid w:val="7EDD452C"/>
    <w:rsid w:val="7EE5ABE9"/>
    <w:rsid w:val="7EF68FC7"/>
    <w:rsid w:val="7EFA9E94"/>
    <w:rsid w:val="7EFAEF75"/>
    <w:rsid w:val="7EFF58F8"/>
    <w:rsid w:val="7F2E9E47"/>
    <w:rsid w:val="7F47DB8D"/>
    <w:rsid w:val="7F578202"/>
    <w:rsid w:val="7F5B2FB5"/>
    <w:rsid w:val="7F5D0037"/>
    <w:rsid w:val="7F6E3F9C"/>
    <w:rsid w:val="7F79FF61"/>
    <w:rsid w:val="7F7AEC15"/>
    <w:rsid w:val="7F7F0AAF"/>
    <w:rsid w:val="7F7F682D"/>
    <w:rsid w:val="7F938195"/>
    <w:rsid w:val="7F992E37"/>
    <w:rsid w:val="7F9E878A"/>
    <w:rsid w:val="7FB5174D"/>
    <w:rsid w:val="7FBFFC3D"/>
    <w:rsid w:val="7FEB8ED2"/>
    <w:rsid w:val="7FEE4794"/>
    <w:rsid w:val="7FEED680"/>
    <w:rsid w:val="7FEFCE44"/>
    <w:rsid w:val="7FEFDBE0"/>
    <w:rsid w:val="7FEFFE5B"/>
    <w:rsid w:val="7FF3ECD4"/>
    <w:rsid w:val="7FF62CEC"/>
    <w:rsid w:val="7FF71863"/>
    <w:rsid w:val="7FF75DF4"/>
    <w:rsid w:val="7FF9B84F"/>
    <w:rsid w:val="7FFB4328"/>
    <w:rsid w:val="7FFD1693"/>
    <w:rsid w:val="7FFE6240"/>
    <w:rsid w:val="7FFE6426"/>
    <w:rsid w:val="8657B108"/>
    <w:rsid w:val="8D5ECB0C"/>
    <w:rsid w:val="8D9D0E3C"/>
    <w:rsid w:val="954DAD68"/>
    <w:rsid w:val="956FA0A8"/>
    <w:rsid w:val="957F9452"/>
    <w:rsid w:val="9AFEE950"/>
    <w:rsid w:val="9EEEBB9A"/>
    <w:rsid w:val="9F5FC5A4"/>
    <w:rsid w:val="9FCFF3C7"/>
    <w:rsid w:val="9FDBD8A2"/>
    <w:rsid w:val="9FEFC9FF"/>
    <w:rsid w:val="9FFF2234"/>
    <w:rsid w:val="9FFF3EA4"/>
    <w:rsid w:val="A37CE96B"/>
    <w:rsid w:val="A53F6E45"/>
    <w:rsid w:val="A6E75B7A"/>
    <w:rsid w:val="A79DD78A"/>
    <w:rsid w:val="A7EB5A8C"/>
    <w:rsid w:val="A8FEA986"/>
    <w:rsid w:val="AB1D602E"/>
    <w:rsid w:val="AB6E0BE0"/>
    <w:rsid w:val="ABBD1E65"/>
    <w:rsid w:val="AD7B7E86"/>
    <w:rsid w:val="ADFBDB83"/>
    <w:rsid w:val="AEAF341A"/>
    <w:rsid w:val="AEBEF5CE"/>
    <w:rsid w:val="AF5D4D4B"/>
    <w:rsid w:val="AFB6F05A"/>
    <w:rsid w:val="AFDF5A32"/>
    <w:rsid w:val="B23F7BE0"/>
    <w:rsid w:val="B2E60417"/>
    <w:rsid w:val="B36FBDD4"/>
    <w:rsid w:val="B3FD75AD"/>
    <w:rsid w:val="B4BF84AD"/>
    <w:rsid w:val="B5FFDB49"/>
    <w:rsid w:val="B67F4D01"/>
    <w:rsid w:val="B6F2D0DA"/>
    <w:rsid w:val="B75F0EF0"/>
    <w:rsid w:val="B7BB2EFF"/>
    <w:rsid w:val="B7E95742"/>
    <w:rsid w:val="B7F7FC4B"/>
    <w:rsid w:val="B7FBC22B"/>
    <w:rsid w:val="B97F82F1"/>
    <w:rsid w:val="B98E65DD"/>
    <w:rsid w:val="BA3D296C"/>
    <w:rsid w:val="BAEF4221"/>
    <w:rsid w:val="BAFCF8BE"/>
    <w:rsid w:val="BCAF3121"/>
    <w:rsid w:val="BCE7401E"/>
    <w:rsid w:val="BDFF861C"/>
    <w:rsid w:val="BE373F67"/>
    <w:rsid w:val="BE3F854D"/>
    <w:rsid w:val="BEFB32C3"/>
    <w:rsid w:val="BF3FA0C7"/>
    <w:rsid w:val="BF7C6AA6"/>
    <w:rsid w:val="BF7E55FA"/>
    <w:rsid w:val="BF7F5DC6"/>
    <w:rsid w:val="BF8D89CC"/>
    <w:rsid w:val="BF9F5E72"/>
    <w:rsid w:val="BFBFED7C"/>
    <w:rsid w:val="BFE38F7E"/>
    <w:rsid w:val="BFF8553B"/>
    <w:rsid w:val="BFFB62E1"/>
    <w:rsid w:val="BFFD5629"/>
    <w:rsid w:val="BFFF43DD"/>
    <w:rsid w:val="C3F7689F"/>
    <w:rsid w:val="C5F57F50"/>
    <w:rsid w:val="C7CECC7B"/>
    <w:rsid w:val="C7F7C402"/>
    <w:rsid w:val="CBE365C6"/>
    <w:rsid w:val="CBFE1F2D"/>
    <w:rsid w:val="CDBDD3BA"/>
    <w:rsid w:val="CEBF9AC8"/>
    <w:rsid w:val="CEFFE64D"/>
    <w:rsid w:val="CFBDBB55"/>
    <w:rsid w:val="CFBF0B12"/>
    <w:rsid w:val="CFDE75F7"/>
    <w:rsid w:val="CFF7305A"/>
    <w:rsid w:val="CFFF2181"/>
    <w:rsid w:val="D4CE08A6"/>
    <w:rsid w:val="D57FC69D"/>
    <w:rsid w:val="D5E714AD"/>
    <w:rsid w:val="D5FB5FB6"/>
    <w:rsid w:val="D6FFABDF"/>
    <w:rsid w:val="D7E18A68"/>
    <w:rsid w:val="D7EB8D2E"/>
    <w:rsid w:val="D7FD3279"/>
    <w:rsid w:val="D9FB05A5"/>
    <w:rsid w:val="DAFD8AFB"/>
    <w:rsid w:val="DBBD61F7"/>
    <w:rsid w:val="DBBF09A2"/>
    <w:rsid w:val="DBF9AA13"/>
    <w:rsid w:val="DBFD0838"/>
    <w:rsid w:val="DBFD3115"/>
    <w:rsid w:val="DCEEE663"/>
    <w:rsid w:val="DD7722EC"/>
    <w:rsid w:val="DDF7A7D8"/>
    <w:rsid w:val="DDFF0AB8"/>
    <w:rsid w:val="DE7DC7FC"/>
    <w:rsid w:val="DEB7B8C6"/>
    <w:rsid w:val="DF773906"/>
    <w:rsid w:val="DF7F342A"/>
    <w:rsid w:val="DF937819"/>
    <w:rsid w:val="DFD630C5"/>
    <w:rsid w:val="DFEDB0CE"/>
    <w:rsid w:val="DFEEF578"/>
    <w:rsid w:val="DFEF3478"/>
    <w:rsid w:val="DFF5E37F"/>
    <w:rsid w:val="DFFA27EB"/>
    <w:rsid w:val="DFFF5091"/>
    <w:rsid w:val="E3B7306B"/>
    <w:rsid w:val="E3D71F33"/>
    <w:rsid w:val="E3F77CF9"/>
    <w:rsid w:val="E6C9938F"/>
    <w:rsid w:val="E7B7A532"/>
    <w:rsid w:val="E7BF59AD"/>
    <w:rsid w:val="E7CF8B9F"/>
    <w:rsid w:val="E95F68BA"/>
    <w:rsid w:val="EBAF88B0"/>
    <w:rsid w:val="EBBF11E0"/>
    <w:rsid w:val="EBF44313"/>
    <w:rsid w:val="ED9F7833"/>
    <w:rsid w:val="EDFDC2CA"/>
    <w:rsid w:val="EE7FC6C5"/>
    <w:rsid w:val="EE9BA352"/>
    <w:rsid w:val="EEDFB2AE"/>
    <w:rsid w:val="EEEFB854"/>
    <w:rsid w:val="EEFFBB50"/>
    <w:rsid w:val="EF6B6F3E"/>
    <w:rsid w:val="EF9B0491"/>
    <w:rsid w:val="EFB7D72C"/>
    <w:rsid w:val="EFDDF9B3"/>
    <w:rsid w:val="EFEB79ED"/>
    <w:rsid w:val="EFEFD4D3"/>
    <w:rsid w:val="EFF152A8"/>
    <w:rsid w:val="EFF4B73C"/>
    <w:rsid w:val="EFFD9F1C"/>
    <w:rsid w:val="EFFF5C2E"/>
    <w:rsid w:val="F09FDA14"/>
    <w:rsid w:val="F0D920B3"/>
    <w:rsid w:val="F1EF3131"/>
    <w:rsid w:val="F3DF922D"/>
    <w:rsid w:val="F45D9B12"/>
    <w:rsid w:val="F46B16A5"/>
    <w:rsid w:val="F4FFCFD5"/>
    <w:rsid w:val="F5AFC62D"/>
    <w:rsid w:val="F67F2251"/>
    <w:rsid w:val="F71A540F"/>
    <w:rsid w:val="F74D7378"/>
    <w:rsid w:val="F779EFE5"/>
    <w:rsid w:val="F7D7DFDE"/>
    <w:rsid w:val="F7DE51DE"/>
    <w:rsid w:val="F7DF9ADF"/>
    <w:rsid w:val="F7EB527A"/>
    <w:rsid w:val="F7F7FC7E"/>
    <w:rsid w:val="F7FBA034"/>
    <w:rsid w:val="F7FE92F8"/>
    <w:rsid w:val="F7FEC561"/>
    <w:rsid w:val="F7FFED65"/>
    <w:rsid w:val="F8FC3AF0"/>
    <w:rsid w:val="F9CE2868"/>
    <w:rsid w:val="F9F7FA9F"/>
    <w:rsid w:val="FAAB1E1F"/>
    <w:rsid w:val="FAAEDB9C"/>
    <w:rsid w:val="FADD5553"/>
    <w:rsid w:val="FADFF998"/>
    <w:rsid w:val="FAEE650A"/>
    <w:rsid w:val="FAF94E84"/>
    <w:rsid w:val="FAFF4004"/>
    <w:rsid w:val="FAFFF764"/>
    <w:rsid w:val="FB5FC8E6"/>
    <w:rsid w:val="FB7C2E13"/>
    <w:rsid w:val="FBBAD46A"/>
    <w:rsid w:val="FBBEBFC2"/>
    <w:rsid w:val="FBEF8395"/>
    <w:rsid w:val="FBF3A1C5"/>
    <w:rsid w:val="FBF778E3"/>
    <w:rsid w:val="FBFAC132"/>
    <w:rsid w:val="FBFB22E5"/>
    <w:rsid w:val="FBFFA5E3"/>
    <w:rsid w:val="FCAB6189"/>
    <w:rsid w:val="FCDB2E78"/>
    <w:rsid w:val="FCF7F550"/>
    <w:rsid w:val="FD5DEA13"/>
    <w:rsid w:val="FD5F503D"/>
    <w:rsid w:val="FD7B94F5"/>
    <w:rsid w:val="FD7FF42A"/>
    <w:rsid w:val="FDABA6D7"/>
    <w:rsid w:val="FDB77F23"/>
    <w:rsid w:val="FDB9285D"/>
    <w:rsid w:val="FDBC5D4B"/>
    <w:rsid w:val="FDBF5CDD"/>
    <w:rsid w:val="FDBFE135"/>
    <w:rsid w:val="FDBFEE63"/>
    <w:rsid w:val="FDCF2A01"/>
    <w:rsid w:val="FDEFCA68"/>
    <w:rsid w:val="FDFB820A"/>
    <w:rsid w:val="FDFF2FDA"/>
    <w:rsid w:val="FE2B8672"/>
    <w:rsid w:val="FE3E301A"/>
    <w:rsid w:val="FE5F342B"/>
    <w:rsid w:val="FE778091"/>
    <w:rsid w:val="FE7D5983"/>
    <w:rsid w:val="FE893106"/>
    <w:rsid w:val="FEAF5E2C"/>
    <w:rsid w:val="FEDD5F46"/>
    <w:rsid w:val="FEE5DF42"/>
    <w:rsid w:val="FEFA9404"/>
    <w:rsid w:val="FF1F767B"/>
    <w:rsid w:val="FF2FC161"/>
    <w:rsid w:val="FF2FF817"/>
    <w:rsid w:val="FF35BA92"/>
    <w:rsid w:val="FF7709EC"/>
    <w:rsid w:val="FF7B8502"/>
    <w:rsid w:val="FF7C94F3"/>
    <w:rsid w:val="FF7E9A09"/>
    <w:rsid w:val="FF7F2D95"/>
    <w:rsid w:val="FF7FDFA4"/>
    <w:rsid w:val="FFA6F450"/>
    <w:rsid w:val="FFAC6028"/>
    <w:rsid w:val="FFB33AF1"/>
    <w:rsid w:val="FFBD21A1"/>
    <w:rsid w:val="FFBE5C42"/>
    <w:rsid w:val="FFBF6EAE"/>
    <w:rsid w:val="FFC584C0"/>
    <w:rsid w:val="FFDDE42F"/>
    <w:rsid w:val="FFEDB5AD"/>
    <w:rsid w:val="FFEF5F00"/>
    <w:rsid w:val="FFEF7353"/>
    <w:rsid w:val="FFF300B7"/>
    <w:rsid w:val="FFF7568F"/>
    <w:rsid w:val="FFF828F3"/>
    <w:rsid w:val="FFFD77C8"/>
    <w:rsid w:val="FFFE01F3"/>
    <w:rsid w:val="FFFE538B"/>
    <w:rsid w:val="FFFFA778"/>
    <w:rsid w:val="FFFFD9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firstLine="420" w:firstLineChars="200"/>
    </w:pPr>
  </w:style>
  <w:style w:type="character" w:customStyle="1" w:styleId="8">
    <w:name w:val="页眉 字符"/>
    <w:basedOn w:val="6"/>
    <w:link w:val="3"/>
    <w:qFormat/>
    <w:uiPriority w:val="99"/>
    <w:rPr>
      <w:sz w:val="18"/>
      <w:szCs w:val="18"/>
    </w:rPr>
  </w:style>
  <w:style w:type="character" w:customStyle="1" w:styleId="9">
    <w:name w:val="页脚 字符"/>
    <w:basedOn w:val="6"/>
    <w:link w:val="2"/>
    <w:qFormat/>
    <w:uiPriority w:val="99"/>
    <w:rPr>
      <w:sz w:val="18"/>
      <w:szCs w:val="18"/>
    </w:rPr>
  </w:style>
  <w:style w:type="table" w:customStyle="1" w:styleId="10">
    <w:name w:val="Intense $1 *TWM*GdUlMJKAlt7NAsaLddEVJYGI2FlB+0AGn8zMlwjsMoRtTKugSWURIu8Aqjg9VX1ANOxtGNTB1X3DsSVEvuWwIYhUI/f9iKTEij0H8jEPb7VWrI0dirzFwTnjG4iGr/4wdPTzgHcgTUV1F1rCNMN19AovoUqmlNNK+Wux6cIussB07HgFPdbRU3Ds7T2kZ52aBIw0VJvyaV6dpIJxotkeqqemgckH54dNY2FioaGK9OExgYAlWtRD4R793gh5zhz8E/XB9OeF+fUwVwe9chrzw3eGi1EWELViGAqr1lHbER6vGeMZ8v2EEncJWJ/zXmZ12VtuC70H0pfJqair9FUfuw==*TWM*"/>
    <w:qFormat/>
    <w:uiPriority w:val="0"/>
  </w:style>
  <w:style w:type="table" w:customStyle="1" w:styleId="11">
    <w:name w:val="Intense $2 *TWM*GdUlMJKAlt7NAsaLddEVJYGI2FlB+0AGn8zMlwjsMoRtTKugSWURIu8Aqjg9VX1ANOxtGNTB1X3DsSVEvuWwIYhUI/f9iKTEij0H8jEPb7VWrI0dirzFwTnjG4iGr/4wdPTzgHcgTUV1F1rCNMN19AovoUqmlNNK+Wux6cIussB07HgFPdbRU3Ds7T2kZ52aBIw0VJvyaV6dpIJxotkeqqemgckH54dNY2FioaGK9OExgYAlWtRD4R793gh5zhz8E/XB9OeF+fUwVwe9chrzw3eGi1EWELViGAqr1lHbER6vGeMZ8v2EEncJWJ/zXmZ12VtuC70H0pfJqair9FUfuw==*TWM*"/>
    <w:qFormat/>
    <w:uiPriority w:val="0"/>
  </w:style>
  <w:style w:type="table" w:customStyle="1" w:styleId="12">
    <w:name w:val="Intense $3 *TWM*GdUlMJKAlt7NAsaLddEVJYGI2FlB+0AGn8zMlwjsMoRtTKugSWURIu8Aqjg9VX1ANOxtGNTB1X3DsSVEvuWwIYhUI/f9iKTEij0H8jEPb7VWrI0dirzFwTnjG4iGr/4wdPTzgHcgTUV1F1rCNMN19AovoUqmlNNK+Wux6cIussB07HgFPdbRU3Ds7T2kZ52aBIw0VJvyaV6dpIJxotkeqqemgckH54dNY2FioaGK9OExgYAlWtRD4R793gh5zhz8E/XB9OeF+fUwVwe9chrzw3eGi1EWELViGAqr1lHbER6vGeMZ8v2EEncJWJ/zXmZ12VtuC70H0pfJqair9FUfuw==*TWM*"/>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259</Words>
  <Characters>1481</Characters>
  <Lines>12</Lines>
  <Paragraphs>3</Paragraphs>
  <TotalTime>5</TotalTime>
  <ScaleCrop>false</ScaleCrop>
  <LinksUpToDate>false</LinksUpToDate>
  <CharactersWithSpaces>1737</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2021-08-25T09:33:00Z</dcterms:created>
  <dc:creator>user</dc:creator>
  <cp:lastModifiedBy>YXY</cp:lastModifiedBy>
  <dcterms:modified xsi:type="dcterms:W3CDTF">2026-01-19T13:43:34Z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12CC7B0E3FE5220FD05B6C696B732038_43</vt:lpwstr>
  </property>
</Properties>
</file>