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topLinePunct w:val="0"/>
        <w:outlineLvl w:val="9"/>
        <w:rPr>
          <w:rFonts w:hint="eastAsia" w:eastAsia="黑体"/>
          <w:lang w:eastAsia="zh-CN"/>
        </w:rPr>
      </w:pPr>
      <w:r>
        <w:rPr>
          <w:rFonts w:hint="eastAsia"/>
        </w:rPr>
        <w:t>附录</w:t>
      </w:r>
      <w:r>
        <w:rPr>
          <w:rFonts w:hint="eastAsia"/>
          <w:lang w:val="en-US" w:eastAsia="zh-CN"/>
        </w:rPr>
        <w:t>1</w:t>
      </w:r>
    </w:p>
    <w:p>
      <w:pPr>
        <w:pStyle w:val="6"/>
        <w:keepNext w:val="0"/>
        <w:keepLines w:val="0"/>
        <w:pageBreakBefore w:val="0"/>
        <w:widowControl w:val="0"/>
        <w:kinsoku/>
        <w:wordWrap/>
        <w:overflowPunct/>
        <w:topLinePunct w:val="0"/>
        <w:autoSpaceDE/>
        <w:autoSpaceDN/>
        <w:bidi w:val="0"/>
        <w:adjustRightInd w:val="0"/>
        <w:snapToGrid/>
        <w:spacing w:before="313" w:beforeLines="100" w:after="313" w:afterLines="100"/>
        <w:ind w:left="1134" w:right="1134"/>
        <w:textAlignment w:val="auto"/>
        <w:rPr>
          <w:rFonts w:hint="eastAsia" w:ascii="黑体" w:hAnsi="黑体" w:eastAsia="黑体" w:cs="黑体"/>
          <w:b/>
          <w:bCs w:val="0"/>
          <w:sz w:val="32"/>
          <w:szCs w:val="32"/>
        </w:rPr>
      </w:pPr>
      <w:bookmarkStart w:id="0" w:name="_GoBack"/>
      <w:r>
        <w:rPr>
          <w:rFonts w:hint="eastAsia" w:ascii="黑体" w:hAnsi="黑体" w:eastAsia="黑体" w:cs="黑体"/>
          <w:b/>
          <w:bCs w:val="0"/>
          <w:sz w:val="32"/>
          <w:szCs w:val="32"/>
        </w:rPr>
        <w:t>有限空间作业主要安全风险</w:t>
      </w:r>
    </w:p>
    <w:bookmarkEnd w:id="0"/>
    <w:p>
      <w:pPr>
        <w:pStyle w:val="8"/>
        <w:topLinePunct w:val="0"/>
        <w:outlineLvl w:val="0"/>
        <w:rPr>
          <w:rFonts w:hint="eastAsia"/>
        </w:rPr>
      </w:pPr>
      <w:r>
        <w:rPr>
          <w:rFonts w:hint="eastAsia"/>
        </w:rPr>
        <w:t>一、有限空间作业主要安全风险类别</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有限空间作业存在的主要安全风险包括中毒、缺氧窒息、燃爆以及淹溺、高处坠落、触电、物体打击、机械伤害、灼烫、坍塌、掩埋、高温高湿等。在某些环境下，上述风险可能共存，并具有隐蔽性和突发性。</w:t>
      </w:r>
    </w:p>
    <w:p>
      <w:pPr>
        <w:pStyle w:val="9"/>
        <w:pageBreakBefore w:val="0"/>
        <w:widowControl w:val="0"/>
        <w:kinsoku/>
        <w:wordWrap/>
        <w:overflowPunct/>
        <w:topLinePunct w:val="0"/>
        <w:autoSpaceDE/>
        <w:autoSpaceDN/>
        <w:bidi w:val="0"/>
        <w:adjustRightInd w:val="0"/>
        <w:snapToGrid/>
        <w:spacing w:line="560" w:lineRule="exact"/>
        <w:textAlignment w:val="auto"/>
        <w:outlineLvl w:val="1"/>
        <w:rPr>
          <w:rFonts w:hint="eastAsia" w:ascii="楷体" w:hAnsi="楷体" w:eastAsia="楷体" w:cs="楷体"/>
        </w:rPr>
      </w:pPr>
      <w:r>
        <w:rPr>
          <w:rFonts w:hint="eastAsia" w:ascii="楷体" w:hAnsi="楷体" w:eastAsia="楷体" w:cs="楷体"/>
        </w:rPr>
        <w:t>（一）中毒</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有限空间内存在或积聚有毒气体，作业人员吸入后会引起化学性中毒，甚至死亡。有限空间中有毒气体可能的来源包括：有限空间内存储的有毒物质的挥发，有机物分解产生的有毒气体，</w:t>
      </w:r>
      <w:r>
        <w:rPr>
          <w:rFonts w:hint="eastAsia" w:ascii="仿宋_GB2312" w:hAnsi="仿宋_GB2312" w:eastAsia="仿宋_GB2312" w:cs="仿宋_GB2312"/>
          <w:spacing w:val="-4"/>
          <w:szCs w:val="22"/>
        </w:rPr>
        <w:t>进行焊接、涂装等作业时产生的有毒气体，相连或相近设备、管道中有毒物质的泄漏等，如附图</w:t>
      </w:r>
      <w:r>
        <w:rPr>
          <w:rFonts w:hint="eastAsia" w:ascii="仿宋_GB2312" w:hAnsi="仿宋_GB2312" w:eastAsia="仿宋_GB2312" w:cs="仿宋_GB2312"/>
          <w:szCs w:val="22"/>
        </w:rPr>
        <w:t>2</w:t>
      </w:r>
      <w:r>
        <w:rPr>
          <w:rFonts w:hint="eastAsia" w:ascii="仿宋_GB2312" w:hAnsi="仿宋_GB2312" w:eastAsia="仿宋_GB2312" w:cs="仿宋_GB2312"/>
          <w:vertAlign w:val="superscript"/>
          <w:cs/>
        </w:rPr>
        <w:t> </w:t>
      </w:r>
      <w:r>
        <w:rPr>
          <w:rFonts w:hint="eastAsia" w:ascii="仿宋_GB2312" w:hAnsi="仿宋_GB2312" w:eastAsia="仿宋_GB2312" w:cs="仿宋_GB2312"/>
        </w:rPr>
        <w:t></w:t>
      </w:r>
      <w:r>
        <w:rPr>
          <w:rFonts w:hint="eastAsia" w:ascii="仿宋_GB2312" w:hAnsi="仿宋_GB2312" w:eastAsia="仿宋_GB2312" w:cs="仿宋_GB2312"/>
          <w:vertAlign w:val="superscript"/>
          <w:cs/>
        </w:rPr>
        <w:t> </w:t>
      </w:r>
      <w:r>
        <w:rPr>
          <w:rFonts w:hint="eastAsia" w:ascii="仿宋_GB2312" w:hAnsi="仿宋_GB2312" w:eastAsia="仿宋_GB2312" w:cs="仿宋_GB2312"/>
          <w:szCs w:val="22"/>
        </w:rPr>
        <w:t>1所示。有毒气体主要通过呼吸道进入人体，再经血液循环，对人体的呼吸、神经、血液等系统及肝脏、肺、肾脏等脏器造成严重损伤。</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引发有限空间作业中毒风险的典型物质有：硫化氢、一氧化碳、苯和苯系物、氰化氢、磷化氢等。</w:t>
      </w:r>
    </w:p>
    <w:p>
      <w:pPr>
        <w:pStyle w:val="10"/>
        <w:pageBreakBefore w:val="0"/>
        <w:widowControl w:val="0"/>
        <w:kinsoku/>
        <w:wordWrap/>
        <w:overflowPunct/>
        <w:topLinePunct w:val="0"/>
        <w:autoSpaceDE/>
        <w:autoSpaceDN/>
        <w:bidi w:val="0"/>
        <w:adjustRightInd w:val="0"/>
        <w:snapToGrid/>
        <w:spacing w:line="560" w:lineRule="exact"/>
        <w:textAlignment w:val="auto"/>
        <w:rPr>
          <w:rFonts w:hint="eastAsia" w:ascii="仿宋_GB2312" w:hAnsi="仿宋_GB2312" w:eastAsia="仿宋_GB2312" w:cs="仿宋_GB2312"/>
        </w:rPr>
      </w:pPr>
      <w:r>
        <w:rPr>
          <w:rFonts w:hint="eastAsia" w:ascii="仿宋_GB2312" w:hAnsi="仿宋_GB2312" w:eastAsia="仿宋_GB2312" w:cs="仿宋_GB2312"/>
        </w:rPr>
        <w:t>1.  硫化氢（H</w:t>
      </w:r>
      <w:r>
        <w:rPr>
          <w:rFonts w:hint="eastAsia" w:ascii="仿宋_GB2312" w:hAnsi="仿宋_GB2312" w:eastAsia="仿宋_GB2312" w:cs="仿宋_GB2312"/>
          <w:position w:val="-3"/>
          <w:vertAlign w:val="subscript"/>
        </w:rPr>
        <w:t>2</w:t>
      </w:r>
      <w:r>
        <w:rPr>
          <w:rFonts w:hint="eastAsia" w:ascii="仿宋_GB2312" w:hAnsi="仿宋_GB2312" w:eastAsia="仿宋_GB2312" w:cs="仿宋_GB2312"/>
        </w:rPr>
        <w:t>S）</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硫化氢是一种无色、剧毒气体，比空气重，易积聚在低洼处。硫化氢易燃，与空气混合能形成爆炸性混合气体，遇明火、高热等点火源将引发燃烧爆炸。硫化氢易存在于污水管道、污水池、炼油池、纸浆池、发酵池、酱腌菜池、化粪池等富含有机物并易于发酵的场所。低浓度的硫化氢有明显的臭鸡蛋气味，可被人敏感地发觉；浓度增高时，人会产生嗅觉疲劳或嗅神经麻痹而不能觉察硫化氢的存在；当浓度超过1000mg/m</w:t>
      </w:r>
      <w:r>
        <w:rPr>
          <w:rFonts w:hint="eastAsia" w:ascii="仿宋_GB2312" w:hAnsi="仿宋_GB2312" w:eastAsia="仿宋_GB2312" w:cs="仿宋_GB2312"/>
          <w:szCs w:val="22"/>
          <w:vertAlign w:val="superscript"/>
        </w:rPr>
        <w:t>3</w:t>
      </w:r>
      <w:r>
        <w:rPr>
          <w:rFonts w:hint="eastAsia" w:ascii="仿宋_GB2312" w:hAnsi="仿宋_GB2312" w:eastAsia="仿宋_GB2312" w:cs="仿宋_GB2312"/>
          <w:szCs w:val="22"/>
        </w:rPr>
        <w:t>时，数秒内即可致人闪电型死亡。</w:t>
      </w:r>
    </w:p>
    <w:p>
      <w:pPr>
        <w:pStyle w:val="11"/>
        <w:topLinePunct w:val="0"/>
      </w:pPr>
      <w:r>
        <w:rPr>
          <w:rFonts w:hint="eastAsia"/>
        </w:rPr>
        <w:drawing>
          <wp:inline distT="0" distB="0" distL="114300" distR="114300">
            <wp:extent cx="2467610" cy="1637665"/>
            <wp:effectExtent l="0" t="0" r="8890" b="635"/>
            <wp:docPr id="3" name="图片 1"/>
            <wp:cNvGraphicFramePr/>
            <a:graphic xmlns:a="http://schemas.openxmlformats.org/drawingml/2006/main">
              <a:graphicData uri="http://schemas.openxmlformats.org/drawingml/2006/picture">
                <pic:pic xmlns:pic="http://schemas.openxmlformats.org/drawingml/2006/picture">
                  <pic:nvPicPr>
                    <pic:cNvPr id="3" name="图片 1"/>
                    <pic:cNvPicPr/>
                  </pic:nvPicPr>
                  <pic:blipFill>
                    <a:blip r:embed="rId4"/>
                    <a:stretch>
                      <a:fillRect/>
                    </a:stretch>
                  </pic:blipFill>
                  <pic:spPr>
                    <a:xfrm>
                      <a:off x="0" y="0"/>
                      <a:ext cx="2467610" cy="1637665"/>
                    </a:xfrm>
                    <a:prstGeom prst="rect">
                      <a:avLst/>
                    </a:prstGeom>
                    <a:noFill/>
                    <a:ln>
                      <a:noFill/>
                    </a:ln>
                  </pic:spPr>
                </pic:pic>
              </a:graphicData>
            </a:graphic>
          </wp:inline>
        </w:drawing>
      </w:r>
      <w:r>
        <w:t xml:space="preserve"> </w:t>
      </w:r>
      <w:r>
        <w:rPr>
          <w:rFonts w:hint="eastAsia"/>
        </w:rPr>
        <w:drawing>
          <wp:inline distT="0" distB="0" distL="114300" distR="114300">
            <wp:extent cx="2425065" cy="1610995"/>
            <wp:effectExtent l="0" t="0" r="635" b="190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tretch>
                      <a:fillRect/>
                    </a:stretch>
                  </pic:blipFill>
                  <pic:spPr>
                    <a:xfrm>
                      <a:off x="0" y="0"/>
                      <a:ext cx="2425065" cy="1610995"/>
                    </a:xfrm>
                    <a:prstGeom prst="rect">
                      <a:avLst/>
                    </a:prstGeom>
                    <a:noFill/>
                    <a:ln>
                      <a:noFill/>
                    </a:ln>
                  </pic:spPr>
                </pic:pic>
              </a:graphicData>
            </a:graphic>
          </wp:inline>
        </w:drawing>
      </w:r>
    </w:p>
    <w:p>
      <w:pPr>
        <w:pStyle w:val="11"/>
        <w:topLinePunct w:val="0"/>
        <w:rPr>
          <w:rFonts w:hint="eastAsia"/>
        </w:rPr>
      </w:pPr>
      <w:r>
        <w:rPr>
          <w:rFonts w:hint="eastAsia"/>
        </w:rPr>
        <w:drawing>
          <wp:inline distT="0" distB="0" distL="114300" distR="114300">
            <wp:extent cx="2398395" cy="1593850"/>
            <wp:effectExtent l="0" t="0" r="1905" b="6350"/>
            <wp:docPr id="1" name="图片 3"/>
            <wp:cNvGraphicFramePr/>
            <a:graphic xmlns:a="http://schemas.openxmlformats.org/drawingml/2006/main">
              <a:graphicData uri="http://schemas.openxmlformats.org/drawingml/2006/picture">
                <pic:pic xmlns:pic="http://schemas.openxmlformats.org/drawingml/2006/picture">
                  <pic:nvPicPr>
                    <pic:cNvPr id="1" name="图片 3"/>
                    <pic:cNvPicPr/>
                  </pic:nvPicPr>
                  <pic:blipFill>
                    <a:blip r:embed="rId6"/>
                    <a:stretch>
                      <a:fillRect/>
                    </a:stretch>
                  </pic:blipFill>
                  <pic:spPr>
                    <a:xfrm>
                      <a:off x="0" y="0"/>
                      <a:ext cx="2398395" cy="1593850"/>
                    </a:xfrm>
                    <a:prstGeom prst="rect">
                      <a:avLst/>
                    </a:prstGeom>
                    <a:noFill/>
                    <a:ln>
                      <a:noFill/>
                    </a:ln>
                  </pic:spPr>
                </pic:pic>
              </a:graphicData>
            </a:graphic>
          </wp:inline>
        </w:drawing>
      </w:r>
      <w:r>
        <w:t xml:space="preserve"> </w:t>
      </w:r>
      <w:r>
        <w:rPr>
          <w:rFonts w:hint="eastAsia"/>
        </w:rPr>
        <w:drawing>
          <wp:inline distT="0" distB="0" distL="114300" distR="114300">
            <wp:extent cx="2413000" cy="1593850"/>
            <wp:effectExtent l="0" t="0" r="0" b="635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stretch>
                      <a:fillRect/>
                    </a:stretch>
                  </pic:blipFill>
                  <pic:spPr>
                    <a:xfrm>
                      <a:off x="0" y="0"/>
                      <a:ext cx="2413000" cy="1593850"/>
                    </a:xfrm>
                    <a:prstGeom prst="rect">
                      <a:avLst/>
                    </a:prstGeom>
                    <a:noFill/>
                    <a:ln>
                      <a:noFill/>
                    </a:ln>
                  </pic:spPr>
                </pic:pic>
              </a:graphicData>
            </a:graphic>
          </wp:inline>
        </w:drawing>
      </w:r>
    </w:p>
    <w:p>
      <w:pPr>
        <w:pStyle w:val="12"/>
        <w:topLinePunct w:val="0"/>
        <w:rPr>
          <w:rFonts w:hint="eastAsia" w:cs="宋体"/>
          <w:szCs w:val="22"/>
        </w:rPr>
      </w:pPr>
      <w:r>
        <w:rPr>
          <w:rFonts w:hint="eastAsia"/>
        </w:rPr>
        <w:t>附图2</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1</w:t>
      </w:r>
      <w:r>
        <w:t xml:space="preserve"> </w:t>
      </w:r>
      <w:r>
        <w:rPr>
          <w:rFonts w:hint="eastAsia"/>
        </w:rPr>
        <w:t xml:space="preserve"> 有限空间中有毒气体可能的来源</w:t>
      </w:r>
    </w:p>
    <w:p>
      <w:pPr>
        <w:pStyle w:val="10"/>
        <w:pageBreakBefore w:val="0"/>
        <w:widowControl w:val="0"/>
        <w:kinsoku/>
        <w:wordWrap/>
        <w:overflowPunct/>
        <w:topLinePunct w:val="0"/>
        <w:autoSpaceDE/>
        <w:autoSpaceDN/>
        <w:bidi w:val="0"/>
        <w:adjustRightInd w:val="0"/>
        <w:snapToGrid/>
        <w:spacing w:line="560" w:lineRule="exact"/>
        <w:textAlignment w:val="auto"/>
        <w:rPr>
          <w:rFonts w:hint="eastAsia" w:ascii="仿宋_GB2312" w:hAnsi="仿宋_GB2312" w:eastAsia="仿宋_GB2312" w:cs="仿宋_GB2312"/>
        </w:rPr>
      </w:pPr>
      <w:r>
        <w:rPr>
          <w:rFonts w:hint="eastAsia" w:ascii="仿宋_GB2312" w:hAnsi="仿宋_GB2312" w:eastAsia="仿宋_GB2312" w:cs="仿宋_GB2312"/>
        </w:rPr>
        <w:t>2.  一氧化碳（CO）</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一氧化碳是一种无色无味的气体，比重与空气相当。一氧化碳与血红蛋白的亲和力比氧与血红蛋白的亲和力高200～300倍，因此一氧化碳极易与血红蛋白结合，形成碳氧血红蛋白，使血红蛋白丧失携氧的能力和作用，造成组织窒息，甚至导致人员死亡。一氧化碳易燃，与空气混合能形成爆炸性混合气体，遇明火、高热等点火源将引发燃烧爆炸。含碳燃料的不完全燃烧和焊接作业是一氧化碳的主要来源。</w:t>
      </w:r>
    </w:p>
    <w:p>
      <w:pPr>
        <w:pStyle w:val="10"/>
        <w:pageBreakBefore w:val="0"/>
        <w:widowControl w:val="0"/>
        <w:kinsoku/>
        <w:wordWrap/>
        <w:overflowPunct/>
        <w:topLinePunct w:val="0"/>
        <w:autoSpaceDE/>
        <w:autoSpaceDN/>
        <w:bidi w:val="0"/>
        <w:adjustRightInd w:val="0"/>
        <w:snapToGrid/>
        <w:spacing w:line="560" w:lineRule="exact"/>
        <w:textAlignment w:val="auto"/>
        <w:rPr>
          <w:rFonts w:hint="eastAsia" w:ascii="仿宋_GB2312" w:hAnsi="仿宋_GB2312" w:eastAsia="仿宋_GB2312" w:cs="仿宋_GB2312"/>
          <w:lang w:val="en-US"/>
        </w:rPr>
      </w:pPr>
      <w:r>
        <w:rPr>
          <w:rFonts w:hint="eastAsia" w:ascii="仿宋_GB2312" w:hAnsi="仿宋_GB2312" w:eastAsia="仿宋_GB2312" w:cs="仿宋_GB2312"/>
          <w:lang w:val="en-US"/>
        </w:rPr>
        <w:t>3.  </w:t>
      </w:r>
      <w:r>
        <w:rPr>
          <w:rFonts w:hint="eastAsia" w:ascii="仿宋_GB2312" w:hAnsi="仿宋_GB2312" w:eastAsia="仿宋_GB2312" w:cs="仿宋_GB2312"/>
        </w:rPr>
        <w:t>苯和苯系物</w:t>
      </w:r>
      <w:r>
        <w:rPr>
          <w:rFonts w:hint="eastAsia" w:ascii="仿宋_GB2312" w:hAnsi="仿宋_GB2312" w:eastAsia="仿宋_GB2312" w:cs="仿宋_GB2312"/>
          <w:lang w:val="en-US"/>
        </w:rPr>
        <w:t>［</w:t>
      </w:r>
      <w:r>
        <w:rPr>
          <w:rFonts w:hint="eastAsia" w:ascii="仿宋_GB2312" w:hAnsi="仿宋_GB2312" w:eastAsia="仿宋_GB2312" w:cs="仿宋_GB2312"/>
        </w:rPr>
        <w:t>苯</w:t>
      </w:r>
      <w:r>
        <w:rPr>
          <w:rFonts w:hint="eastAsia" w:ascii="仿宋_GB2312" w:hAnsi="仿宋_GB2312" w:eastAsia="仿宋_GB2312" w:cs="仿宋_GB2312"/>
          <w:lang w:val="en-US"/>
        </w:rPr>
        <w:t>（C</w:t>
      </w:r>
      <w:r>
        <w:rPr>
          <w:rFonts w:hint="eastAsia" w:ascii="仿宋_GB2312" w:hAnsi="仿宋_GB2312" w:eastAsia="仿宋_GB2312" w:cs="仿宋_GB2312"/>
          <w:position w:val="-3"/>
          <w:vertAlign w:val="subscript"/>
          <w:lang w:val="en-US"/>
        </w:rPr>
        <w:t>6</w:t>
      </w:r>
      <w:r>
        <w:rPr>
          <w:rFonts w:hint="eastAsia" w:ascii="仿宋_GB2312" w:hAnsi="仿宋_GB2312" w:eastAsia="仿宋_GB2312" w:cs="仿宋_GB2312"/>
          <w:lang w:val="en-US"/>
        </w:rPr>
        <w:t>H</w:t>
      </w:r>
      <w:r>
        <w:rPr>
          <w:rFonts w:hint="eastAsia" w:ascii="仿宋_GB2312" w:hAnsi="仿宋_GB2312" w:eastAsia="仿宋_GB2312" w:cs="仿宋_GB2312"/>
          <w:position w:val="-3"/>
          <w:vertAlign w:val="subscript"/>
          <w:lang w:val="en-US"/>
        </w:rPr>
        <w:t>6</w:t>
      </w:r>
      <w:r>
        <w:rPr>
          <w:rFonts w:hint="eastAsia" w:ascii="仿宋_GB2312" w:hAnsi="仿宋_GB2312" w:eastAsia="仿宋_GB2312" w:cs="仿宋_GB2312"/>
          <w:lang w:val="en-US"/>
        </w:rPr>
        <w:t>）</w:t>
      </w:r>
      <w:r>
        <w:rPr>
          <w:rFonts w:hint="eastAsia" w:ascii="仿宋_GB2312" w:hAnsi="仿宋_GB2312" w:eastAsia="仿宋_GB2312" w:cs="仿宋_GB2312"/>
        </w:rPr>
        <w:t>、甲苯</w:t>
      </w:r>
      <w:r>
        <w:rPr>
          <w:rFonts w:hint="eastAsia" w:ascii="仿宋_GB2312" w:hAnsi="仿宋_GB2312" w:eastAsia="仿宋_GB2312" w:cs="仿宋_GB2312"/>
          <w:lang w:val="en-US"/>
        </w:rPr>
        <w:t>（C</w:t>
      </w:r>
      <w:r>
        <w:rPr>
          <w:rFonts w:hint="eastAsia" w:ascii="仿宋_GB2312" w:hAnsi="仿宋_GB2312" w:eastAsia="仿宋_GB2312" w:cs="仿宋_GB2312"/>
          <w:position w:val="-3"/>
          <w:vertAlign w:val="subscript"/>
          <w:lang w:val="en-US"/>
        </w:rPr>
        <w:t>7</w:t>
      </w:r>
      <w:r>
        <w:rPr>
          <w:rFonts w:hint="eastAsia" w:ascii="仿宋_GB2312" w:hAnsi="仿宋_GB2312" w:eastAsia="仿宋_GB2312" w:cs="仿宋_GB2312"/>
          <w:lang w:val="en-US"/>
        </w:rPr>
        <w:t>H</w:t>
      </w:r>
      <w:r>
        <w:rPr>
          <w:rFonts w:hint="eastAsia" w:ascii="仿宋_GB2312" w:hAnsi="仿宋_GB2312" w:eastAsia="仿宋_GB2312" w:cs="仿宋_GB2312"/>
          <w:position w:val="-3"/>
          <w:vertAlign w:val="subscript"/>
          <w:lang w:val="en-US"/>
        </w:rPr>
        <w:t>8</w:t>
      </w:r>
      <w:r>
        <w:rPr>
          <w:rFonts w:hint="eastAsia" w:ascii="仿宋_GB2312" w:hAnsi="仿宋_GB2312" w:eastAsia="仿宋_GB2312" w:cs="仿宋_GB2312"/>
          <w:lang w:val="en-US"/>
        </w:rPr>
        <w:t>）</w:t>
      </w:r>
      <w:r>
        <w:rPr>
          <w:rFonts w:hint="eastAsia" w:ascii="仿宋_GB2312" w:hAnsi="仿宋_GB2312" w:eastAsia="仿宋_GB2312" w:cs="仿宋_GB2312"/>
        </w:rPr>
        <w:t>、二甲苯</w:t>
      </w:r>
      <w:r>
        <w:rPr>
          <w:rFonts w:hint="eastAsia" w:ascii="仿宋_GB2312" w:hAnsi="仿宋_GB2312" w:eastAsia="仿宋_GB2312" w:cs="仿宋_GB2312"/>
          <w:lang w:val="en-US"/>
        </w:rPr>
        <w:t>（C</w:t>
      </w:r>
      <w:r>
        <w:rPr>
          <w:rFonts w:hint="eastAsia" w:ascii="仿宋_GB2312" w:hAnsi="仿宋_GB2312" w:eastAsia="仿宋_GB2312" w:cs="仿宋_GB2312"/>
          <w:position w:val="-3"/>
          <w:vertAlign w:val="subscript"/>
          <w:lang w:val="en-US"/>
        </w:rPr>
        <w:t>8</w:t>
      </w:r>
      <w:r>
        <w:rPr>
          <w:rFonts w:hint="eastAsia" w:ascii="仿宋_GB2312" w:hAnsi="仿宋_GB2312" w:eastAsia="仿宋_GB2312" w:cs="仿宋_GB2312"/>
          <w:lang w:val="en-US"/>
        </w:rPr>
        <w:t>H</w:t>
      </w:r>
      <w:r>
        <w:rPr>
          <w:rFonts w:hint="eastAsia" w:ascii="仿宋_GB2312" w:hAnsi="仿宋_GB2312" w:eastAsia="仿宋_GB2312" w:cs="仿宋_GB2312"/>
          <w:position w:val="-3"/>
          <w:vertAlign w:val="subscript"/>
          <w:lang w:val="en-US"/>
        </w:rPr>
        <w:t>10</w:t>
      </w:r>
      <w:r>
        <w:rPr>
          <w:rFonts w:hint="eastAsia" w:ascii="仿宋_GB2312" w:hAnsi="仿宋_GB2312" w:eastAsia="仿宋_GB2312" w:cs="仿宋_GB2312"/>
          <w:lang w:val="en-US"/>
        </w:rPr>
        <w:t>）］</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苯、甲苯、二甲苯都是无色透明、有芬芳气味、易挥发的有机溶剂；易燃，其蒸气与空气混合能形成爆炸性混合物。苯可引起各类型白血病，国际癌症研究中心已确认苯为人类致癌物。甲苯、二甲苯蒸气也均具有一定毒性，对黏膜有刺激性，对中枢神经系统有麻痹作用。短时间内吸入较高浓度的苯、甲苯和二甲苯，人体会出现头晕、头痛、恶心、呕吐、胸闷、四肢无力、步态蹒跚和意识模糊，严重者出现烦躁、抽搐、昏迷症状。苯、甲苯和二甲苯通常作为油漆、黏结剂的稀释剂，在有限空间内进行涂装、除锈和防腐等作业时，易挥发和积聚该类物质。</w:t>
      </w:r>
    </w:p>
    <w:p>
      <w:pPr>
        <w:pStyle w:val="10"/>
        <w:pageBreakBefore w:val="0"/>
        <w:widowControl w:val="0"/>
        <w:kinsoku/>
        <w:wordWrap/>
        <w:overflowPunct/>
        <w:topLinePunct w:val="0"/>
        <w:autoSpaceDE/>
        <w:autoSpaceDN/>
        <w:bidi w:val="0"/>
        <w:adjustRightInd w:val="0"/>
        <w:snapToGrid/>
        <w:spacing w:line="560" w:lineRule="exact"/>
        <w:textAlignment w:val="auto"/>
        <w:rPr>
          <w:rFonts w:hint="eastAsia" w:ascii="仿宋_GB2312" w:hAnsi="仿宋_GB2312" w:eastAsia="仿宋_GB2312" w:cs="仿宋_GB2312"/>
        </w:rPr>
      </w:pPr>
      <w:r>
        <w:rPr>
          <w:rFonts w:hint="eastAsia" w:ascii="仿宋_GB2312" w:hAnsi="仿宋_GB2312" w:eastAsia="仿宋_GB2312" w:cs="仿宋_GB2312"/>
        </w:rPr>
        <w:t>4.  氰化氢（HCN）</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氰化氢在常温下是一种无色、有苦杏仁味的液体，易在空气中挥发、弥散（沸点为25.6℃），剧毒且具有爆炸性。氰化氢轻度中毒主要表现为胸闷、心悸、心率加快、头痛、恶心、呕吐、视物模糊；重度中毒主要表现为深昏迷状态，呼吸浅快，阵发性抽搐，甚至强直性痉挛。酱腌菜池中可能产生氰化氢。</w:t>
      </w:r>
    </w:p>
    <w:p>
      <w:pPr>
        <w:pStyle w:val="10"/>
        <w:pageBreakBefore w:val="0"/>
        <w:widowControl w:val="0"/>
        <w:kinsoku/>
        <w:wordWrap/>
        <w:overflowPunct/>
        <w:topLinePunct w:val="0"/>
        <w:autoSpaceDE/>
        <w:autoSpaceDN/>
        <w:bidi w:val="0"/>
        <w:adjustRightInd w:val="0"/>
        <w:snapToGrid/>
        <w:spacing w:line="560" w:lineRule="exact"/>
        <w:textAlignment w:val="auto"/>
        <w:rPr>
          <w:rFonts w:hint="eastAsia" w:ascii="仿宋_GB2312" w:hAnsi="仿宋_GB2312" w:eastAsia="仿宋_GB2312" w:cs="仿宋_GB2312"/>
        </w:rPr>
      </w:pPr>
      <w:r>
        <w:rPr>
          <w:rFonts w:hint="eastAsia" w:ascii="仿宋_GB2312" w:hAnsi="仿宋_GB2312" w:eastAsia="仿宋_GB2312" w:cs="仿宋_GB2312"/>
        </w:rPr>
        <w:t>5.  磷化氢（PH</w:t>
      </w:r>
      <w:r>
        <w:rPr>
          <w:rFonts w:hint="eastAsia" w:ascii="仿宋_GB2312" w:hAnsi="仿宋_GB2312" w:eastAsia="仿宋_GB2312" w:cs="仿宋_GB2312"/>
          <w:position w:val="-3"/>
          <w:vertAlign w:val="subscript"/>
        </w:rPr>
        <w:t>3</w:t>
      </w:r>
      <w:r>
        <w:rPr>
          <w:rFonts w:hint="eastAsia" w:ascii="仿宋_GB2312" w:hAnsi="仿宋_GB2312" w:eastAsia="仿宋_GB2312" w:cs="仿宋_GB2312"/>
        </w:rPr>
        <w:t>）</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磷化氢是一种有类似大蒜气味的无色气体，剧毒且极易燃。磷化氢主要损害人体神经系统、呼吸系统及心脏、肾脏、肝脏。10mg/m</w:t>
      </w:r>
      <w:r>
        <w:rPr>
          <w:rFonts w:hint="eastAsia" w:ascii="仿宋_GB2312" w:hAnsi="仿宋_GB2312" w:eastAsia="仿宋_GB2312" w:cs="仿宋_GB2312"/>
          <w:szCs w:val="22"/>
          <w:vertAlign w:val="superscript"/>
        </w:rPr>
        <w:t>3</w:t>
      </w:r>
      <w:r>
        <w:rPr>
          <w:rFonts w:hint="eastAsia" w:ascii="仿宋_GB2312" w:hAnsi="仿宋_GB2312" w:eastAsia="仿宋_GB2312" w:cs="仿宋_GB2312"/>
          <w:szCs w:val="22"/>
        </w:rPr>
        <w:t>接触6h，人体就会出现中毒症状。在微生物作用下，污水处理池等有限空间可能产生磷化氢。此外磷化氢还常作为熏蒸剂用于粮食存储以及饲料和烟草的储藏等。</w:t>
      </w:r>
    </w:p>
    <w:p>
      <w:pPr>
        <w:pStyle w:val="9"/>
        <w:pageBreakBefore w:val="0"/>
        <w:widowControl w:val="0"/>
        <w:kinsoku/>
        <w:wordWrap/>
        <w:overflowPunct/>
        <w:topLinePunct w:val="0"/>
        <w:autoSpaceDE/>
        <w:autoSpaceDN/>
        <w:bidi w:val="0"/>
        <w:adjustRightInd w:val="0"/>
        <w:snapToGrid/>
        <w:spacing w:line="560" w:lineRule="exact"/>
        <w:textAlignment w:val="auto"/>
        <w:outlineLvl w:val="1"/>
        <w:rPr>
          <w:rFonts w:hint="eastAsia" w:ascii="楷体" w:hAnsi="楷体" w:eastAsia="楷体" w:cs="楷体"/>
        </w:rPr>
      </w:pPr>
      <w:r>
        <w:rPr>
          <w:rFonts w:hint="eastAsia" w:ascii="楷体" w:hAnsi="楷体" w:eastAsia="楷体" w:cs="楷体"/>
        </w:rPr>
        <w:t>（二）缺氧窒息</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color w:val="auto"/>
          <w:szCs w:val="22"/>
          <w:highlight w:val="none"/>
        </w:rPr>
        <w:t>空气中氧含量的体积分数约为20.9%，氧含量低于19.5%时就是缺氧。</w:t>
      </w:r>
      <w:r>
        <w:rPr>
          <w:rFonts w:hint="eastAsia" w:ascii="仿宋_GB2312" w:hAnsi="仿宋_GB2312" w:eastAsia="仿宋_GB2312" w:cs="仿宋_GB2312"/>
          <w:szCs w:val="22"/>
        </w:rPr>
        <w:t>缺氧会对人体多个系统及脏器造成影响，甚至</w:t>
      </w:r>
      <w:r>
        <w:rPr>
          <w:rFonts w:hint="eastAsia" w:ascii="仿宋_GB2312" w:hAnsi="仿宋_GB2312" w:eastAsia="仿宋_GB2312" w:cs="仿宋_GB2312"/>
          <w:spacing w:val="8"/>
          <w:szCs w:val="22"/>
        </w:rPr>
        <w:t>使人致命。空气中氧气含量不同，对人体的影响也不同，如附表</w:t>
      </w:r>
      <w:r>
        <w:rPr>
          <w:rFonts w:hint="eastAsia" w:ascii="仿宋_GB2312" w:hAnsi="仿宋_GB2312" w:eastAsia="仿宋_GB2312" w:cs="仿宋_GB2312"/>
          <w:spacing w:val="8"/>
          <w:szCs w:val="22"/>
          <w:lang w:val="en-US" w:eastAsia="zh-CN"/>
        </w:rPr>
        <w:t>1-</w:t>
      </w:r>
      <w:r>
        <w:rPr>
          <w:rFonts w:hint="eastAsia" w:ascii="仿宋_GB2312" w:hAnsi="仿宋_GB2312" w:eastAsia="仿宋_GB2312" w:cs="仿宋_GB2312"/>
          <w:szCs w:val="22"/>
        </w:rPr>
        <w:t>1所示。</w:t>
      </w:r>
    </w:p>
    <w:p>
      <w:pPr>
        <w:pStyle w:val="13"/>
        <w:rPr>
          <w:rFonts w:hint="eastAsia"/>
        </w:rPr>
      </w:pPr>
      <w:r>
        <w:rPr>
          <w:rFonts w:hint="eastAsia"/>
        </w:rPr>
        <w:t>附表</w:t>
      </w:r>
      <w:r>
        <w:rPr>
          <w:rFonts w:hint="eastAsia"/>
          <w:lang w:val="en-US" w:eastAsia="zh-CN"/>
        </w:rPr>
        <w:t>1</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 xml:space="preserve">1 </w:t>
      </w:r>
      <w:r>
        <w:t xml:space="preserve"> </w:t>
      </w:r>
      <w:r>
        <w:rPr>
          <w:rFonts w:hint="eastAsia"/>
        </w:rPr>
        <w:t>不同氧气含量对人体的影响</w:t>
      </w:r>
    </w:p>
    <w:tbl>
      <w:tblPr>
        <w:tblStyle w:val="3"/>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57" w:type="dxa"/>
          <w:left w:w="68" w:type="dxa"/>
          <w:bottom w:w="57" w:type="dxa"/>
          <w:right w:w="68" w:type="dxa"/>
        </w:tblCellMar>
      </w:tblPr>
      <w:tblGrid>
        <w:gridCol w:w="1779"/>
        <w:gridCol w:w="7066"/>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jc w:val="center"/>
        </w:trPr>
        <w:tc>
          <w:tcPr>
            <w:tcW w:w="1779" w:type="dxa"/>
            <w:noWrap w:val="0"/>
            <w:vAlign w:val="center"/>
          </w:tcPr>
          <w:p>
            <w:pPr>
              <w:topLinePunct w:val="0"/>
              <w:adjustRightInd w:val="0"/>
              <w:snapToGrid w:val="0"/>
              <w:spacing w:before="20" w:after="20"/>
              <w:jc w:val="center"/>
              <w:rPr>
                <w:rFonts w:hint="eastAsia" w:cs="宋体"/>
                <w:sz w:val="21"/>
              </w:rPr>
            </w:pPr>
            <w:r>
              <w:rPr>
                <w:rFonts w:hint="eastAsia" w:cs="宋体"/>
                <w:sz w:val="21"/>
              </w:rPr>
              <w:t>氧气含量</w:t>
            </w:r>
          </w:p>
          <w:p>
            <w:pPr>
              <w:topLinePunct w:val="0"/>
              <w:adjustRightInd w:val="0"/>
              <w:snapToGrid w:val="0"/>
              <w:spacing w:before="20" w:after="20"/>
              <w:jc w:val="center"/>
              <w:rPr>
                <w:rFonts w:hint="eastAsia" w:cs="宋体"/>
                <w:sz w:val="21"/>
              </w:rPr>
            </w:pPr>
            <w:r>
              <w:rPr>
                <w:rFonts w:hint="eastAsia" w:cs="宋体"/>
                <w:sz w:val="21"/>
              </w:rPr>
              <w:t>（体积浓度）</w:t>
            </w:r>
          </w:p>
        </w:tc>
        <w:tc>
          <w:tcPr>
            <w:tcW w:w="7066" w:type="dxa"/>
            <w:noWrap w:val="0"/>
            <w:vAlign w:val="center"/>
          </w:tcPr>
          <w:p>
            <w:pPr>
              <w:topLinePunct w:val="0"/>
              <w:adjustRightInd w:val="0"/>
              <w:snapToGrid w:val="0"/>
              <w:spacing w:before="20" w:after="20"/>
              <w:jc w:val="center"/>
              <w:rPr>
                <w:rFonts w:hint="eastAsia" w:cs="宋体"/>
                <w:sz w:val="21"/>
              </w:rPr>
            </w:pPr>
            <w:r>
              <w:rPr>
                <w:rFonts w:hint="eastAsia" w:cs="宋体"/>
                <w:sz w:val="21"/>
              </w:rPr>
              <w:t>对人体的影响</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779" w:type="dxa"/>
            <w:noWrap w:val="0"/>
            <w:vAlign w:val="center"/>
          </w:tcPr>
          <w:p>
            <w:pPr>
              <w:topLinePunct w:val="0"/>
              <w:adjustRightInd w:val="0"/>
              <w:snapToGrid w:val="0"/>
              <w:spacing w:before="20" w:after="20"/>
              <w:jc w:val="center"/>
              <w:rPr>
                <w:rFonts w:hint="eastAsia" w:cs="宋体"/>
                <w:sz w:val="21"/>
              </w:rPr>
            </w:pPr>
            <w:r>
              <w:rPr>
                <w:rFonts w:hint="eastAsia" w:cs="宋体"/>
                <w:sz w:val="21"/>
              </w:rPr>
              <w:t>15%～19.5%</w:t>
            </w:r>
          </w:p>
        </w:tc>
        <w:tc>
          <w:tcPr>
            <w:tcW w:w="7066" w:type="dxa"/>
            <w:noWrap w:val="0"/>
            <w:vAlign w:val="center"/>
          </w:tcPr>
          <w:p>
            <w:pPr>
              <w:topLinePunct w:val="0"/>
              <w:adjustRightInd w:val="0"/>
              <w:snapToGrid w:val="0"/>
              <w:spacing w:before="20" w:after="20"/>
              <w:ind w:firstLine="181"/>
              <w:rPr>
                <w:rFonts w:hint="eastAsia" w:cs="宋体"/>
                <w:sz w:val="21"/>
              </w:rPr>
            </w:pPr>
            <w:r>
              <w:rPr>
                <w:rFonts w:hint="eastAsia" w:cs="宋体"/>
                <w:sz w:val="21"/>
              </w:rPr>
              <w:t>体力下降，难以从事重体力劳动，动作协调性降低，易引发冠心病、肺病等</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779" w:type="dxa"/>
            <w:noWrap w:val="0"/>
            <w:vAlign w:val="center"/>
          </w:tcPr>
          <w:p>
            <w:pPr>
              <w:topLinePunct w:val="0"/>
              <w:adjustRightInd w:val="0"/>
              <w:snapToGrid w:val="0"/>
              <w:spacing w:before="20" w:after="20"/>
              <w:jc w:val="center"/>
              <w:rPr>
                <w:rFonts w:hint="eastAsia" w:cs="宋体"/>
                <w:sz w:val="21"/>
              </w:rPr>
            </w:pPr>
            <w:r>
              <w:rPr>
                <w:rFonts w:hint="eastAsia" w:cs="宋体"/>
                <w:sz w:val="21"/>
              </w:rPr>
              <w:t>12%～14%</w:t>
            </w:r>
          </w:p>
        </w:tc>
        <w:tc>
          <w:tcPr>
            <w:tcW w:w="7066" w:type="dxa"/>
            <w:noWrap w:val="0"/>
            <w:vAlign w:val="center"/>
          </w:tcPr>
          <w:p>
            <w:pPr>
              <w:topLinePunct w:val="0"/>
              <w:adjustRightInd w:val="0"/>
              <w:snapToGrid w:val="0"/>
              <w:spacing w:before="20" w:after="20"/>
              <w:ind w:firstLine="181"/>
              <w:rPr>
                <w:rFonts w:hint="eastAsia" w:cs="宋体"/>
                <w:sz w:val="21"/>
              </w:rPr>
            </w:pPr>
            <w:r>
              <w:rPr>
                <w:rFonts w:hint="eastAsia" w:cs="宋体"/>
                <w:sz w:val="21"/>
              </w:rPr>
              <w:t>呼吸加重，频率加快，脉搏加快，动作协调性进一步降低，判断能力下降</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cantSplit/>
          <w:jc w:val="center"/>
        </w:trPr>
        <w:tc>
          <w:tcPr>
            <w:tcW w:w="1779" w:type="dxa"/>
            <w:noWrap w:val="0"/>
            <w:vAlign w:val="center"/>
          </w:tcPr>
          <w:p>
            <w:pPr>
              <w:topLinePunct w:val="0"/>
              <w:adjustRightInd w:val="0"/>
              <w:snapToGrid w:val="0"/>
              <w:spacing w:before="20" w:after="20"/>
              <w:jc w:val="center"/>
              <w:rPr>
                <w:rFonts w:hint="eastAsia" w:cs="宋体"/>
                <w:sz w:val="21"/>
              </w:rPr>
            </w:pPr>
            <w:r>
              <w:rPr>
                <w:rFonts w:hint="eastAsia" w:cs="宋体"/>
                <w:sz w:val="21"/>
              </w:rPr>
              <w:t>10%～12%</w:t>
            </w:r>
          </w:p>
        </w:tc>
        <w:tc>
          <w:tcPr>
            <w:tcW w:w="7066" w:type="dxa"/>
            <w:noWrap w:val="0"/>
            <w:vAlign w:val="center"/>
          </w:tcPr>
          <w:p>
            <w:pPr>
              <w:topLinePunct w:val="0"/>
              <w:adjustRightInd w:val="0"/>
              <w:snapToGrid w:val="0"/>
              <w:spacing w:before="20" w:after="20"/>
              <w:ind w:firstLine="181"/>
              <w:rPr>
                <w:rFonts w:hint="eastAsia" w:cs="宋体"/>
                <w:sz w:val="21"/>
              </w:rPr>
            </w:pPr>
            <w:r>
              <w:rPr>
                <w:rFonts w:hint="eastAsia" w:cs="宋体"/>
                <w:sz w:val="21"/>
              </w:rPr>
              <w:t>呼吸加重、加快，几乎丧失判断能力，嘴唇发紫</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779" w:type="dxa"/>
            <w:noWrap w:val="0"/>
            <w:vAlign w:val="center"/>
          </w:tcPr>
          <w:p>
            <w:pPr>
              <w:topLinePunct w:val="0"/>
              <w:adjustRightInd w:val="0"/>
              <w:snapToGrid w:val="0"/>
              <w:jc w:val="center"/>
              <w:rPr>
                <w:rFonts w:hint="eastAsia" w:cs="宋体"/>
                <w:sz w:val="21"/>
              </w:rPr>
            </w:pPr>
            <w:r>
              <w:rPr>
                <w:rFonts w:hint="eastAsia" w:cs="宋体"/>
                <w:sz w:val="21"/>
              </w:rPr>
              <w:t>氧气含量</w:t>
            </w:r>
          </w:p>
          <w:p>
            <w:pPr>
              <w:topLinePunct w:val="0"/>
              <w:adjustRightInd w:val="0"/>
              <w:snapToGrid w:val="0"/>
              <w:jc w:val="center"/>
              <w:rPr>
                <w:rFonts w:hint="eastAsia" w:cs="宋体"/>
                <w:sz w:val="21"/>
              </w:rPr>
            </w:pPr>
            <w:r>
              <w:rPr>
                <w:rFonts w:hint="eastAsia" w:cs="宋体"/>
                <w:sz w:val="21"/>
              </w:rPr>
              <w:t>（体积浓度）</w:t>
            </w:r>
          </w:p>
        </w:tc>
        <w:tc>
          <w:tcPr>
            <w:tcW w:w="7066" w:type="dxa"/>
            <w:noWrap w:val="0"/>
            <w:vAlign w:val="center"/>
          </w:tcPr>
          <w:p>
            <w:pPr>
              <w:topLinePunct w:val="0"/>
              <w:adjustRightInd w:val="0"/>
              <w:snapToGrid w:val="0"/>
              <w:jc w:val="center"/>
              <w:rPr>
                <w:rFonts w:hint="eastAsia" w:cs="宋体"/>
                <w:sz w:val="21"/>
              </w:rPr>
            </w:pPr>
            <w:r>
              <w:rPr>
                <w:rFonts w:hint="eastAsia" w:cs="宋体"/>
                <w:sz w:val="21"/>
              </w:rPr>
              <w:t>对人体的影响</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779" w:type="dxa"/>
            <w:noWrap w:val="0"/>
            <w:vAlign w:val="center"/>
          </w:tcPr>
          <w:p>
            <w:pPr>
              <w:topLinePunct w:val="0"/>
              <w:adjustRightInd w:val="0"/>
              <w:snapToGrid w:val="0"/>
              <w:jc w:val="center"/>
              <w:rPr>
                <w:rFonts w:hint="eastAsia" w:cs="宋体"/>
                <w:sz w:val="21"/>
              </w:rPr>
            </w:pPr>
            <w:r>
              <w:rPr>
                <w:rFonts w:hint="eastAsia" w:cs="宋体"/>
                <w:sz w:val="21"/>
              </w:rPr>
              <w:t>8%～10%</w:t>
            </w:r>
          </w:p>
        </w:tc>
        <w:tc>
          <w:tcPr>
            <w:tcW w:w="7066" w:type="dxa"/>
            <w:noWrap w:val="0"/>
            <w:vAlign w:val="center"/>
          </w:tcPr>
          <w:p>
            <w:pPr>
              <w:topLinePunct w:val="0"/>
              <w:adjustRightInd w:val="0"/>
              <w:snapToGrid w:val="0"/>
              <w:ind w:firstLine="181"/>
              <w:rPr>
                <w:rFonts w:hint="eastAsia" w:cs="宋体"/>
                <w:sz w:val="21"/>
              </w:rPr>
            </w:pPr>
            <w:r>
              <w:rPr>
                <w:rFonts w:hint="eastAsia" w:cs="宋体"/>
                <w:sz w:val="21"/>
              </w:rPr>
              <w:t>精神失常，昏迷，失去知觉，呕吐，脸色死灰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779" w:type="dxa"/>
            <w:noWrap w:val="0"/>
            <w:vAlign w:val="center"/>
          </w:tcPr>
          <w:p>
            <w:pPr>
              <w:topLinePunct w:val="0"/>
              <w:adjustRightInd w:val="0"/>
              <w:snapToGrid w:val="0"/>
              <w:jc w:val="center"/>
              <w:rPr>
                <w:rFonts w:hint="eastAsia" w:cs="宋体"/>
                <w:sz w:val="21"/>
              </w:rPr>
            </w:pPr>
            <w:r>
              <w:rPr>
                <w:rFonts w:hint="eastAsia" w:cs="宋体"/>
                <w:sz w:val="21"/>
              </w:rPr>
              <w:t>6%～8%</w:t>
            </w:r>
          </w:p>
        </w:tc>
        <w:tc>
          <w:tcPr>
            <w:tcW w:w="7066" w:type="dxa"/>
            <w:noWrap w:val="0"/>
            <w:vAlign w:val="center"/>
          </w:tcPr>
          <w:p>
            <w:pPr>
              <w:topLinePunct w:val="0"/>
              <w:adjustRightInd w:val="0"/>
              <w:snapToGrid w:val="0"/>
              <w:ind w:firstLine="181"/>
              <w:rPr>
                <w:rFonts w:hint="eastAsia" w:cs="宋体"/>
                <w:sz w:val="21"/>
              </w:rPr>
            </w:pPr>
            <w:r>
              <w:rPr>
                <w:rFonts w:hint="eastAsia" w:cs="宋体"/>
                <w:sz w:val="21"/>
              </w:rPr>
              <w:t>4～5min通过治疗可恢复，6min后50%致命，8min后100%致命</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779" w:type="dxa"/>
            <w:noWrap w:val="0"/>
            <w:vAlign w:val="center"/>
          </w:tcPr>
          <w:p>
            <w:pPr>
              <w:topLinePunct w:val="0"/>
              <w:adjustRightInd w:val="0"/>
              <w:snapToGrid w:val="0"/>
              <w:jc w:val="center"/>
              <w:rPr>
                <w:rFonts w:hint="eastAsia" w:cs="宋体"/>
                <w:sz w:val="21"/>
              </w:rPr>
            </w:pPr>
            <w:r>
              <w:rPr>
                <w:rFonts w:hint="eastAsia" w:cs="宋体"/>
                <w:sz w:val="21"/>
              </w:rPr>
              <w:t>4%～6%</w:t>
            </w:r>
          </w:p>
        </w:tc>
        <w:tc>
          <w:tcPr>
            <w:tcW w:w="7066" w:type="dxa"/>
            <w:noWrap w:val="0"/>
            <w:vAlign w:val="center"/>
          </w:tcPr>
          <w:p>
            <w:pPr>
              <w:topLinePunct w:val="0"/>
              <w:adjustRightInd w:val="0"/>
              <w:snapToGrid w:val="0"/>
              <w:ind w:firstLine="181"/>
              <w:rPr>
                <w:rFonts w:hint="eastAsia" w:cs="宋体"/>
                <w:sz w:val="21"/>
              </w:rPr>
            </w:pPr>
            <w:r>
              <w:rPr>
                <w:rFonts w:hint="eastAsia" w:cs="宋体"/>
                <w:sz w:val="21"/>
              </w:rPr>
              <w:t>40s内昏迷、痉挛，呼吸减缓、死亡</w:t>
            </w:r>
          </w:p>
        </w:tc>
      </w:tr>
    </w:tbl>
    <w:p>
      <w:pPr>
        <w:pStyle w:val="14"/>
        <w:topLinePunct w:val="0"/>
        <w:rPr>
          <w:rFonts w:hint="eastAsia"/>
        </w:rPr>
      </w:pP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内缺氧主要有两种情形：一是由于生物的呼吸作用或物质的氧化作用，有限空间内的氧气被消耗导致缺氧；二是有限空间内存在二氧化碳、甲烷、氮气、氩气、水蒸气和六氟化硫等单纯性窒息气体，排挤氧空间，使空气中氧含量降低，造成缺氧。</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引发有限空间作业缺氧风险的典型物质有二氧化碳、甲烷、氮气、氩气等。</w:t>
      </w:r>
    </w:p>
    <w:p>
      <w:pPr>
        <w:pStyle w:val="10"/>
        <w:pageBreakBefore w:val="0"/>
        <w:widowControl w:val="0"/>
        <w:kinsoku/>
        <w:wordWrap/>
        <w:overflowPunct/>
        <w:topLinePunct w:val="0"/>
        <w:autoSpaceDE/>
        <w:autoSpaceDN/>
        <w:bidi w:val="0"/>
        <w:snapToGrid/>
        <w:spacing w:line="560" w:lineRule="exact"/>
        <w:textAlignment w:val="auto"/>
        <w:outlineLvl w:val="1"/>
        <w:rPr>
          <w:rFonts w:hint="eastAsia" w:ascii="仿宋_GB2312" w:hAnsi="仿宋_GB2312" w:eastAsia="仿宋_GB2312" w:cs="仿宋_GB2312"/>
        </w:rPr>
      </w:pPr>
      <w:r>
        <w:rPr>
          <w:rFonts w:hint="eastAsia" w:ascii="仿宋_GB2312" w:hAnsi="仿宋_GB2312" w:eastAsia="仿宋_GB2312" w:cs="仿宋_GB2312"/>
        </w:rPr>
        <w:t>1.  二氧化碳（CO</w:t>
      </w:r>
      <w:r>
        <w:rPr>
          <w:rFonts w:hint="eastAsia" w:ascii="仿宋_GB2312" w:hAnsi="仿宋_GB2312" w:eastAsia="仿宋_GB2312" w:cs="仿宋_GB2312"/>
          <w:position w:val="-3"/>
          <w:vertAlign w:val="subscript"/>
        </w:rPr>
        <w:t>2</w:t>
      </w:r>
      <w:r>
        <w:rPr>
          <w:rFonts w:hint="eastAsia" w:ascii="仿宋_GB2312" w:hAnsi="仿宋_GB2312" w:eastAsia="仿宋_GB2312" w:cs="仿宋_GB2312"/>
        </w:rPr>
        <w:t>）</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二氧化碳是引发有限空间环境缺氧最常见的物质。其来源主要为空气中本身存在的二氧化碳，以及在生产过程中作为原料使用以及有机物分解、发酵等产生的二氧化碳。当二氧化碳含量超过一定浓度时，人的呼吸会受影响。吸入高浓度二氧化碳时，几秒内人会迅速昏迷倒下，更严重者会出现呼吸、心跳停止及休克，甚至死亡。</w:t>
      </w:r>
    </w:p>
    <w:p>
      <w:pPr>
        <w:pStyle w:val="10"/>
        <w:pageBreakBefore w:val="0"/>
        <w:widowControl w:val="0"/>
        <w:kinsoku/>
        <w:wordWrap/>
        <w:overflowPunct/>
        <w:topLinePunct w:val="0"/>
        <w:autoSpaceDE/>
        <w:autoSpaceDN/>
        <w:bidi w:val="0"/>
        <w:snapToGrid/>
        <w:spacing w:line="560" w:lineRule="exact"/>
        <w:textAlignment w:val="auto"/>
        <w:outlineLvl w:val="1"/>
        <w:rPr>
          <w:rFonts w:hint="eastAsia" w:ascii="仿宋_GB2312" w:hAnsi="仿宋_GB2312" w:eastAsia="仿宋_GB2312" w:cs="仿宋_GB2312"/>
        </w:rPr>
      </w:pPr>
      <w:r>
        <w:rPr>
          <w:rFonts w:hint="eastAsia" w:ascii="仿宋_GB2312" w:hAnsi="仿宋_GB2312" w:eastAsia="仿宋_GB2312" w:cs="仿宋_GB2312"/>
        </w:rPr>
        <w:t>2.  甲烷（CH</w:t>
      </w:r>
      <w:r>
        <w:rPr>
          <w:rFonts w:hint="eastAsia" w:ascii="仿宋_GB2312" w:hAnsi="仿宋_GB2312" w:eastAsia="仿宋_GB2312" w:cs="仿宋_GB2312"/>
          <w:position w:val="-3"/>
          <w:vertAlign w:val="subscript"/>
        </w:rPr>
        <w:t>4</w:t>
      </w:r>
      <w:r>
        <w:rPr>
          <w:rFonts w:hint="eastAsia" w:ascii="仿宋_GB2312" w:hAnsi="仿宋_GB2312" w:eastAsia="仿宋_GB2312" w:cs="仿宋_GB2312"/>
        </w:rPr>
        <w:t>）</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甲烷是天然气和沼气的主要成分，既是易燃易爆气体，也是一种单纯性窒息气体。甲烷的来源主要为有机物分解和天然气管道泄漏。甲烷的爆炸极限为5.0%～15.0%。当空气中甲烷浓度达25%～30%时，可引起头痛、头晕、乏力、注意力不集中、呼吸和心跳加速等，若不及时远离，可致人窒息死亡。甲烷燃烧产物为一氧化碳和二氧化碳，也可引起中毒或缺氧。</w:t>
      </w:r>
    </w:p>
    <w:p>
      <w:pPr>
        <w:pStyle w:val="10"/>
        <w:pageBreakBefore w:val="0"/>
        <w:widowControl w:val="0"/>
        <w:kinsoku/>
        <w:wordWrap/>
        <w:overflowPunct/>
        <w:topLinePunct w:val="0"/>
        <w:autoSpaceDE/>
        <w:autoSpaceDN/>
        <w:bidi w:val="0"/>
        <w:snapToGrid/>
        <w:spacing w:line="560" w:lineRule="exact"/>
        <w:textAlignment w:val="auto"/>
        <w:outlineLvl w:val="1"/>
        <w:rPr>
          <w:rFonts w:hint="eastAsia" w:ascii="仿宋_GB2312" w:hAnsi="仿宋_GB2312" w:eastAsia="仿宋_GB2312" w:cs="仿宋_GB2312"/>
        </w:rPr>
      </w:pPr>
      <w:r>
        <w:rPr>
          <w:rFonts w:hint="eastAsia" w:ascii="仿宋_GB2312" w:hAnsi="仿宋_GB2312" w:eastAsia="仿宋_GB2312" w:cs="仿宋_GB2312"/>
        </w:rPr>
        <w:t>3.  氮气（N</w:t>
      </w:r>
      <w:r>
        <w:rPr>
          <w:rFonts w:hint="eastAsia" w:ascii="仿宋_GB2312" w:hAnsi="仿宋_GB2312" w:eastAsia="仿宋_GB2312" w:cs="仿宋_GB2312"/>
          <w:position w:val="-3"/>
          <w:vertAlign w:val="subscript"/>
        </w:rPr>
        <w:t>2</w:t>
      </w:r>
      <w:r>
        <w:rPr>
          <w:rFonts w:hint="eastAsia" w:ascii="仿宋_GB2312" w:hAnsi="仿宋_GB2312" w:eastAsia="仿宋_GB2312" w:cs="仿宋_GB2312"/>
        </w:rPr>
        <w:t>）</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氮气是空气的主要成分，其化学性质不活泼，常用作保护气防止物体暴露于空气中被氧化，或用作工业上的清洗剂置换设备中的危险有害气体等。常压下氮气无毒，当作业环境中氮气浓度增高，可引起单纯性缺氧窒息。吸入高浓度氮气后，人会迅速昏迷、因呼吸和心跳停止而死亡。</w:t>
      </w:r>
    </w:p>
    <w:p>
      <w:pPr>
        <w:pStyle w:val="10"/>
        <w:pageBreakBefore w:val="0"/>
        <w:widowControl w:val="0"/>
        <w:kinsoku/>
        <w:wordWrap/>
        <w:overflowPunct/>
        <w:topLinePunct w:val="0"/>
        <w:autoSpaceDE/>
        <w:autoSpaceDN/>
        <w:bidi w:val="0"/>
        <w:snapToGrid/>
        <w:spacing w:line="560" w:lineRule="exact"/>
        <w:textAlignment w:val="auto"/>
        <w:outlineLvl w:val="1"/>
        <w:rPr>
          <w:rFonts w:hint="eastAsia" w:ascii="仿宋_GB2312" w:hAnsi="仿宋_GB2312" w:eastAsia="仿宋_GB2312" w:cs="仿宋_GB2312"/>
        </w:rPr>
      </w:pPr>
      <w:r>
        <w:rPr>
          <w:rFonts w:hint="eastAsia" w:ascii="仿宋_GB2312" w:hAnsi="仿宋_GB2312" w:eastAsia="仿宋_GB2312" w:cs="仿宋_GB2312"/>
        </w:rPr>
        <w:t>4.  氩气（Ar）</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氩气是一种无色无味的惰性气体，作为保护气被广泛用于工业生产领域，通常用于焊接过程中防止焊接件被空气氧化或氮化。常压下氩气无毒，当作业环境中氩气浓度增高，会引发人单纯性缺氧窒息。氩气含量达到75%以上时可在数分钟内导致人员窒息死亡。液态氩可致皮肤冻伤，眼部接触可引起炎症。</w:t>
      </w:r>
    </w:p>
    <w:p>
      <w:pPr>
        <w:pStyle w:val="9"/>
        <w:pageBreakBefore w:val="0"/>
        <w:widowControl w:val="0"/>
        <w:kinsoku/>
        <w:wordWrap/>
        <w:overflowPunct/>
        <w:topLinePunct w:val="0"/>
        <w:autoSpaceDE/>
        <w:autoSpaceDN/>
        <w:bidi w:val="0"/>
        <w:snapToGrid/>
        <w:spacing w:line="560" w:lineRule="exact"/>
        <w:textAlignment w:val="auto"/>
        <w:outlineLvl w:val="1"/>
        <w:rPr>
          <w:rFonts w:hint="eastAsia" w:ascii="楷体" w:hAnsi="楷体" w:eastAsia="楷体" w:cs="楷体"/>
        </w:rPr>
      </w:pPr>
      <w:r>
        <w:rPr>
          <w:rFonts w:hint="eastAsia" w:ascii="楷体" w:hAnsi="楷体" w:eastAsia="楷体" w:cs="楷体"/>
        </w:rPr>
        <w:t>（三）燃爆</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有限空间中积聚的易燃易爆物质与空气混合形成爆炸性混合物，若混合物浓度达到其爆炸极限，遇明火、化学反应放热、撞击或摩擦火花、电气火花、静电火花等点火源时，就会发生燃爆事故。</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有限空间作业中常见的易燃易爆物质有甲烷、氢气等可燃性气体以及铝粉、玉米淀粉、煤粉等可燃性粉尘。</w:t>
      </w:r>
    </w:p>
    <w:p>
      <w:pPr>
        <w:pStyle w:val="9"/>
        <w:pageBreakBefore w:val="0"/>
        <w:widowControl w:val="0"/>
        <w:kinsoku/>
        <w:wordWrap/>
        <w:overflowPunct/>
        <w:topLinePunct w:val="0"/>
        <w:autoSpaceDE/>
        <w:autoSpaceDN/>
        <w:bidi w:val="0"/>
        <w:snapToGrid/>
        <w:spacing w:line="560" w:lineRule="exact"/>
        <w:textAlignment w:val="auto"/>
        <w:outlineLvl w:val="1"/>
        <w:rPr>
          <w:rFonts w:hint="eastAsia" w:ascii="楷体" w:hAnsi="楷体" w:eastAsia="楷体" w:cs="楷体"/>
        </w:rPr>
      </w:pPr>
      <w:r>
        <w:rPr>
          <w:rFonts w:hint="eastAsia" w:ascii="楷体" w:hAnsi="楷体" w:eastAsia="楷体" w:cs="楷体"/>
        </w:rPr>
        <w:t>（四）其他安全风险</w:t>
      </w:r>
    </w:p>
    <w:p>
      <w:pPr>
        <w:pageBreakBefore w:val="0"/>
        <w:widowControl w:val="0"/>
        <w:kinsoku/>
        <w:wordWrap/>
        <w:overflowPunct/>
        <w:topLinePunct w:val="0"/>
        <w:autoSpaceDE/>
        <w:autoSpaceDN/>
        <w:bidi w:val="0"/>
        <w:adjustRightInd w:val="0"/>
        <w:snapToGrid/>
        <w:spacing w:line="560" w:lineRule="exact"/>
        <w:ind w:firstLine="672" w:firstLineChars="200"/>
        <w:textAlignment w:val="auto"/>
        <w:rPr>
          <w:rFonts w:hint="eastAsia" w:ascii="仿宋_GB2312" w:hAnsi="仿宋_GB2312" w:eastAsia="仿宋_GB2312" w:cs="仿宋_GB2312"/>
          <w:spacing w:val="8"/>
          <w:szCs w:val="22"/>
        </w:rPr>
      </w:pPr>
      <w:r>
        <w:rPr>
          <w:rFonts w:hint="eastAsia" w:ascii="仿宋_GB2312" w:hAnsi="仿宋_GB2312" w:eastAsia="仿宋_GB2312" w:cs="仿宋_GB2312"/>
          <w:spacing w:val="8"/>
          <w:szCs w:val="22"/>
        </w:rPr>
        <w:t>有限空间内还可能存在淹溺、高处坠落、触电、物体打击、机械伤害、灼烫、坍塌、掩埋和高温高湿等安全风险。</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1.  淹溺</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作业过程中突然涌入大量液体，以及作业人员因发生中毒、窒息、受伤或不慎跌入液体中，都可能造成人员淹溺。发生淹溺后人体常见的表现有：面部和全身青紫、烦躁不安、抽筋、呼吸困难、吐带血的泡沫痰、昏迷、意识丧失和呼吸心搏停止。</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2.  高处坠落</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许多有限空间进出口距底部超过2m，一旦人员未佩戴有效坠落防护用品，在进出有限空间或作业时有发生高处坠落的风险。高处坠落可能导致四肢、躯干、腰椎等部位受冲击而造成重伤致残，或是因脑部或内脏损伤而致命。</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3.  触电</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作业过程中使用电钻、电焊等设备可能存在触电的危险。当通过人体的电流超过一定值（感知电流）时，人就会产生痉挛，不能自主脱离带电体；当通过人体的电流超过50mA，就会使人呼吸和心跳停止而死亡。</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4.  物体打击</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有限空间外部或上方物体掉入有限空间内，以及有限空间内部物体掉落，可能对作业人员造成人身伤害。</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5.  机械伤害</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有限空间作业过程中可能涉及机械运行，如未实施有效关停，人员可能因机械的意外启动而遭受伤害，造成外伤性骨折、出血、休克、昏迷，严重的会直接导致死亡。</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6.  灼烫</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有限空间内存在的燃烧体、高温物体、化学品（酸、碱及酸碱性物质等）、强光、放射性物质等因素可能造成人员烧伤、烫伤和灼伤。</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7.  坍塌</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有限空间在外力或重力作用下，可能因超过自身强度极限或因结构稳定性破坏而引发坍塌事故。人员被坍塌的结构体掩埋后，会因压迫导致伤亡。</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8.  掩埋</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当人员进入粮仓、料仓等有限空间后，可能因人员体重或所携带工具重量导致物料流动而掩埋人员，或者人员进入时未有效隔离，导致物料的意外注入而将人员掩埋。人员被物料掩埋后，会因呼吸系统阻塞而窒息死亡，或因压迫、碾压而导致死亡。</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9.  高温高湿</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作业人员长时间在温度过高、湿度很大的环境中作业，可能会导致人体机能严重下降。高温高湿环境可使作业人员感到热、渴、烦、头晕、心慌、无力、疲倦等不适感，甚至导致人员发生热衰竭、失去知觉或死亡。</w:t>
      </w:r>
    </w:p>
    <w:p>
      <w:pPr>
        <w:pStyle w:val="8"/>
        <w:pageBreakBefore w:val="0"/>
        <w:widowControl w:val="0"/>
        <w:kinsoku/>
        <w:wordWrap/>
        <w:overflowPunct/>
        <w:topLinePunct w:val="0"/>
        <w:autoSpaceDE/>
        <w:autoSpaceDN/>
        <w:bidi w:val="0"/>
        <w:snapToGrid/>
        <w:spacing w:line="560" w:lineRule="exact"/>
        <w:textAlignment w:val="auto"/>
        <w:outlineLvl w:val="0"/>
        <w:rPr>
          <w:rFonts w:hint="eastAsia"/>
        </w:rPr>
      </w:pPr>
      <w:r>
        <w:rPr>
          <w:rFonts w:hint="eastAsia"/>
        </w:rPr>
        <w:t>二、有限空间作业主要安全风险辨识</w:t>
      </w:r>
    </w:p>
    <w:p>
      <w:pPr>
        <w:pStyle w:val="9"/>
        <w:pageBreakBefore w:val="0"/>
        <w:widowControl w:val="0"/>
        <w:kinsoku/>
        <w:wordWrap/>
        <w:overflowPunct/>
        <w:topLinePunct w:val="0"/>
        <w:autoSpaceDE/>
        <w:autoSpaceDN/>
        <w:bidi w:val="0"/>
        <w:snapToGrid/>
        <w:spacing w:line="560" w:lineRule="exact"/>
        <w:textAlignment w:val="auto"/>
        <w:outlineLvl w:val="1"/>
        <w:rPr>
          <w:rFonts w:hint="eastAsia" w:ascii="楷体" w:hAnsi="楷体" w:eastAsia="楷体" w:cs="楷体"/>
        </w:rPr>
      </w:pPr>
      <w:r>
        <w:rPr>
          <w:rFonts w:hint="eastAsia" w:ascii="楷体" w:hAnsi="楷体" w:eastAsia="楷体" w:cs="楷体"/>
        </w:rPr>
        <w:t>（一）气体危害辨识方法</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对于中毒、缺氧窒息、气体燃爆风险，主要从有限空间内部存在或产生、作业时产生和外部环境影响3个方面进行辨识。</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1.  内部存在或产生的风险</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（1）有限空间内是否储存、使用、残留有毒有害气体以及可能产生有毒有害气体的物质，导致中毒。</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（2）有限空间是否长期封闭、通风不良，或内部发生生物有氧呼吸等耗氧性化学反应，或存在单纯性窒息气体，导致缺氧。</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（3）</w:t>
      </w:r>
      <w:r>
        <w:rPr>
          <w:rFonts w:hint="eastAsia" w:ascii="仿宋_GB2312" w:hAnsi="仿宋_GB2312" w:eastAsia="仿宋_GB2312" w:cs="仿宋_GB2312"/>
          <w:spacing w:val="4"/>
          <w:szCs w:val="22"/>
        </w:rPr>
        <w:t>有限空间内是否储存、残留或产生易燃易爆气体，导致燃</w:t>
      </w:r>
      <w:r>
        <w:rPr>
          <w:rFonts w:hint="eastAsia" w:ascii="仿宋_GB2312" w:hAnsi="仿宋_GB2312" w:eastAsia="仿宋_GB2312" w:cs="仿宋_GB2312"/>
          <w:szCs w:val="22"/>
        </w:rPr>
        <w:t>爆。</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2.  作业时产生的风险</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（1）作业时使用的物料是否会挥发或产生有毒有害、易燃易爆气体，导致中毒或燃爆。</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（2）作业时是否会大量消耗氧气，或引入单纯性窒息气体，导致缺氧。</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（3）作业时是否会产生明火或潜在的点火源，增加燃爆风险。</w:t>
      </w:r>
    </w:p>
    <w:p>
      <w:pPr>
        <w:pStyle w:val="10"/>
        <w:pageBreakBefore w:val="0"/>
        <w:widowControl w:val="0"/>
        <w:kinsoku/>
        <w:wordWrap/>
        <w:overflowPunct/>
        <w:topLinePunct w:val="0"/>
        <w:autoSpaceDE/>
        <w:autoSpaceDN/>
        <w:bidi w:val="0"/>
        <w:snapToGrid/>
        <w:spacing w:line="560" w:lineRule="exact"/>
        <w:textAlignment w:val="auto"/>
        <w:outlineLvl w:val="2"/>
        <w:rPr>
          <w:rFonts w:hint="eastAsia" w:ascii="仿宋_GB2312" w:hAnsi="仿宋_GB2312" w:eastAsia="仿宋_GB2312" w:cs="仿宋_GB2312"/>
        </w:rPr>
      </w:pPr>
      <w:r>
        <w:rPr>
          <w:rFonts w:hint="eastAsia" w:ascii="仿宋_GB2312" w:hAnsi="仿宋_GB2312" w:eastAsia="仿宋_GB2312" w:cs="仿宋_GB2312"/>
        </w:rPr>
        <w:t>3.  外部环境影响产生的风险</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与有限空间相连或接近的管道内单纯性窒息气体、有毒有害气体、易燃易爆气体扩散、泄漏到有限空间内，导致缺氧、中毒、燃爆等风险。</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对于中毒、缺氧窒息和气体燃爆风险，使用气体检测报警仪进行针对性的检测是最直接有效的方法。检测后，各类气体浓度评判标准如下：</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（1）有毒气体浓度应低于GBZ 2.1—2019《工作场所有害因素职业接触限值第1部分：化学有害因素》规定的最高容许浓度或短时间接触容许浓度，无上述两种浓度值的，应低于时间加权平均容许浓度。</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（2）氧气含量（体积分数）应在19.5%～23.5%。</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（3）可燃气体浓度应低于爆炸下限的10%。</w:t>
      </w:r>
    </w:p>
    <w:p>
      <w:pPr>
        <w:pStyle w:val="9"/>
        <w:pageBreakBefore w:val="0"/>
        <w:widowControl w:val="0"/>
        <w:kinsoku/>
        <w:wordWrap/>
        <w:overflowPunct/>
        <w:topLinePunct w:val="0"/>
        <w:autoSpaceDE/>
        <w:autoSpaceDN/>
        <w:bidi w:val="0"/>
        <w:snapToGrid/>
        <w:spacing w:line="560" w:lineRule="exact"/>
        <w:textAlignment w:val="auto"/>
        <w:outlineLvl w:val="1"/>
        <w:rPr>
          <w:rFonts w:hint="eastAsia" w:ascii="楷体" w:hAnsi="楷体" w:eastAsia="楷体" w:cs="楷体"/>
        </w:rPr>
      </w:pPr>
      <w:r>
        <w:rPr>
          <w:rFonts w:hint="eastAsia" w:ascii="楷体" w:hAnsi="楷体" w:eastAsia="楷体" w:cs="楷体"/>
        </w:rPr>
        <w:t>（二）其他安全风险辨识方法</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（1）对淹溺风险，应重点考虑有限空间内是否存在较深的积水，作业期间是否可能遇到强降雨等极端天气导致水位上涨。</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（2）对高处坠落风险，应重点考虑有限空间深度是否超过2m，是否在其内进行高于基准面2m的作业。</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（3）对触电风险，应重点考虑有限空间内使用的电气设备、电源线路是否存在老化破损。</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（4）对物体打击风险，应重点考虑有限空间作业是否需要进行工具、物料传送。</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（5）对机械伤害，应重点考虑有限空间内的机械设备是否可能意外启动或防护措施失效。</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（6）对灼烫风险，应重点考虑有限空间内是否有高温物体或酸碱类化学品、放射性物质等。</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（7）对坍塌风险，应重点考虑处于在建状态的有限空间边坡、护坡、支护设施是否出现松动，或有限空间周边是否有严重影响其结构安全的建（构）筑物等。</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（8）对掩埋风险，应重点考虑有限空间内是否存在谷物、泥沙等可流动固体。</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（9）对高温高湿风险，应重点考虑有限空间内是否温度过高、湿度过大等。</w:t>
      </w:r>
    </w:p>
    <w:p>
      <w:pPr>
        <w:pStyle w:val="8"/>
        <w:pageBreakBefore w:val="0"/>
        <w:widowControl w:val="0"/>
        <w:kinsoku/>
        <w:wordWrap/>
        <w:overflowPunct/>
        <w:topLinePunct w:val="0"/>
        <w:autoSpaceDE/>
        <w:autoSpaceDN/>
        <w:bidi w:val="0"/>
        <w:snapToGrid/>
        <w:spacing w:line="560" w:lineRule="exact"/>
        <w:textAlignment w:val="auto"/>
        <w:outlineLvl w:val="0"/>
        <w:rPr>
          <w:rFonts w:hint="eastAsia"/>
        </w:rPr>
      </w:pPr>
      <w:r>
        <w:rPr>
          <w:rFonts w:hint="eastAsia"/>
        </w:rPr>
        <w:t>三、常见有限空间作业主要安全风险辨识示例</w:t>
      </w:r>
    </w:p>
    <w:p>
      <w:pPr>
        <w:pageBreakBefore w:val="0"/>
        <w:widowControl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szCs w:val="22"/>
        </w:rPr>
      </w:pPr>
      <w:r>
        <w:rPr>
          <w:rFonts w:hint="eastAsia" w:ascii="仿宋_GB2312" w:hAnsi="仿宋_GB2312" w:eastAsia="仿宋_GB2312" w:cs="仿宋_GB2312"/>
          <w:szCs w:val="22"/>
        </w:rPr>
        <w:t>常见有限空间作业主要安全风险辨识示例见附表</w:t>
      </w:r>
      <w:r>
        <w:rPr>
          <w:rFonts w:hint="eastAsia" w:ascii="仿宋_GB2312" w:hAnsi="仿宋_GB2312" w:eastAsia="仿宋_GB2312" w:cs="仿宋_GB2312"/>
          <w:szCs w:val="22"/>
          <w:lang w:val="en-US" w:eastAsia="zh-CN"/>
        </w:rPr>
        <w:t>1-</w:t>
      </w:r>
      <w:r>
        <w:rPr>
          <w:rFonts w:hint="eastAsia" w:ascii="仿宋_GB2312" w:hAnsi="仿宋_GB2312" w:eastAsia="仿宋_GB2312" w:cs="仿宋_GB2312"/>
          <w:szCs w:val="22"/>
        </w:rPr>
        <w:t>2。</w:t>
      </w:r>
    </w:p>
    <w:p>
      <w:pPr>
        <w:pStyle w:val="13"/>
        <w:rPr>
          <w:rFonts w:hint="eastAsia"/>
        </w:rPr>
      </w:pPr>
      <w:r>
        <w:rPr>
          <w:rFonts w:hint="eastAsia"/>
        </w:rPr>
        <w:t>附表</w:t>
      </w:r>
      <w:r>
        <w:rPr>
          <w:rFonts w:hint="eastAsia"/>
          <w:lang w:val="en-US" w:eastAsia="zh-CN"/>
        </w:rPr>
        <w:t>1</w:t>
      </w:r>
      <w:r>
        <w:rPr>
          <w:rFonts w:hint="cs" w:ascii="Times New Roman"/>
          <w:vertAlign w:val="superscript"/>
          <w:cs/>
        </w:rPr>
        <w:t> </w:t>
      </w:r>
      <w:r>
        <w:rPr>
          <w:rFonts w:ascii="Symbol" w:hAnsi="Symbol"/>
          <w:b/>
        </w:rPr>
        <w:t></w:t>
      </w:r>
      <w:r>
        <w:rPr>
          <w:rFonts w:hint="cs" w:ascii="Times New Roman"/>
          <w:vertAlign w:val="superscript"/>
          <w:cs/>
        </w:rPr>
        <w:t> </w:t>
      </w:r>
      <w:r>
        <w:rPr>
          <w:rFonts w:hint="eastAsia"/>
        </w:rPr>
        <w:t xml:space="preserve">2 </w:t>
      </w:r>
      <w:r>
        <w:t xml:space="preserve"> </w:t>
      </w:r>
      <w:r>
        <w:rPr>
          <w:rFonts w:hint="eastAsia"/>
        </w:rPr>
        <w:t>常见有限空间作业主要安全风险辨识示例</w:t>
      </w:r>
    </w:p>
    <w:tbl>
      <w:tblPr>
        <w:tblStyle w:val="3"/>
        <w:tblW w:w="8845"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57" w:type="dxa"/>
          <w:left w:w="68" w:type="dxa"/>
          <w:bottom w:w="57" w:type="dxa"/>
          <w:right w:w="68" w:type="dxa"/>
        </w:tblCellMar>
      </w:tblPr>
      <w:tblGrid>
        <w:gridCol w:w="1313"/>
        <w:gridCol w:w="3491"/>
        <w:gridCol w:w="4041"/>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noWrap w:val="0"/>
            <w:vAlign w:val="center"/>
          </w:tcPr>
          <w:p>
            <w:pPr>
              <w:topLinePunct w:val="0"/>
              <w:adjustRightInd w:val="0"/>
              <w:snapToGrid w:val="0"/>
              <w:jc w:val="center"/>
              <w:rPr>
                <w:rFonts w:hint="eastAsia" w:cs="宋体"/>
                <w:sz w:val="21"/>
              </w:rPr>
            </w:pPr>
            <w:r>
              <w:rPr>
                <w:rFonts w:hint="eastAsia" w:cs="宋体"/>
                <w:sz w:val="21"/>
              </w:rPr>
              <w:t>有限空间</w:t>
            </w:r>
            <w:r>
              <w:rPr>
                <w:rFonts w:cs="宋体"/>
                <w:sz w:val="21"/>
              </w:rPr>
              <w:br w:type="textWrapping"/>
            </w:r>
            <w:r>
              <w:rPr>
                <w:rFonts w:hint="eastAsia" w:cs="宋体"/>
                <w:sz w:val="21"/>
              </w:rPr>
              <w:t>种类</w:t>
            </w:r>
          </w:p>
        </w:tc>
        <w:tc>
          <w:tcPr>
            <w:tcW w:w="3491" w:type="dxa"/>
            <w:noWrap w:val="0"/>
            <w:vAlign w:val="center"/>
          </w:tcPr>
          <w:p>
            <w:pPr>
              <w:topLinePunct w:val="0"/>
              <w:adjustRightInd w:val="0"/>
              <w:snapToGrid w:val="0"/>
              <w:jc w:val="center"/>
              <w:rPr>
                <w:rFonts w:hint="eastAsia" w:cs="宋体"/>
                <w:sz w:val="21"/>
              </w:rPr>
            </w:pPr>
            <w:r>
              <w:rPr>
                <w:rFonts w:hint="eastAsia" w:cs="宋体"/>
                <w:sz w:val="21"/>
              </w:rPr>
              <w:t>有限空间</w:t>
            </w:r>
          </w:p>
        </w:tc>
        <w:tc>
          <w:tcPr>
            <w:tcW w:w="4041" w:type="dxa"/>
            <w:noWrap w:val="0"/>
            <w:vAlign w:val="center"/>
          </w:tcPr>
          <w:p>
            <w:pPr>
              <w:topLinePunct w:val="0"/>
              <w:adjustRightInd w:val="0"/>
              <w:snapToGrid w:val="0"/>
              <w:jc w:val="center"/>
              <w:rPr>
                <w:rFonts w:hint="eastAsia" w:cs="宋体"/>
                <w:sz w:val="21"/>
              </w:rPr>
            </w:pPr>
            <w:r>
              <w:rPr>
                <w:rFonts w:hint="eastAsia" w:cs="宋体"/>
                <w:sz w:val="21"/>
              </w:rPr>
              <w:t>作业可能存在的主要安全风险</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restart"/>
            <w:noWrap w:val="0"/>
            <w:vAlign w:val="center"/>
          </w:tcPr>
          <w:p>
            <w:pPr>
              <w:topLinePunct w:val="0"/>
              <w:adjustRightInd w:val="0"/>
              <w:snapToGrid w:val="0"/>
              <w:jc w:val="center"/>
              <w:rPr>
                <w:rFonts w:hint="eastAsia" w:cs="宋体"/>
                <w:sz w:val="21"/>
              </w:rPr>
            </w:pPr>
            <w:r>
              <w:rPr>
                <w:rFonts w:hint="eastAsia" w:cs="宋体"/>
                <w:sz w:val="21"/>
              </w:rPr>
              <w:t>地下有限</w:t>
            </w:r>
            <w:r>
              <w:rPr>
                <w:rFonts w:cs="宋体"/>
                <w:sz w:val="21"/>
              </w:rPr>
              <w:br w:type="textWrapping"/>
            </w:r>
            <w:r>
              <w:rPr>
                <w:rFonts w:hint="eastAsia" w:cs="宋体"/>
                <w:sz w:val="21"/>
              </w:rPr>
              <w:t>空间</w:t>
            </w:r>
          </w:p>
        </w:tc>
        <w:tc>
          <w:tcPr>
            <w:tcW w:w="3491" w:type="dxa"/>
            <w:noWrap w:val="0"/>
            <w:vAlign w:val="center"/>
          </w:tcPr>
          <w:p>
            <w:pPr>
              <w:topLinePunct w:val="0"/>
              <w:adjustRightInd w:val="0"/>
              <w:snapToGrid w:val="0"/>
              <w:ind w:firstLine="170"/>
              <w:rPr>
                <w:rFonts w:hint="eastAsia" w:cs="宋体"/>
                <w:sz w:val="21"/>
              </w:rPr>
            </w:pPr>
            <w:r>
              <w:rPr>
                <w:rFonts w:hint="eastAsia" w:cs="宋体"/>
                <w:sz w:val="21"/>
              </w:rPr>
              <w:t>废井、地坑、通信井</w:t>
            </w:r>
          </w:p>
        </w:tc>
        <w:tc>
          <w:tcPr>
            <w:tcW w:w="4041" w:type="dxa"/>
            <w:noWrap w:val="0"/>
            <w:vAlign w:val="center"/>
          </w:tcPr>
          <w:p>
            <w:pPr>
              <w:topLinePunct w:val="0"/>
              <w:adjustRightInd w:val="0"/>
              <w:snapToGrid w:val="0"/>
              <w:ind w:firstLine="170"/>
              <w:rPr>
                <w:rFonts w:hint="eastAsia" w:cs="宋体"/>
                <w:sz w:val="21"/>
              </w:rPr>
            </w:pPr>
            <w:r>
              <w:rPr>
                <w:rFonts w:hint="eastAsia" w:cs="宋体"/>
                <w:sz w:val="21"/>
              </w:rPr>
              <w:t>缺氧、高处坠落</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continue"/>
            <w:noWrap w:val="0"/>
            <w:vAlign w:val="center"/>
          </w:tcPr>
          <w:p>
            <w:pPr>
              <w:topLinePunct w:val="0"/>
              <w:adjustRightInd w:val="0"/>
              <w:snapToGrid w:val="0"/>
              <w:jc w:val="center"/>
              <w:rPr>
                <w:rFonts w:hint="eastAsia" w:cs="宋体"/>
                <w:sz w:val="21"/>
              </w:rPr>
            </w:pPr>
          </w:p>
        </w:tc>
        <w:tc>
          <w:tcPr>
            <w:tcW w:w="3491" w:type="dxa"/>
            <w:noWrap w:val="0"/>
            <w:vAlign w:val="center"/>
          </w:tcPr>
          <w:p>
            <w:pPr>
              <w:topLinePunct w:val="0"/>
              <w:adjustRightInd w:val="0"/>
              <w:snapToGrid w:val="0"/>
              <w:ind w:firstLine="170"/>
              <w:rPr>
                <w:rFonts w:hint="eastAsia" w:cs="宋体"/>
                <w:sz w:val="21"/>
              </w:rPr>
            </w:pPr>
            <w:r>
              <w:rPr>
                <w:rFonts w:hint="eastAsia" w:cs="宋体"/>
                <w:sz w:val="21"/>
              </w:rPr>
              <w:t>电力工作井（隧道）</w:t>
            </w:r>
          </w:p>
        </w:tc>
        <w:tc>
          <w:tcPr>
            <w:tcW w:w="4041" w:type="dxa"/>
            <w:noWrap w:val="0"/>
            <w:vAlign w:val="center"/>
          </w:tcPr>
          <w:p>
            <w:pPr>
              <w:topLinePunct w:val="0"/>
              <w:adjustRightInd w:val="0"/>
              <w:snapToGrid w:val="0"/>
              <w:ind w:firstLine="170"/>
              <w:rPr>
                <w:rFonts w:hint="eastAsia" w:cs="宋体"/>
                <w:sz w:val="21"/>
              </w:rPr>
            </w:pPr>
            <w:r>
              <w:rPr>
                <w:rFonts w:hint="eastAsia" w:cs="宋体"/>
                <w:sz w:val="21"/>
              </w:rPr>
              <w:t>缺氧、高处坠落、触电</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continue"/>
            <w:noWrap w:val="0"/>
            <w:vAlign w:val="center"/>
          </w:tcPr>
          <w:p>
            <w:pPr>
              <w:topLinePunct w:val="0"/>
              <w:adjustRightInd w:val="0"/>
              <w:snapToGrid w:val="0"/>
              <w:jc w:val="center"/>
              <w:rPr>
                <w:rFonts w:hint="eastAsia" w:cs="宋体"/>
                <w:sz w:val="21"/>
              </w:rPr>
            </w:pPr>
          </w:p>
        </w:tc>
        <w:tc>
          <w:tcPr>
            <w:tcW w:w="3491" w:type="dxa"/>
            <w:noWrap w:val="0"/>
            <w:vAlign w:val="center"/>
          </w:tcPr>
          <w:p>
            <w:pPr>
              <w:topLinePunct w:val="0"/>
              <w:adjustRightInd w:val="0"/>
              <w:snapToGrid w:val="0"/>
              <w:ind w:firstLine="170"/>
              <w:rPr>
                <w:rFonts w:hint="eastAsia" w:cs="宋体"/>
                <w:sz w:val="21"/>
              </w:rPr>
            </w:pPr>
            <w:r>
              <w:rPr>
                <w:rFonts w:hint="eastAsia" w:cs="宋体"/>
                <w:sz w:val="21"/>
              </w:rPr>
              <w:t>热力井（小室）</w:t>
            </w:r>
          </w:p>
        </w:tc>
        <w:tc>
          <w:tcPr>
            <w:tcW w:w="4041" w:type="dxa"/>
            <w:noWrap w:val="0"/>
            <w:vAlign w:val="center"/>
          </w:tcPr>
          <w:p>
            <w:pPr>
              <w:topLinePunct w:val="0"/>
              <w:adjustRightInd w:val="0"/>
              <w:snapToGrid w:val="0"/>
              <w:ind w:firstLine="170"/>
              <w:rPr>
                <w:rFonts w:hint="eastAsia" w:cs="宋体"/>
                <w:sz w:val="21"/>
              </w:rPr>
            </w:pPr>
            <w:r>
              <w:rPr>
                <w:rFonts w:hint="eastAsia" w:cs="宋体"/>
                <w:sz w:val="21"/>
              </w:rPr>
              <w:t>缺氧、高处坠落、高温高湿、灼烫</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continue"/>
            <w:noWrap w:val="0"/>
            <w:vAlign w:val="center"/>
          </w:tcPr>
          <w:p>
            <w:pPr>
              <w:topLinePunct w:val="0"/>
              <w:adjustRightInd w:val="0"/>
              <w:snapToGrid w:val="0"/>
              <w:jc w:val="center"/>
              <w:rPr>
                <w:rFonts w:hint="eastAsia" w:cs="宋体"/>
                <w:sz w:val="21"/>
              </w:rPr>
            </w:pPr>
          </w:p>
        </w:tc>
        <w:tc>
          <w:tcPr>
            <w:tcW w:w="3491" w:type="dxa"/>
            <w:noWrap w:val="0"/>
            <w:vAlign w:val="center"/>
          </w:tcPr>
          <w:p>
            <w:pPr>
              <w:topLinePunct w:val="0"/>
              <w:adjustRightInd w:val="0"/>
              <w:snapToGrid w:val="0"/>
              <w:ind w:firstLine="170"/>
              <w:rPr>
                <w:rFonts w:hint="eastAsia" w:cs="宋体"/>
                <w:sz w:val="21"/>
              </w:rPr>
            </w:pPr>
            <w:r>
              <w:rPr>
                <w:rFonts w:hint="eastAsia" w:cs="宋体"/>
                <w:sz w:val="21"/>
              </w:rPr>
              <w:t>深基坑</w:t>
            </w:r>
          </w:p>
        </w:tc>
        <w:tc>
          <w:tcPr>
            <w:tcW w:w="4041" w:type="dxa"/>
            <w:noWrap w:val="0"/>
            <w:vAlign w:val="center"/>
          </w:tcPr>
          <w:p>
            <w:pPr>
              <w:topLinePunct w:val="0"/>
              <w:adjustRightInd w:val="0"/>
              <w:snapToGrid w:val="0"/>
              <w:ind w:firstLine="170"/>
              <w:rPr>
                <w:rFonts w:hint="eastAsia" w:cs="宋体"/>
                <w:sz w:val="21"/>
              </w:rPr>
            </w:pPr>
            <w:r>
              <w:rPr>
                <w:rFonts w:hint="eastAsia" w:cs="宋体"/>
                <w:sz w:val="21"/>
              </w:rPr>
              <w:t>缺氧、高处坠落、坍塌</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continue"/>
            <w:noWrap w:val="0"/>
            <w:vAlign w:val="center"/>
          </w:tcPr>
          <w:p>
            <w:pPr>
              <w:topLinePunct w:val="0"/>
              <w:adjustRightInd w:val="0"/>
              <w:snapToGrid w:val="0"/>
              <w:jc w:val="center"/>
              <w:rPr>
                <w:rFonts w:hint="eastAsia" w:cs="宋体"/>
                <w:sz w:val="21"/>
              </w:rPr>
            </w:pPr>
          </w:p>
        </w:tc>
        <w:tc>
          <w:tcPr>
            <w:tcW w:w="3491" w:type="dxa"/>
            <w:noWrap w:val="0"/>
            <w:vAlign w:val="center"/>
          </w:tcPr>
          <w:p>
            <w:pPr>
              <w:topLinePunct w:val="0"/>
              <w:adjustRightInd w:val="0"/>
              <w:snapToGrid w:val="0"/>
              <w:ind w:firstLine="170"/>
              <w:rPr>
                <w:rFonts w:hint="eastAsia" w:cs="宋体"/>
                <w:sz w:val="21"/>
              </w:rPr>
            </w:pPr>
            <w:r>
              <w:rPr>
                <w:rFonts w:hint="eastAsia"/>
                <w:sz w:val="21"/>
              </w:rPr>
              <w:t>污水井、污水处理池、沼气池、化粪池、下水道</w:t>
            </w:r>
          </w:p>
        </w:tc>
        <w:tc>
          <w:tcPr>
            <w:tcW w:w="4041" w:type="dxa"/>
            <w:noWrap w:val="0"/>
            <w:vAlign w:val="center"/>
          </w:tcPr>
          <w:p>
            <w:pPr>
              <w:topLinePunct w:val="0"/>
              <w:adjustRightInd w:val="0"/>
              <w:snapToGrid w:val="0"/>
              <w:ind w:firstLine="170"/>
              <w:rPr>
                <w:rFonts w:hint="eastAsia" w:cs="宋体"/>
                <w:sz w:val="21"/>
              </w:rPr>
            </w:pPr>
            <w:r>
              <w:rPr>
                <w:rFonts w:hint="eastAsia"/>
                <w:sz w:val="21"/>
              </w:rPr>
              <w:t>硫化氢中毒、缺氧、可燃性气体爆炸、高处坠落、淹溺</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restart"/>
            <w:noWrap w:val="0"/>
            <w:vAlign w:val="center"/>
          </w:tcPr>
          <w:p>
            <w:pPr>
              <w:topLinePunct w:val="0"/>
              <w:adjustRightInd w:val="0"/>
              <w:snapToGrid w:val="0"/>
              <w:jc w:val="center"/>
              <w:rPr>
                <w:rFonts w:hint="eastAsia" w:cs="宋体"/>
                <w:sz w:val="21"/>
              </w:rPr>
            </w:pPr>
            <w:r>
              <w:rPr>
                <w:rFonts w:hint="eastAsia" w:cs="宋体"/>
                <w:sz w:val="21"/>
              </w:rPr>
              <w:t>地上有限</w:t>
            </w:r>
            <w:r>
              <w:rPr>
                <w:rFonts w:cs="宋体"/>
                <w:sz w:val="21"/>
              </w:rPr>
              <w:br w:type="textWrapping"/>
            </w:r>
            <w:r>
              <w:rPr>
                <w:rFonts w:hint="eastAsia" w:cs="宋体"/>
                <w:sz w:val="21"/>
              </w:rPr>
              <w:t>空间</w:t>
            </w:r>
          </w:p>
        </w:tc>
        <w:tc>
          <w:tcPr>
            <w:tcW w:w="3491" w:type="dxa"/>
            <w:noWrap w:val="0"/>
            <w:vAlign w:val="center"/>
          </w:tcPr>
          <w:p>
            <w:pPr>
              <w:topLinePunct w:val="0"/>
              <w:adjustRightInd w:val="0"/>
              <w:snapToGrid w:val="0"/>
              <w:ind w:firstLine="170"/>
              <w:rPr>
                <w:rFonts w:hint="eastAsia" w:cs="宋体"/>
                <w:sz w:val="21"/>
              </w:rPr>
            </w:pPr>
            <w:r>
              <w:rPr>
                <w:rFonts w:hint="eastAsia" w:cs="宋体"/>
                <w:sz w:val="21"/>
              </w:rPr>
              <w:t>煤粉仓、原煤仓、粉煤灰仓</w:t>
            </w:r>
          </w:p>
        </w:tc>
        <w:tc>
          <w:tcPr>
            <w:tcW w:w="4041" w:type="dxa"/>
            <w:noWrap w:val="0"/>
            <w:vAlign w:val="center"/>
          </w:tcPr>
          <w:p>
            <w:pPr>
              <w:topLinePunct w:val="0"/>
              <w:adjustRightInd w:val="0"/>
              <w:snapToGrid w:val="0"/>
              <w:ind w:firstLine="170"/>
              <w:rPr>
                <w:rFonts w:hint="eastAsia" w:cs="宋体"/>
                <w:sz w:val="21"/>
              </w:rPr>
            </w:pPr>
            <w:r>
              <w:rPr>
                <w:rFonts w:hint="eastAsia" w:cs="宋体"/>
                <w:sz w:val="21"/>
              </w:rPr>
              <w:t>缺氧、一氧化碳中毒、可燃性粉尘爆炸、高处坠落、掩埋</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continue"/>
            <w:noWrap w:val="0"/>
            <w:vAlign w:val="center"/>
          </w:tcPr>
          <w:p>
            <w:pPr>
              <w:topLinePunct w:val="0"/>
              <w:adjustRightInd w:val="0"/>
              <w:snapToGrid w:val="0"/>
              <w:jc w:val="center"/>
              <w:rPr>
                <w:rFonts w:hint="eastAsia" w:cs="宋体"/>
                <w:sz w:val="21"/>
              </w:rPr>
            </w:pPr>
          </w:p>
        </w:tc>
        <w:tc>
          <w:tcPr>
            <w:tcW w:w="3491" w:type="dxa"/>
            <w:noWrap w:val="0"/>
            <w:vAlign w:val="center"/>
          </w:tcPr>
          <w:p>
            <w:pPr>
              <w:topLinePunct w:val="0"/>
              <w:adjustRightInd w:val="0"/>
              <w:snapToGrid w:val="0"/>
              <w:ind w:firstLine="170"/>
              <w:rPr>
                <w:rFonts w:hint="eastAsia" w:cs="宋体"/>
                <w:sz w:val="21"/>
              </w:rPr>
            </w:pPr>
            <w:r>
              <w:rPr>
                <w:rFonts w:hint="eastAsia" w:cs="宋体"/>
                <w:sz w:val="21"/>
              </w:rPr>
              <w:t>六氟化硫变配电装置室</w:t>
            </w:r>
          </w:p>
        </w:tc>
        <w:tc>
          <w:tcPr>
            <w:tcW w:w="4041" w:type="dxa"/>
            <w:noWrap w:val="0"/>
            <w:vAlign w:val="center"/>
          </w:tcPr>
          <w:p>
            <w:pPr>
              <w:topLinePunct w:val="0"/>
              <w:adjustRightInd w:val="0"/>
              <w:snapToGrid w:val="0"/>
              <w:ind w:firstLine="170"/>
              <w:rPr>
                <w:rFonts w:hint="eastAsia" w:cs="宋体"/>
                <w:sz w:val="21"/>
              </w:rPr>
            </w:pPr>
            <w:r>
              <w:rPr>
                <w:rFonts w:hint="eastAsia" w:cs="宋体"/>
                <w:sz w:val="21"/>
              </w:rPr>
              <w:t>六氟化硫变中毒、缺氧、触电、高处坠落</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continue"/>
            <w:noWrap w:val="0"/>
            <w:vAlign w:val="center"/>
          </w:tcPr>
          <w:p>
            <w:pPr>
              <w:topLinePunct w:val="0"/>
              <w:adjustRightInd w:val="0"/>
              <w:snapToGrid w:val="0"/>
              <w:jc w:val="center"/>
              <w:rPr>
                <w:rFonts w:hint="eastAsia" w:cs="宋体"/>
                <w:sz w:val="21"/>
              </w:rPr>
            </w:pPr>
          </w:p>
        </w:tc>
        <w:tc>
          <w:tcPr>
            <w:tcW w:w="3491" w:type="dxa"/>
            <w:noWrap w:val="0"/>
            <w:vAlign w:val="center"/>
          </w:tcPr>
          <w:p>
            <w:pPr>
              <w:topLinePunct w:val="0"/>
              <w:adjustRightInd w:val="0"/>
              <w:snapToGrid w:val="0"/>
              <w:ind w:firstLine="170"/>
              <w:rPr>
                <w:rFonts w:hint="eastAsia" w:cs="宋体"/>
                <w:sz w:val="21"/>
              </w:rPr>
            </w:pPr>
            <w:r>
              <w:rPr>
                <w:rFonts w:hint="eastAsia" w:cs="宋体"/>
                <w:sz w:val="21"/>
              </w:rPr>
              <w:t>料仓</w:t>
            </w:r>
          </w:p>
        </w:tc>
        <w:tc>
          <w:tcPr>
            <w:tcW w:w="4041" w:type="dxa"/>
            <w:noWrap w:val="0"/>
            <w:vAlign w:val="center"/>
          </w:tcPr>
          <w:p>
            <w:pPr>
              <w:topLinePunct w:val="0"/>
              <w:adjustRightInd w:val="0"/>
              <w:snapToGrid w:val="0"/>
              <w:ind w:firstLine="170"/>
              <w:rPr>
                <w:rFonts w:hint="eastAsia" w:cs="宋体"/>
                <w:sz w:val="21"/>
              </w:rPr>
            </w:pPr>
            <w:r>
              <w:rPr>
                <w:rFonts w:hint="eastAsia" w:cs="宋体"/>
                <w:sz w:val="21"/>
              </w:rPr>
              <w:t>缺氧、可燃性粉尘爆炸、高处坠落、掩埋</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restart"/>
            <w:noWrap w:val="0"/>
            <w:vAlign w:val="center"/>
          </w:tcPr>
          <w:p>
            <w:pPr>
              <w:topLinePunct w:val="0"/>
              <w:adjustRightInd w:val="0"/>
              <w:snapToGrid w:val="0"/>
              <w:jc w:val="center"/>
              <w:rPr>
                <w:rFonts w:hint="eastAsia" w:cs="宋体"/>
                <w:sz w:val="21"/>
              </w:rPr>
            </w:pPr>
            <w:r>
              <w:rPr>
                <w:rFonts w:hint="eastAsia" w:cs="宋体"/>
                <w:sz w:val="21"/>
              </w:rPr>
              <w:t>密闭设备</w:t>
            </w:r>
          </w:p>
        </w:tc>
        <w:tc>
          <w:tcPr>
            <w:tcW w:w="3491" w:type="dxa"/>
            <w:noWrap w:val="0"/>
            <w:vAlign w:val="center"/>
          </w:tcPr>
          <w:p>
            <w:pPr>
              <w:topLinePunct w:val="0"/>
              <w:adjustRightInd w:val="0"/>
              <w:snapToGrid w:val="0"/>
              <w:ind w:firstLine="170"/>
              <w:rPr>
                <w:rFonts w:hint="eastAsia" w:cs="宋体"/>
                <w:sz w:val="21"/>
              </w:rPr>
            </w:pPr>
            <w:r>
              <w:rPr>
                <w:rFonts w:hint="eastAsia" w:cs="宋体"/>
                <w:sz w:val="21"/>
              </w:rPr>
              <w:t>窑炉、炉膛、锅炉、烟道、煤气管道及设备</w:t>
            </w:r>
          </w:p>
        </w:tc>
        <w:tc>
          <w:tcPr>
            <w:tcW w:w="4041" w:type="dxa"/>
            <w:noWrap w:val="0"/>
            <w:vAlign w:val="center"/>
          </w:tcPr>
          <w:p>
            <w:pPr>
              <w:topLinePunct w:val="0"/>
              <w:adjustRightInd w:val="0"/>
              <w:snapToGrid w:val="0"/>
              <w:ind w:firstLine="170"/>
              <w:rPr>
                <w:rFonts w:hint="eastAsia" w:cs="宋体"/>
                <w:sz w:val="21"/>
              </w:rPr>
            </w:pPr>
            <w:r>
              <w:rPr>
                <w:rFonts w:hint="eastAsia" w:cs="宋体"/>
                <w:sz w:val="21"/>
              </w:rPr>
              <w:t>缺氧、一氧化碳中毒、可燃性气体爆炸</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57" w:type="dxa"/>
            <w:left w:w="68" w:type="dxa"/>
            <w:bottom w:w="57" w:type="dxa"/>
            <w:right w:w="68" w:type="dxa"/>
          </w:tblCellMar>
        </w:tblPrEx>
        <w:trPr>
          <w:cantSplit/>
          <w:jc w:val="center"/>
        </w:trPr>
        <w:tc>
          <w:tcPr>
            <w:tcW w:w="1313" w:type="dxa"/>
            <w:vMerge w:val="continue"/>
            <w:noWrap w:val="0"/>
            <w:vAlign w:val="center"/>
          </w:tcPr>
          <w:p>
            <w:pPr>
              <w:topLinePunct w:val="0"/>
              <w:adjustRightInd w:val="0"/>
              <w:snapToGrid w:val="0"/>
              <w:jc w:val="center"/>
              <w:rPr>
                <w:rFonts w:hint="eastAsia" w:cs="宋体"/>
                <w:sz w:val="21"/>
              </w:rPr>
            </w:pPr>
          </w:p>
        </w:tc>
        <w:tc>
          <w:tcPr>
            <w:tcW w:w="3491" w:type="dxa"/>
            <w:noWrap w:val="0"/>
            <w:vAlign w:val="center"/>
          </w:tcPr>
          <w:p>
            <w:pPr>
              <w:topLinePunct w:val="0"/>
              <w:adjustRightInd w:val="0"/>
              <w:snapToGrid w:val="0"/>
              <w:ind w:firstLine="170"/>
              <w:rPr>
                <w:rFonts w:hint="eastAsia" w:cs="宋体"/>
                <w:sz w:val="21"/>
              </w:rPr>
            </w:pPr>
            <w:r>
              <w:rPr>
                <w:rFonts w:hint="eastAsia" w:cs="宋体"/>
                <w:sz w:val="21"/>
              </w:rPr>
              <w:t>大型变压器、贮罐、脱硫塔</w:t>
            </w:r>
          </w:p>
        </w:tc>
        <w:tc>
          <w:tcPr>
            <w:tcW w:w="4041" w:type="dxa"/>
            <w:noWrap w:val="0"/>
            <w:vAlign w:val="center"/>
          </w:tcPr>
          <w:p>
            <w:pPr>
              <w:topLinePunct w:val="0"/>
              <w:adjustRightInd w:val="0"/>
              <w:snapToGrid w:val="0"/>
              <w:ind w:firstLine="170"/>
              <w:rPr>
                <w:rFonts w:hint="eastAsia" w:cs="宋体"/>
                <w:sz w:val="21"/>
              </w:rPr>
            </w:pPr>
            <w:r>
              <w:rPr>
                <w:rFonts w:hint="eastAsia" w:cs="宋体"/>
                <w:sz w:val="21"/>
              </w:rPr>
              <w:t>缺氧、中毒、可燃性气体爆炸、高处坠落</w:t>
            </w:r>
          </w:p>
        </w:tc>
      </w:tr>
    </w:tbl>
    <w:p>
      <w:pPr>
        <w:topLinePunct w:val="0"/>
        <w:adjustRightInd w:val="0"/>
        <w:ind w:firstLine="640" w:firstLineChars="200"/>
        <w:rPr>
          <w:rFonts w:cs="宋体"/>
          <w:szCs w:val="22"/>
        </w:rPr>
      </w:pPr>
    </w:p>
    <w:p>
      <w:pPr>
        <w:pStyle w:val="5"/>
        <w:topLinePunct w:val="0"/>
        <w:outlineLvl w:val="9"/>
        <w:rPr>
          <w:rFonts w:hint="eastAsia"/>
        </w:rPr>
      </w:pPr>
    </w:p>
    <w:p>
      <w:pPr>
        <w:topLinePunct w:val="0"/>
        <w:adjustRightInd w:val="0"/>
        <w:ind w:firstLine="640" w:firstLineChars="200"/>
        <w:rPr>
          <w:rFonts w:cs="宋体"/>
          <w:szCs w:val="2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altName w:val="Microsoft YaHei UI"/>
    <w:panose1 w:val="03000509000000000000"/>
    <w:charset w:val="86"/>
    <w:family w:val="script"/>
    <w:pitch w:val="default"/>
    <w:sig w:usb0="00000000" w:usb1="0000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楷体_GBK">
    <w:altName w:val="Microsoft YaHei UI"/>
    <w:panose1 w:val="03000509000000000000"/>
    <w:charset w:val="86"/>
    <w:family w:val="script"/>
    <w:pitch w:val="default"/>
    <w:sig w:usb0="00000000" w:usb1="00000000" w:usb2="00000000" w:usb3="00000000" w:csb0="00040000" w:csb1="00000000"/>
  </w:font>
  <w:font w:name="方正小标宋简体">
    <w:altName w:val="Microsoft YaHei UI"/>
    <w:panose1 w:val="03000509000000000000"/>
    <w:charset w:val="86"/>
    <w:family w:val="script"/>
    <w:pitch w:val="default"/>
    <w:sig w:usb0="00000000" w:usb1="00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E55A99"/>
    <w:rsid w:val="136D14EF"/>
    <w:rsid w:val="185254F4"/>
    <w:rsid w:val="315536FF"/>
    <w:rsid w:val="340C349C"/>
    <w:rsid w:val="373E5BBD"/>
    <w:rsid w:val="44BD0CC4"/>
    <w:rsid w:val="46930B8D"/>
    <w:rsid w:val="72E05790"/>
    <w:rsid w:val="72E55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jc w:val="both"/>
    </w:pPr>
    <w:rPr>
      <w:rFonts w:ascii="Times New Roman" w:hAnsi="Times New Roman" w:eastAsia="方正仿宋_GBK" w:cs="Times New Roman"/>
      <w:kern w:val="2"/>
      <w:sz w:val="32"/>
      <w:szCs w:val="21"/>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样式7"/>
    <w:basedOn w:val="2"/>
    <w:qFormat/>
    <w:uiPriority w:val="0"/>
    <w:pPr>
      <w:keepNext w:val="0"/>
      <w:keepLines w:val="0"/>
      <w:shd w:val="clear" w:color="FFFFFF" w:fill="auto"/>
      <w:overflowPunct w:val="0"/>
      <w:snapToGrid w:val="0"/>
      <w:spacing w:before="0" w:after="0" w:line="240" w:lineRule="auto"/>
    </w:pPr>
    <w:rPr>
      <w:rFonts w:ascii="黑体" w:eastAsia="黑体"/>
      <w:b w:val="0"/>
    </w:rPr>
  </w:style>
  <w:style w:type="paragraph" w:customStyle="1" w:styleId="6">
    <w:name w:val="样式1B"/>
    <w:basedOn w:val="7"/>
    <w:qFormat/>
    <w:uiPriority w:val="0"/>
    <w:pPr>
      <w:snapToGrid/>
      <w:spacing w:before="0" w:beforeLines="0" w:after="0" w:afterLines="0"/>
    </w:pPr>
    <w:rPr>
      <w:rFonts w:ascii="黑体" w:eastAsia="黑体"/>
      <w:b/>
      <w:sz w:val="32"/>
      <w:szCs w:val="32"/>
    </w:rPr>
  </w:style>
  <w:style w:type="paragraph" w:customStyle="1" w:styleId="7">
    <w:name w:val="样式1"/>
    <w:basedOn w:val="1"/>
    <w:qFormat/>
    <w:uiPriority w:val="0"/>
    <w:pPr>
      <w:adjustRightInd w:val="0"/>
      <w:snapToGrid w:val="0"/>
      <w:spacing w:before="579" w:beforeLines="100" w:after="289" w:afterLines="50"/>
      <w:ind w:left="1134" w:right="1134"/>
      <w:jc w:val="center"/>
    </w:pPr>
    <w:rPr>
      <w:rFonts w:ascii="方正小标宋_GBK" w:eastAsia="方正小标宋_GBK"/>
      <w:sz w:val="44"/>
      <w:szCs w:val="44"/>
    </w:rPr>
  </w:style>
  <w:style w:type="paragraph" w:customStyle="1" w:styleId="8">
    <w:name w:val="样式3"/>
    <w:basedOn w:val="2"/>
    <w:qFormat/>
    <w:uiPriority w:val="0"/>
    <w:pPr>
      <w:spacing w:before="0" w:after="0" w:line="240" w:lineRule="auto"/>
      <w:ind w:firstLine="640" w:firstLineChars="200"/>
    </w:pPr>
    <w:rPr>
      <w:rFonts w:ascii="黑体" w:eastAsia="黑体"/>
      <w:b w:val="0"/>
      <w:bCs w:val="0"/>
    </w:rPr>
  </w:style>
  <w:style w:type="paragraph" w:customStyle="1" w:styleId="9">
    <w:name w:val="样式9"/>
    <w:basedOn w:val="1"/>
    <w:qFormat/>
    <w:uiPriority w:val="0"/>
    <w:pPr>
      <w:adjustRightInd w:val="0"/>
      <w:ind w:firstLine="640" w:firstLineChars="200"/>
    </w:pPr>
    <w:rPr>
      <w:rFonts w:eastAsia="方正楷体_GBK"/>
    </w:rPr>
  </w:style>
  <w:style w:type="paragraph" w:customStyle="1" w:styleId="10">
    <w:name w:val="样式5"/>
    <w:basedOn w:val="1"/>
    <w:qFormat/>
    <w:uiPriority w:val="0"/>
    <w:pPr>
      <w:keepNext/>
      <w:keepLines/>
      <w:adjustRightInd w:val="0"/>
      <w:ind w:firstLine="640" w:firstLineChars="200"/>
    </w:pPr>
    <w:rPr>
      <w:lang w:val="zh-CN"/>
    </w:rPr>
  </w:style>
  <w:style w:type="paragraph" w:customStyle="1" w:styleId="11">
    <w:name w:val="图片"/>
    <w:basedOn w:val="1"/>
    <w:qFormat/>
    <w:uiPriority w:val="0"/>
    <w:pPr>
      <w:snapToGrid w:val="0"/>
      <w:spacing w:before="200" w:after="100"/>
      <w:jc w:val="center"/>
    </w:pPr>
    <w:rPr>
      <w:szCs w:val="24"/>
    </w:rPr>
  </w:style>
  <w:style w:type="paragraph" w:customStyle="1" w:styleId="12">
    <w:name w:val="图说"/>
    <w:basedOn w:val="1"/>
    <w:qFormat/>
    <w:uiPriority w:val="0"/>
    <w:pPr>
      <w:spacing w:before="100" w:after="300" w:line="320" w:lineRule="exact"/>
      <w:jc w:val="center"/>
    </w:pPr>
    <w:rPr>
      <w:rFonts w:ascii="方正小标宋简体" w:eastAsia="黑体"/>
      <w:sz w:val="21"/>
    </w:rPr>
  </w:style>
  <w:style w:type="paragraph" w:customStyle="1" w:styleId="13">
    <w:name w:val="表头  居中"/>
    <w:qFormat/>
    <w:uiPriority w:val="0"/>
    <w:pPr>
      <w:spacing w:before="200" w:after="100" w:line="320" w:lineRule="exact"/>
      <w:jc w:val="center"/>
    </w:pPr>
    <w:rPr>
      <w:rFonts w:ascii="方正小标宋_GBK" w:hAnsi="Times New Roman" w:eastAsia="黑体" w:cs="Times New Roman"/>
      <w:bCs/>
      <w:kern w:val="2"/>
      <w:sz w:val="24"/>
      <w:szCs w:val="24"/>
      <w:lang w:val="en-US" w:eastAsia="zh-CN" w:bidi="ar-SA"/>
    </w:rPr>
  </w:style>
  <w:style w:type="paragraph" w:customStyle="1" w:styleId="14">
    <w:name w:val="表注  空行"/>
    <w:basedOn w:val="1"/>
    <w:qFormat/>
    <w:uiPriority w:val="0"/>
    <w:pPr>
      <w:adjustRightInd w:val="0"/>
      <w:snapToGrid w:val="0"/>
      <w:ind w:firstLine="425"/>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25</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2025-04-13T06:03:00Z</dcterms:created>
  <dc:creator>admin</dc:creator>
  <cp:lastModifiedBy>ajjk</cp:lastModifiedBy>
  <dcterms:modified xsi:type="dcterms:W3CDTF">2025-04-24T04:34:27Z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6503572AB73344E88F93D0DE993CE56F</vt:lpwstr>
  </property>
</Properties>
</file>