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topLinePunct w:val="0"/>
        <w:outlineLvl w:val="9"/>
        <w:rPr>
          <w:rFonts w:hint="eastAsia"/>
        </w:rPr>
      </w:pPr>
      <w:r>
        <w:rPr>
          <w:rFonts w:hint="eastAsia"/>
        </w:rPr>
        <w:t>附录6</w:t>
      </w:r>
    </w:p>
    <w:p>
      <w:pPr>
        <w:pStyle w:val="6"/>
        <w:topLinePunct w:val="0"/>
      </w:pPr>
    </w:p>
    <w:p>
      <w:pPr>
        <w:pStyle w:val="6"/>
        <w:topLinePunct w:val="0"/>
        <w:ind w:left="0" w:leftChars="0" w:firstLine="0" w:firstLineChars="0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hAnsi="黑体" w:cs="黑体"/>
          <w:sz w:val="32"/>
          <w:szCs w:val="32"/>
          <w:lang w:val="en-US" w:eastAsia="zh-CN"/>
        </w:rPr>
        <w:t xml:space="preserve">    </w:t>
      </w: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</w:rPr>
        <w:t>常用有毒有害气体、易燃易爆物质浓度标准</w:t>
      </w:r>
    </w:p>
    <w:p>
      <w:pPr>
        <w:pStyle w:val="6"/>
        <w:topLinePunct w:val="0"/>
        <w:rPr>
          <w:rFonts w:hint="eastAsia"/>
        </w:rPr>
      </w:pPr>
    </w:p>
    <w:p>
      <w:pPr>
        <w:pStyle w:val="8"/>
        <w:spacing w:before="0"/>
        <w:rPr>
          <w:rFonts w:hint="eastAsia"/>
        </w:rPr>
      </w:pPr>
      <w:r>
        <w:rPr>
          <w:rFonts w:hint="eastAsia"/>
        </w:rPr>
        <w:t>附表6</w:t>
      </w:r>
      <w:r>
        <w:rPr>
          <w:rFonts w:hint="cs"/>
          <w:cs/>
        </w:rPr>
        <w:t> </w:t>
      </w:r>
      <w:r>
        <w:rPr>
          <w:rFonts w:hint="eastAsia"/>
        </w:rPr>
        <w:t>-</w:t>
      </w:r>
      <w:r>
        <w:rPr>
          <w:rFonts w:hint="cs"/>
          <w:cs/>
        </w:rPr>
        <w:t> </w:t>
      </w:r>
      <w:r>
        <w:rPr>
          <w:rFonts w:hint="eastAsia"/>
        </w:rPr>
        <w:t>1　电力行业常用化学有害因素职业接触限值表</w:t>
      </w:r>
    </w:p>
    <w:tbl>
      <w:tblPr>
        <w:tblStyle w:val="3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51" w:type="dxa"/>
          <w:left w:w="68" w:type="dxa"/>
          <w:bottom w:w="62" w:type="dxa"/>
          <w:right w:w="68" w:type="dxa"/>
        </w:tblCellMar>
      </w:tblPr>
      <w:tblGrid>
        <w:gridCol w:w="764"/>
        <w:gridCol w:w="458"/>
        <w:gridCol w:w="583"/>
        <w:gridCol w:w="1374"/>
        <w:gridCol w:w="1164"/>
        <w:gridCol w:w="1256"/>
        <w:gridCol w:w="1284"/>
        <w:gridCol w:w="1962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序号</w:t>
            </w:r>
          </w:p>
        </w:tc>
        <w:tc>
          <w:tcPr>
            <w:tcW w:w="2415" w:type="dxa"/>
            <w:gridSpan w:val="3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名　称</w:t>
            </w:r>
          </w:p>
        </w:tc>
        <w:tc>
          <w:tcPr>
            <w:tcW w:w="3704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职业接触限值OELs（mg/m</w:t>
            </w:r>
            <w:r>
              <w:rPr>
                <w:rFonts w:hint="eastAsia" w:cs="宋体"/>
                <w:bCs/>
                <w:sz w:val="21"/>
                <w:vertAlign w:val="superscript"/>
              </w:rPr>
              <w:t>3</w:t>
            </w:r>
            <w:r>
              <w:rPr>
                <w:rFonts w:hint="eastAsia" w:cs="宋体"/>
                <w:bCs/>
                <w:sz w:val="21"/>
              </w:rPr>
              <w:t>）</w:t>
            </w:r>
          </w:p>
        </w:tc>
        <w:tc>
          <w:tcPr>
            <w:tcW w:w="1962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备注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2415" w:type="dxa"/>
            <w:gridSpan w:val="3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 xml:space="preserve">MAC 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PC</w:t>
            </w:r>
            <w:r>
              <w:rPr>
                <w:rFonts w:cs="宋体"/>
                <w:sz w:val="21"/>
              </w:rPr>
              <w:t>-</w:t>
            </w:r>
            <w:r>
              <w:rPr>
                <w:rFonts w:hint="eastAsia" w:cs="宋体"/>
                <w:sz w:val="21"/>
              </w:rPr>
              <w:t xml:space="preserve">TWA 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PC</w:t>
            </w:r>
            <w:r>
              <w:rPr>
                <w:rFonts w:cs="宋体"/>
                <w:sz w:val="21"/>
              </w:rPr>
              <w:t>-</w:t>
            </w:r>
            <w:r>
              <w:rPr>
                <w:rFonts w:hint="eastAsia" w:cs="宋体"/>
                <w:sz w:val="21"/>
              </w:rPr>
              <w:t>STEL</w:t>
            </w:r>
          </w:p>
        </w:tc>
        <w:tc>
          <w:tcPr>
            <w:tcW w:w="1962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</w:t>
            </w:r>
          </w:p>
        </w:tc>
        <w:tc>
          <w:tcPr>
            <w:tcW w:w="2415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 xml:space="preserve">氨 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20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30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高毒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sz w:val="21"/>
              </w:rPr>
              <w:t>2</w:t>
            </w:r>
          </w:p>
        </w:tc>
        <w:tc>
          <w:tcPr>
            <w:tcW w:w="458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一氧化碳</w:t>
            </w:r>
          </w:p>
        </w:tc>
        <w:tc>
          <w:tcPr>
            <w:tcW w:w="1957" w:type="dxa"/>
            <w:gridSpan w:val="2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非高原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20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30</w:t>
            </w:r>
          </w:p>
        </w:tc>
        <w:tc>
          <w:tcPr>
            <w:tcW w:w="1962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高毒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458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583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高原</w:t>
            </w:r>
          </w:p>
        </w:tc>
        <w:tc>
          <w:tcPr>
            <w:tcW w:w="13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海拔2000～3000m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20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962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458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583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海拔</w:t>
            </w:r>
          </w:p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＞3000m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15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962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3</w:t>
            </w:r>
          </w:p>
        </w:tc>
        <w:tc>
          <w:tcPr>
            <w:tcW w:w="2415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 xml:space="preserve">二氧化碳 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9000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18</w:t>
            </w:r>
            <w:r>
              <w:rPr>
                <w:rFonts w:cs="宋体"/>
                <w:sz w:val="21"/>
              </w:rPr>
              <w:t xml:space="preserve"> </w:t>
            </w:r>
            <w:r>
              <w:rPr>
                <w:rFonts w:hint="eastAsia" w:cs="宋体"/>
                <w:sz w:val="21"/>
              </w:rPr>
              <w:t>000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4</w:t>
            </w:r>
          </w:p>
        </w:tc>
        <w:tc>
          <w:tcPr>
            <w:tcW w:w="2415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一氧化氮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15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5</w:t>
            </w:r>
          </w:p>
        </w:tc>
        <w:tc>
          <w:tcPr>
            <w:tcW w:w="2415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 xml:space="preserve">二氧化氮 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5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10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高毒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6</w:t>
            </w:r>
          </w:p>
        </w:tc>
        <w:tc>
          <w:tcPr>
            <w:tcW w:w="2415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 xml:space="preserve">二氧化硫 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5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10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7</w:t>
            </w:r>
          </w:p>
        </w:tc>
        <w:tc>
          <w:tcPr>
            <w:tcW w:w="2415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 xml:space="preserve">二氧化氯 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0.3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0.8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8</w:t>
            </w:r>
          </w:p>
        </w:tc>
        <w:tc>
          <w:tcPr>
            <w:tcW w:w="2415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盐酸，氯化氢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7.5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9</w:t>
            </w:r>
          </w:p>
        </w:tc>
        <w:tc>
          <w:tcPr>
            <w:tcW w:w="2415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氢氧化钠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2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10</w:t>
            </w:r>
          </w:p>
        </w:tc>
        <w:tc>
          <w:tcPr>
            <w:tcW w:w="2415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硫化氢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10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高毒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11</w:t>
            </w:r>
          </w:p>
        </w:tc>
        <w:tc>
          <w:tcPr>
            <w:tcW w:w="2415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联氨（肼）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0.06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0.13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高毒，皮，G2B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12</w:t>
            </w:r>
          </w:p>
        </w:tc>
        <w:tc>
          <w:tcPr>
            <w:tcW w:w="2415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六氟化硫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6000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13</w:t>
            </w:r>
          </w:p>
        </w:tc>
        <w:tc>
          <w:tcPr>
            <w:tcW w:w="2415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硫酰氟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20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40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14</w:t>
            </w:r>
          </w:p>
        </w:tc>
        <w:tc>
          <w:tcPr>
            <w:tcW w:w="2415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 xml:space="preserve">苯 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6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10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高毒，皮，G1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15</w:t>
            </w:r>
          </w:p>
        </w:tc>
        <w:tc>
          <w:tcPr>
            <w:tcW w:w="2415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 xml:space="preserve">甲苯 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50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100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皮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1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16</w:t>
            </w:r>
          </w:p>
        </w:tc>
        <w:tc>
          <w:tcPr>
            <w:tcW w:w="2415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二甲苯</w:t>
            </w:r>
          </w:p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（全部异构体）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50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100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</w:tr>
    </w:tbl>
    <w:p>
      <w:pPr>
        <w:pStyle w:val="9"/>
        <w:topLinePunct w:val="0"/>
        <w:rPr>
          <w:rFonts w:hint="eastAsia"/>
        </w:rPr>
      </w:pPr>
      <w:r>
        <w:rPr>
          <w:rFonts w:hint="eastAsia"/>
        </w:rPr>
        <w:t>续</w:t>
      </w:r>
      <w:r>
        <w:t>表</w:t>
      </w:r>
    </w:p>
    <w:tbl>
      <w:tblPr>
        <w:tblStyle w:val="3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62" w:type="dxa"/>
          <w:left w:w="68" w:type="dxa"/>
          <w:bottom w:w="62" w:type="dxa"/>
          <w:right w:w="68" w:type="dxa"/>
        </w:tblCellMar>
      </w:tblPr>
      <w:tblGrid>
        <w:gridCol w:w="764"/>
        <w:gridCol w:w="2415"/>
        <w:gridCol w:w="1164"/>
        <w:gridCol w:w="1256"/>
        <w:gridCol w:w="1284"/>
        <w:gridCol w:w="1962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2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序号</w:t>
            </w:r>
          </w:p>
        </w:tc>
        <w:tc>
          <w:tcPr>
            <w:tcW w:w="2415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名　称</w:t>
            </w:r>
          </w:p>
        </w:tc>
        <w:tc>
          <w:tcPr>
            <w:tcW w:w="3704" w:type="dxa"/>
            <w:gridSpan w:val="3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职业接触限值OELs（mg/m</w:t>
            </w:r>
            <w:r>
              <w:rPr>
                <w:rFonts w:hint="eastAsia" w:cs="宋体"/>
                <w:bCs/>
                <w:sz w:val="21"/>
                <w:vertAlign w:val="superscript"/>
              </w:rPr>
              <w:t>3</w:t>
            </w:r>
            <w:r>
              <w:rPr>
                <w:rFonts w:hint="eastAsia" w:cs="宋体"/>
                <w:bCs/>
                <w:sz w:val="21"/>
              </w:rPr>
              <w:t>）</w:t>
            </w:r>
          </w:p>
        </w:tc>
        <w:tc>
          <w:tcPr>
            <w:tcW w:w="1962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备注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2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2415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 xml:space="preserve">MAC 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PC</w:t>
            </w:r>
            <w:r>
              <w:rPr>
                <w:rFonts w:cs="宋体"/>
                <w:sz w:val="21"/>
              </w:rPr>
              <w:t>-</w:t>
            </w:r>
            <w:r>
              <w:rPr>
                <w:rFonts w:hint="eastAsia" w:cs="宋体"/>
                <w:sz w:val="21"/>
              </w:rPr>
              <w:t xml:space="preserve">TWA 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PC</w:t>
            </w:r>
            <w:r>
              <w:rPr>
                <w:rFonts w:cs="宋体"/>
                <w:sz w:val="21"/>
              </w:rPr>
              <w:t>-</w:t>
            </w:r>
            <w:r>
              <w:rPr>
                <w:rFonts w:hint="eastAsia" w:cs="宋体"/>
                <w:sz w:val="21"/>
              </w:rPr>
              <w:t>STEL</w:t>
            </w:r>
          </w:p>
        </w:tc>
        <w:tc>
          <w:tcPr>
            <w:tcW w:w="1962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2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17</w:t>
            </w:r>
          </w:p>
        </w:tc>
        <w:tc>
          <w:tcPr>
            <w:tcW w:w="241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 xml:space="preserve">溶剂汽油 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300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2" w:type="dxa"/>
            <w:left w:w="68" w:type="dxa"/>
            <w:bottom w:w="62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18</w:t>
            </w:r>
          </w:p>
        </w:tc>
        <w:tc>
          <w:tcPr>
            <w:tcW w:w="241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锰及其无机化合物</w:t>
            </w:r>
          </w:p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cs="宋体"/>
                <w:sz w:val="21"/>
              </w:rPr>
              <w:t>（按</w:t>
            </w:r>
            <w:r>
              <w:rPr>
                <w:rFonts w:hint="eastAsia" w:cs="宋体"/>
                <w:sz w:val="21"/>
              </w:rPr>
              <w:t>MnO</w:t>
            </w:r>
            <w:r>
              <w:rPr>
                <w:rFonts w:hint="eastAsia" w:cs="宋体"/>
                <w:position w:val="-3"/>
                <w:sz w:val="21"/>
                <w:vertAlign w:val="subscript"/>
              </w:rPr>
              <w:t>2</w:t>
            </w:r>
            <w:r>
              <w:rPr>
                <w:rFonts w:cs="宋体"/>
                <w:sz w:val="21"/>
              </w:rPr>
              <w:t>计）</w:t>
            </w:r>
            <w:r>
              <w:rPr>
                <w:rFonts w:hint="eastAsia" w:cs="宋体"/>
                <w:sz w:val="21"/>
              </w:rPr>
              <w:t xml:space="preserve"> 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0.15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79" w:type="dxa"/>
            <w:right w:w="68" w:type="dxa"/>
          </w:tblCellMar>
        </w:tblPrEx>
        <w:trPr>
          <w:cantSplit/>
          <w:jc w:val="center"/>
        </w:trPr>
        <w:tc>
          <w:tcPr>
            <w:tcW w:w="7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19</w:t>
            </w:r>
          </w:p>
        </w:tc>
        <w:tc>
          <w:tcPr>
            <w:tcW w:w="241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镉及其化合物</w:t>
            </w:r>
            <w:r>
              <w:rPr>
                <w:rFonts w:cs="宋体"/>
                <w:sz w:val="21"/>
              </w:rPr>
              <w:br w:type="textWrapping"/>
            </w:r>
            <w:r>
              <w:rPr>
                <w:rFonts w:hint="eastAsia" w:cs="宋体"/>
                <w:sz w:val="21"/>
              </w:rPr>
              <w:t>（按Cd计）</w:t>
            </w:r>
          </w:p>
        </w:tc>
        <w:tc>
          <w:tcPr>
            <w:tcW w:w="116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125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0.01</w:t>
            </w:r>
          </w:p>
        </w:tc>
        <w:tc>
          <w:tcPr>
            <w:tcW w:w="12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>0.02</w:t>
            </w:r>
          </w:p>
        </w:tc>
        <w:tc>
          <w:tcPr>
            <w:tcW w:w="1962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contextualSpacing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</w:rPr>
              <w:t xml:space="preserve">G1 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79" w:type="dxa"/>
            <w:right w:w="68" w:type="dxa"/>
          </w:tblCellMar>
        </w:tblPrEx>
        <w:trPr>
          <w:cantSplit/>
          <w:jc w:val="center"/>
        </w:trPr>
        <w:tc>
          <w:tcPr>
            <w:tcW w:w="8845" w:type="dxa"/>
            <w:gridSpan w:val="6"/>
            <w:noWrap w:val="0"/>
            <w:vAlign w:val="center"/>
          </w:tcPr>
          <w:p>
            <w:pPr>
              <w:topLinePunct w:val="0"/>
              <w:adjustRightInd w:val="0"/>
              <w:snapToGrid w:val="0"/>
              <w:ind w:left="769" w:hanging="599"/>
              <w:contextualSpacing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注1：</w:t>
            </w:r>
            <w:r>
              <w:rPr>
                <w:rFonts w:cs="宋体"/>
                <w:bCs/>
                <w:sz w:val="21"/>
              </w:rPr>
              <w:tab/>
            </w:r>
            <w:r>
              <w:rPr>
                <w:rFonts w:hint="eastAsia" w:cs="宋体"/>
                <w:sz w:val="21"/>
              </w:rPr>
              <w:t>化学物质的致癌性标识按国际癌症组织（IARC）分级，作为参考性资料：G1确认人类致癌物（Carcinogenic to humans）；G2A可能人类致癌物（Probably carcinogenic to humans）；G2B 可疑人类致癌物（Possibly carcinogenic to humans）。在备注栏内标有（高毒）的物质表示其为列入《高毒物品目录》的生产性毒物；在备注栏内标有（皮）的物质表示可因皮肤、黏膜和眼睛直接接触蒸气、液体和固体，通过完整的皮肤吸收引起全身效应。</w:t>
            </w:r>
          </w:p>
          <w:p>
            <w:pPr>
              <w:topLinePunct w:val="0"/>
              <w:adjustRightInd w:val="0"/>
              <w:snapToGrid w:val="0"/>
              <w:ind w:left="769" w:hanging="599"/>
              <w:contextualSpacing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注2：</w:t>
            </w:r>
            <w:r>
              <w:rPr>
                <w:rFonts w:cs="宋体"/>
                <w:bCs/>
                <w:sz w:val="21"/>
              </w:rPr>
              <w:tab/>
            </w:r>
            <w:r>
              <w:rPr>
                <w:rFonts w:hint="eastAsia" w:cs="宋体"/>
                <w:sz w:val="21"/>
              </w:rPr>
              <w:t>最高容许浓度（MAC）：在一个工作日内，任何时间和任何工作地点有毒化学物质均不应超过的浓度。时间加权平均容许浓度（PC</w:t>
            </w:r>
            <w:r>
              <w:rPr>
                <w:rFonts w:cs="宋体"/>
                <w:sz w:val="21"/>
              </w:rPr>
              <w:t>-</w:t>
            </w:r>
            <w:r>
              <w:rPr>
                <w:rFonts w:hint="eastAsia" w:cs="宋体"/>
                <w:sz w:val="21"/>
              </w:rPr>
              <w:t>TWA）：以时间为权数规定的8h工作日、40h工作周的平均容许接触浓度。短时间接触容许浓度（PC</w:t>
            </w:r>
            <w:r>
              <w:rPr>
                <w:rFonts w:cs="宋体"/>
                <w:sz w:val="21"/>
              </w:rPr>
              <w:t>-</w:t>
            </w:r>
            <w:r>
              <w:rPr>
                <w:rFonts w:hint="eastAsia" w:cs="宋体"/>
                <w:sz w:val="21"/>
              </w:rPr>
              <w:t>STEL）在遵守PC</w:t>
            </w:r>
            <w:r>
              <w:rPr>
                <w:rFonts w:cs="宋体"/>
                <w:sz w:val="21"/>
              </w:rPr>
              <w:t>-</w:t>
            </w:r>
            <w:r>
              <w:rPr>
                <w:rFonts w:hint="eastAsia" w:cs="宋体"/>
                <w:sz w:val="21"/>
              </w:rPr>
              <w:t>TWA的前提下容许短时间（15min）接触的浓度。</w:t>
            </w:r>
          </w:p>
        </w:tc>
      </w:tr>
    </w:tbl>
    <w:p>
      <w:pPr>
        <w:pStyle w:val="8"/>
        <w:rPr>
          <w:rFonts w:hint="eastAsia"/>
        </w:rPr>
      </w:pPr>
      <w:r>
        <w:rPr>
          <w:rFonts w:hint="eastAsia"/>
        </w:rPr>
        <w:t>附表6</w:t>
      </w:r>
      <w:r>
        <w:rPr>
          <w:rFonts w:hint="cs" w:ascii="Times New Roman"/>
          <w:vertAlign w:val="superscript"/>
          <w:cs/>
        </w:rPr>
        <w:t> </w:t>
      </w:r>
      <w:r>
        <w:rPr>
          <w:rFonts w:hint="eastAsia" w:ascii="黑体" w:hAnsi="Symbol"/>
          <w:b/>
        </w:rPr>
        <w:t>-</w:t>
      </w:r>
      <w:r>
        <w:rPr>
          <w:rFonts w:hint="cs" w:ascii="Times New Roman"/>
          <w:vertAlign w:val="superscript"/>
          <w:cs/>
        </w:rPr>
        <w:t> </w:t>
      </w:r>
      <w:r>
        <w:rPr>
          <w:rFonts w:hint="eastAsia"/>
        </w:rPr>
        <w:t>2　常用化学有害因素IDLH浓度数据表</w:t>
      </w:r>
    </w:p>
    <w:tbl>
      <w:tblPr>
        <w:tblStyle w:val="3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980"/>
        <w:gridCol w:w="2691"/>
        <w:gridCol w:w="2390"/>
        <w:gridCol w:w="278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68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序号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名　称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IDLH浓度ppm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IDLH浓度mg/m</w:t>
            </w:r>
            <w:r>
              <w:rPr>
                <w:rFonts w:hint="eastAsia" w:cs="宋体"/>
                <w:bCs/>
                <w:sz w:val="21"/>
                <w:vertAlign w:val="superscript"/>
              </w:rPr>
              <w:t>3a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68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氨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300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213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68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一氧化碳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1200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1392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68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3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二氧化碳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40</w:t>
            </w:r>
            <w:r>
              <w:rPr>
                <w:rFonts w:cs="宋体"/>
                <w:sz w:val="21"/>
                <w:lang w:bidi="ar"/>
              </w:rPr>
              <w:t xml:space="preserve"> </w:t>
            </w:r>
            <w:r>
              <w:rPr>
                <w:rFonts w:hint="eastAsia" w:cs="宋体"/>
                <w:sz w:val="21"/>
                <w:lang w:bidi="ar"/>
              </w:rPr>
              <w:t>000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73</w:t>
            </w:r>
            <w:r>
              <w:rPr>
                <w:rFonts w:cs="宋体"/>
                <w:sz w:val="21"/>
                <w:lang w:bidi="ar"/>
              </w:rPr>
              <w:t xml:space="preserve"> </w:t>
            </w:r>
            <w:r>
              <w:rPr>
                <w:rFonts w:hint="eastAsia" w:cs="宋体"/>
                <w:sz w:val="21"/>
                <w:lang w:bidi="ar"/>
              </w:rPr>
              <w:t>200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68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4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一氧化氮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100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120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68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5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二氧化氮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20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38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68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6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二氧化硫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100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270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68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7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臭氧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5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68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8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硫化氢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100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142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68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9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氟化物（以氟计）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250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68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10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二氧化氯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5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14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68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11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盐酸，氯化氢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50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75</w:t>
            </w:r>
          </w:p>
        </w:tc>
      </w:tr>
    </w:tbl>
    <w:p>
      <w:pPr>
        <w:pStyle w:val="9"/>
        <w:topLinePunct w:val="0"/>
        <w:rPr>
          <w:rFonts w:hint="eastAsia"/>
        </w:rPr>
      </w:pPr>
      <w:r>
        <w:rPr>
          <w:rFonts w:hint="eastAsia"/>
        </w:rPr>
        <w:t>续</w:t>
      </w:r>
      <w:r>
        <w:t>表</w:t>
      </w:r>
    </w:p>
    <w:tbl>
      <w:tblPr>
        <w:tblStyle w:val="3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left w:w="68" w:type="dxa"/>
          <w:bottom w:w="57" w:type="dxa"/>
          <w:right w:w="68" w:type="dxa"/>
        </w:tblCellMar>
      </w:tblPr>
      <w:tblGrid>
        <w:gridCol w:w="980"/>
        <w:gridCol w:w="2691"/>
        <w:gridCol w:w="2390"/>
        <w:gridCol w:w="278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序号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名　称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IDLH浓度ppm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IDLH浓度mg/m</w:t>
            </w:r>
            <w:r>
              <w:rPr>
                <w:rFonts w:hint="eastAsia" w:cs="宋体"/>
                <w:bCs/>
                <w:sz w:val="21"/>
                <w:vertAlign w:val="superscript"/>
              </w:rPr>
              <w:t>3a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12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氢氧化钠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250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13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肼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50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67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14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苯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500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1625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15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甲苯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500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1915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16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二甲苯（全部异构体）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900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3969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17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松节油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800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4520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98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18</w:t>
            </w:r>
          </w:p>
        </w:tc>
        <w:tc>
          <w:tcPr>
            <w:tcW w:w="269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甲醛</w:t>
            </w:r>
          </w:p>
        </w:tc>
        <w:tc>
          <w:tcPr>
            <w:tcW w:w="2390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20</w:t>
            </w:r>
          </w:p>
        </w:tc>
        <w:tc>
          <w:tcPr>
            <w:tcW w:w="278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25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845" w:type="dxa"/>
            <w:gridSpan w:val="4"/>
            <w:noWrap w:val="0"/>
            <w:vAlign w:val="center"/>
          </w:tcPr>
          <w:p>
            <w:pPr>
              <w:topLinePunct w:val="0"/>
              <w:adjustRightInd w:val="0"/>
              <w:snapToGrid w:val="0"/>
              <w:ind w:firstLine="170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注1：</w:t>
            </w:r>
            <w:r>
              <w:rPr>
                <w:rFonts w:hint="eastAsia" w:cs="宋体"/>
                <w:sz w:val="21"/>
                <w:vertAlign w:val="superscript"/>
              </w:rPr>
              <w:t>a</w:t>
            </w:r>
            <w:r>
              <w:rPr>
                <w:rFonts w:hint="eastAsia" w:cs="宋体"/>
                <w:sz w:val="21"/>
              </w:rPr>
              <w:t>为ppm浓度单位换算为20℃、1个大气压下的mg/m</w:t>
            </w:r>
            <w:r>
              <w:rPr>
                <w:rFonts w:hint="eastAsia" w:cs="宋体"/>
                <w:sz w:val="21"/>
                <w:vertAlign w:val="superscript"/>
              </w:rPr>
              <w:t>3</w:t>
            </w:r>
            <w:r>
              <w:rPr>
                <w:rFonts w:hint="eastAsia" w:cs="宋体"/>
                <w:sz w:val="21"/>
              </w:rPr>
              <w:t>浓度单位。</w:t>
            </w:r>
          </w:p>
          <w:p>
            <w:pPr>
              <w:topLinePunct w:val="0"/>
              <w:adjustRightInd w:val="0"/>
              <w:snapToGrid w:val="0"/>
              <w:ind w:left="769" w:hanging="599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注</w:t>
            </w:r>
            <w:r>
              <w:rPr>
                <w:rFonts w:hint="cs" w:cs="宋体"/>
                <w:bCs/>
                <w:sz w:val="21"/>
                <w:cs/>
              </w:rPr>
              <w:t> </w:t>
            </w:r>
            <w:r>
              <w:rPr>
                <w:rFonts w:hint="eastAsia" w:cs="宋体"/>
                <w:bCs/>
                <w:sz w:val="21"/>
              </w:rPr>
              <w:t>2：</w:t>
            </w:r>
            <w:r>
              <w:rPr>
                <w:rFonts w:hint="eastAsia" w:cs="宋体"/>
                <w:sz w:val="21"/>
              </w:rPr>
              <w:t>立即威胁生命或健康的浓度（IDLH）有害环境中空气污染物浓度达到某种危险水平，在此条件下对生命立即或延迟产生威胁，或能导致永久性健康损害，或影响进入者在无助情况下逃生。</w:t>
            </w:r>
          </w:p>
        </w:tc>
      </w:tr>
    </w:tbl>
    <w:p>
      <w:pPr>
        <w:pStyle w:val="8"/>
        <w:rPr>
          <w:rFonts w:hint="eastAsia"/>
        </w:rPr>
      </w:pPr>
      <w:r>
        <w:rPr>
          <w:rFonts w:hint="eastAsia"/>
        </w:rPr>
        <w:t>附</w:t>
      </w:r>
      <w:r>
        <w:t>表</w:t>
      </w:r>
      <w:r>
        <w:rPr>
          <w:rFonts w:hint="eastAsia"/>
        </w:rPr>
        <w:t>6</w:t>
      </w:r>
      <w:r>
        <w:rPr>
          <w:rFonts w:hint="cs" w:ascii="Times New Roman"/>
          <w:vertAlign w:val="superscript"/>
          <w:cs/>
        </w:rPr>
        <w:t> </w:t>
      </w:r>
      <w:r>
        <w:rPr>
          <w:rFonts w:hint="eastAsia" w:ascii="黑体" w:hAnsi="Symbol"/>
          <w:b/>
        </w:rPr>
        <w:t>-</w:t>
      </w:r>
      <w:r>
        <w:rPr>
          <w:rFonts w:hint="cs" w:ascii="Times New Roman"/>
          <w:vertAlign w:val="superscript"/>
          <w:cs/>
        </w:rPr>
        <w:t> </w:t>
      </w:r>
      <w:r>
        <w:rPr>
          <w:rFonts w:hint="eastAsia"/>
        </w:rPr>
        <w:t xml:space="preserve">3　常用可燃气体或蒸气爆炸下限数据表 </w:t>
      </w:r>
    </w:p>
    <w:tbl>
      <w:tblPr>
        <w:tblStyle w:val="3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68" w:type="dxa"/>
          <w:bottom w:w="57" w:type="dxa"/>
          <w:right w:w="68" w:type="dxa"/>
        </w:tblCellMar>
      </w:tblPr>
      <w:tblGrid>
        <w:gridCol w:w="861"/>
        <w:gridCol w:w="1821"/>
        <w:gridCol w:w="3617"/>
        <w:gridCol w:w="254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序号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名　称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爆炸下限（体积容积）%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闪点（闭口）℃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氢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4.1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＜</w:t>
            </w:r>
            <w:r>
              <w:rPr>
                <w:rFonts w:ascii="Symbol" w:hAnsi="Symbol" w:cs="宋体"/>
                <w:sz w:val="21"/>
                <w:lang w:bidi="ar"/>
              </w:rPr>
              <w:t></w:t>
            </w:r>
            <w:r>
              <w:rPr>
                <w:rFonts w:hint="eastAsia" w:cs="宋体"/>
                <w:sz w:val="21"/>
                <w:lang w:bidi="ar"/>
              </w:rPr>
              <w:t>50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一氧化碳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12.5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＜</w:t>
            </w:r>
            <w:r>
              <w:rPr>
                <w:rFonts w:ascii="Symbol" w:hAnsi="Symbol" w:cs="宋体"/>
                <w:sz w:val="21"/>
                <w:lang w:bidi="ar"/>
              </w:rPr>
              <w:t></w:t>
            </w:r>
            <w:r>
              <w:rPr>
                <w:rFonts w:cs="宋体"/>
                <w:sz w:val="21"/>
                <w:vertAlign w:val="superscript"/>
                <w:lang w:bidi="ar"/>
              </w:rPr>
              <w:t> </w:t>
            </w:r>
            <w:r>
              <w:rPr>
                <w:rFonts w:hint="eastAsia" w:cs="宋体"/>
                <w:sz w:val="21"/>
                <w:lang w:bidi="ar"/>
              </w:rPr>
              <w:t>50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3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甲烷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5.3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ascii="Symbol" w:hAnsi="Symbol" w:cs="宋体"/>
                <w:sz w:val="21"/>
                <w:lang w:bidi="ar"/>
              </w:rPr>
              <w:t></w:t>
            </w:r>
            <w:r>
              <w:rPr>
                <w:rFonts w:hint="eastAsia" w:cs="宋体"/>
                <w:sz w:val="21"/>
                <w:lang w:bidi="ar"/>
              </w:rPr>
              <w:t>188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4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甲醛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7.0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50（37%）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5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乙炔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2.1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＜</w:t>
            </w:r>
            <w:r>
              <w:rPr>
                <w:rFonts w:ascii="Symbol" w:hAnsi="Symbol" w:cs="宋体"/>
                <w:sz w:val="21"/>
                <w:lang w:bidi="ar"/>
              </w:rPr>
              <w:t></w:t>
            </w:r>
            <w:r>
              <w:rPr>
                <w:rFonts w:cs="宋体"/>
                <w:sz w:val="21"/>
                <w:vertAlign w:val="superscript"/>
                <w:lang w:bidi="ar"/>
              </w:rPr>
              <w:t> </w:t>
            </w:r>
            <w:r>
              <w:rPr>
                <w:rFonts w:hint="eastAsia" w:cs="宋体"/>
                <w:sz w:val="21"/>
                <w:lang w:bidi="ar"/>
              </w:rPr>
              <w:t>50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6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乙醇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3.3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12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7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丙酮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2.5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ascii="Symbol" w:hAnsi="Symbol" w:cs="宋体"/>
                <w:sz w:val="21"/>
                <w:lang w:bidi="ar"/>
              </w:rPr>
              <w:t></w:t>
            </w:r>
            <w:r>
              <w:rPr>
                <w:rFonts w:hint="eastAsia" w:cs="宋体"/>
                <w:sz w:val="21"/>
                <w:lang w:bidi="ar"/>
              </w:rPr>
              <w:t>20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8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糠醛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2.1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60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9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氨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15.7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10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水合肼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3.5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72.8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11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硫化氢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4.0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＜</w:t>
            </w:r>
            <w:r>
              <w:rPr>
                <w:rFonts w:ascii="Symbol" w:hAnsi="Symbol" w:cs="宋体"/>
                <w:sz w:val="21"/>
                <w:lang w:bidi="ar"/>
              </w:rPr>
              <w:t></w:t>
            </w:r>
            <w:r>
              <w:rPr>
                <w:rFonts w:cs="宋体"/>
                <w:sz w:val="21"/>
                <w:vertAlign w:val="superscript"/>
                <w:lang w:bidi="ar"/>
              </w:rPr>
              <w:t> </w:t>
            </w:r>
            <w:r>
              <w:rPr>
                <w:rFonts w:hint="eastAsia" w:cs="宋体"/>
                <w:sz w:val="21"/>
                <w:lang w:bidi="ar"/>
              </w:rPr>
              <w:t>50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12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苯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1.2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ascii="Symbol" w:hAnsi="Symbol" w:cs="宋体"/>
                <w:sz w:val="21"/>
                <w:lang w:bidi="ar"/>
              </w:rPr>
              <w:t></w:t>
            </w:r>
            <w:r>
              <w:rPr>
                <w:rFonts w:hint="eastAsia" w:cs="宋体"/>
                <w:sz w:val="21"/>
                <w:lang w:bidi="ar"/>
              </w:rPr>
              <w:t>11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13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甲苯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1.2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4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14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对二甲苯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1.1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25</w:t>
            </w:r>
          </w:p>
        </w:tc>
      </w:tr>
    </w:tbl>
    <w:p>
      <w:pPr>
        <w:pStyle w:val="9"/>
        <w:topLinePunct w:val="0"/>
        <w:rPr>
          <w:rFonts w:hint="eastAsia"/>
        </w:rPr>
      </w:pPr>
      <w:r>
        <w:rPr>
          <w:rFonts w:hint="eastAsia"/>
        </w:rPr>
        <w:t>续</w:t>
      </w:r>
      <w:r>
        <w:t>表</w:t>
      </w:r>
    </w:p>
    <w:tbl>
      <w:tblPr>
        <w:tblStyle w:val="3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68" w:type="dxa"/>
          <w:bottom w:w="57" w:type="dxa"/>
          <w:right w:w="68" w:type="dxa"/>
        </w:tblCellMar>
      </w:tblPr>
      <w:tblGrid>
        <w:gridCol w:w="861"/>
        <w:gridCol w:w="1821"/>
        <w:gridCol w:w="3617"/>
        <w:gridCol w:w="254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序号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名　称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爆炸下限（体积容积）%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bCs/>
                <w:sz w:val="21"/>
              </w:rPr>
            </w:pPr>
            <w:r>
              <w:rPr>
                <w:rFonts w:hint="eastAsia" w:cs="宋体"/>
                <w:bCs/>
                <w:sz w:val="21"/>
              </w:rPr>
              <w:t>闪点（闭口）℃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15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邻二甲苯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1.0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30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16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间二甲苯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1.1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25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17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环氧氯丙烷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3.8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34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18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汽油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1.3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50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19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煤油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0.7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43</w:t>
            </w:r>
            <w:r>
              <w:rPr>
                <w:rFonts w:hint="eastAsia" w:cs="宋体"/>
                <w:sz w:val="21"/>
              </w:rPr>
              <w:t>～</w:t>
            </w:r>
            <w:r>
              <w:rPr>
                <w:rFonts w:hint="eastAsia" w:cs="宋体"/>
                <w:sz w:val="21"/>
                <w:lang w:bidi="ar"/>
              </w:rPr>
              <w:t>72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20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天然气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5.0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21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城市煤气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4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—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68" w:type="dxa"/>
            <w:bottom w:w="57" w:type="dxa"/>
            <w:right w:w="68" w:type="dxa"/>
          </w:tblCellMar>
        </w:tblPrEx>
        <w:trPr>
          <w:cantSplit/>
          <w:jc w:val="center"/>
        </w:trPr>
        <w:tc>
          <w:tcPr>
            <w:tcW w:w="86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22</w:t>
            </w:r>
          </w:p>
        </w:tc>
        <w:tc>
          <w:tcPr>
            <w:tcW w:w="1821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液化石油气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5.0</w:t>
            </w:r>
          </w:p>
        </w:tc>
        <w:tc>
          <w:tcPr>
            <w:tcW w:w="254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 w:cs="宋体"/>
                <w:sz w:val="21"/>
                <w:lang w:bidi="ar"/>
              </w:rPr>
              <w:t>71</w:t>
            </w:r>
          </w:p>
        </w:tc>
      </w:tr>
    </w:tbl>
    <w:p>
      <w:pPr>
        <w:pStyle w:val="5"/>
        <w:topLinePunct w:val="0"/>
        <w:outlineLvl w:val="9"/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Microsoft YaHei UI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725A76"/>
    <w:rsid w:val="041F6EE5"/>
    <w:rsid w:val="4831562F"/>
    <w:rsid w:val="5172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opLinePunct/>
      <w:jc w:val="both"/>
    </w:pPr>
    <w:rPr>
      <w:rFonts w:ascii="Times New Roman" w:hAnsi="Times New Roman" w:eastAsia="方正仿宋_GBK" w:cs="Times New Roman"/>
      <w:kern w:val="2"/>
      <w:sz w:val="32"/>
      <w:szCs w:val="21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样式7"/>
    <w:basedOn w:val="2"/>
    <w:qFormat/>
    <w:uiPriority w:val="0"/>
    <w:pPr>
      <w:keepNext w:val="0"/>
      <w:keepLines w:val="0"/>
      <w:shd w:val="clear" w:color="FFFFFF" w:fill="auto"/>
      <w:overflowPunct w:val="0"/>
      <w:snapToGrid w:val="0"/>
      <w:spacing w:before="0" w:after="0" w:line="240" w:lineRule="auto"/>
    </w:pPr>
    <w:rPr>
      <w:rFonts w:ascii="黑体" w:eastAsia="黑体"/>
      <w:b w:val="0"/>
    </w:rPr>
  </w:style>
  <w:style w:type="paragraph" w:customStyle="1" w:styleId="6">
    <w:name w:val="样式1B"/>
    <w:basedOn w:val="7"/>
    <w:qFormat/>
    <w:uiPriority w:val="0"/>
    <w:pPr>
      <w:snapToGrid/>
      <w:spacing w:before="0" w:beforeLines="0" w:after="0" w:afterLines="0"/>
    </w:pPr>
    <w:rPr>
      <w:rFonts w:ascii="黑体" w:eastAsia="黑体"/>
      <w:b/>
      <w:sz w:val="32"/>
      <w:szCs w:val="32"/>
    </w:rPr>
  </w:style>
  <w:style w:type="paragraph" w:customStyle="1" w:styleId="7">
    <w:name w:val="样式1"/>
    <w:basedOn w:val="1"/>
    <w:qFormat/>
    <w:uiPriority w:val="0"/>
    <w:pPr>
      <w:adjustRightInd w:val="0"/>
      <w:snapToGrid w:val="0"/>
      <w:spacing w:before="579" w:beforeLines="100" w:after="289" w:afterLines="50"/>
      <w:ind w:left="1134" w:right="1134"/>
      <w:jc w:val="center"/>
    </w:pPr>
    <w:rPr>
      <w:rFonts w:ascii="方正小标宋_GBK" w:eastAsia="方正小标宋_GBK"/>
      <w:sz w:val="44"/>
      <w:szCs w:val="44"/>
    </w:rPr>
  </w:style>
  <w:style w:type="paragraph" w:customStyle="1" w:styleId="8">
    <w:name w:val="表头  居中"/>
    <w:qFormat/>
    <w:uiPriority w:val="0"/>
    <w:pPr>
      <w:spacing w:before="200" w:after="100" w:line="320" w:lineRule="exact"/>
      <w:jc w:val="center"/>
    </w:pPr>
    <w:rPr>
      <w:rFonts w:ascii="方正小标宋_GBK" w:hAnsi="Times New Roman" w:eastAsia="黑体" w:cs="Times New Roman"/>
      <w:bCs/>
      <w:kern w:val="2"/>
      <w:sz w:val="24"/>
      <w:szCs w:val="24"/>
      <w:lang w:val="en-US" w:eastAsia="zh-CN" w:bidi="ar-SA"/>
    </w:rPr>
  </w:style>
  <w:style w:type="paragraph" w:customStyle="1" w:styleId="9">
    <w:name w:val="表续  宋右3.5"/>
    <w:basedOn w:val="1"/>
    <w:qFormat/>
    <w:uiPriority w:val="0"/>
    <w:pPr>
      <w:ind w:right="199"/>
      <w:jc w:val="right"/>
    </w:pPr>
    <w:rPr>
      <w:rFonts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2025-04-13T10:49:00Z</dcterms:created>
  <dc:creator>admin</dc:creator>
  <cp:lastModifiedBy>ajjk</cp:lastModifiedBy>
  <dcterms:modified xsi:type="dcterms:W3CDTF">2025-04-24T04:33:13Z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2C8C6A86958B4889A3F0B6029D8CF2A7</vt:lpwstr>
  </property>
</Properties>
</file>