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00A8D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本方案要回答的三个问题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【甲方名称】希望明确三件事：TryQuant 究竟做了什么、我们能否把它复刻出来、以及复刻之后如何形成足以拉开差距的产品力。本方案分别对应给出调研结论、复刻路径与超越设计，并以模块化方式给出可直接进入商务谈判的报价。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FFFFFF" w:sz="10"/>
          <w:insideV w:val="single" w:color="FFFFFF" w:sz="1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6"/>
                <w:szCs w:val="26"/>
              </w:rPr>
              <w:t xml:space="preserve">01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方案总览与核心结论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一页读懂 · 核心判断 · 交付范围 · 合规立场</w:t>
            </w:r>
          </w:p>
        </w:tc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D4AB6"/>
                <w:sz w:val="26"/>
                <w:szCs w:val="26"/>
              </w:rPr>
              <w:t xml:space="preserve">02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深度调研：三家标的拆解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TryQuant · BigQuant · i问财 全解剖</w:t>
            </w:r>
          </w:p>
        </w:tc>
      </w:tr>
      <w:tr>
        <w:trPr>
          <w:cantSplit/>
        </w:trPr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26"/>
                <w:szCs w:val="26"/>
              </w:rPr>
              <w:t xml:space="preserve">03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能力缺口与机会窗口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市场空白区定位与时间窗判断</w:t>
            </w:r>
          </w:p>
        </w:tc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1D4ED8"/>
                <w:sz w:val="26"/>
                <w:szCs w:val="26"/>
              </w:rPr>
              <w:t xml:space="preserve">04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复刻路径：对标能力还原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还原清单 · 主动放弃项 · 技术要点</w:t>
            </w:r>
          </w:p>
        </w:tc>
      </w:tr>
      <w:tr>
        <w:trPr>
          <w:cantSplit/>
        </w:trPr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26"/>
                <w:szCs w:val="26"/>
              </w:rPr>
              <w:t xml:space="preserve">05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超越方案：四大差异化引擎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投研闭环 · 舆情引擎 · Agent · 白标</w:t>
            </w:r>
          </w:p>
        </w:tc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284C7"/>
                <w:sz w:val="26"/>
                <w:szCs w:val="26"/>
              </w:rPr>
              <w:t xml:space="preserve">06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技术架构与双版本设计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六层架构 · 内核复用 · 技术栈选型</w:t>
            </w:r>
          </w:p>
        </w:tc>
      </w:tr>
      <w:tr>
        <w:trPr>
          <w:cantSplit/>
        </w:trPr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6"/>
                <w:szCs w:val="26"/>
              </w:rPr>
              <w:t xml:space="preserve">07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模块化报价方案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模块明细 · 组合报价 · 付款节点</w:t>
            </w:r>
          </w:p>
        </w:tc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6"/>
                <w:szCs w:val="26"/>
              </w:rPr>
              <w:t xml:space="preserve">08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交付计划与里程碑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4–5 个月三期交付 · 验收标准</w:t>
            </w:r>
          </w:p>
        </w:tc>
      </w:tr>
      <w:tr>
        <w:trPr>
          <w:cantSplit/>
        </w:trPr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26"/>
                <w:szCs w:val="26"/>
              </w:rPr>
              <w:t xml:space="preserve">09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风险控制与合规边界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合规红线 · 采集边界 · 风险登记</w:t>
            </w:r>
          </w:p>
        </w:tc>
        <w:tc>
          <w:tcPr>
            <w:tcW w:type="dxa" w:w="4953"/>
            <w:shd w:fill="F2F6FB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8B5CF6"/>
                <w:sz w:val="26"/>
                <w:szCs w:val="26"/>
              </w:rPr>
              <w:t xml:space="preserve">10   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附录与交付清单</w:t>
            </w:r>
          </w:p>
          <w:p>
            <w:pPr>
              <w:spacing w:after="0" w:before="0" w:line="270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交付物 · 指标定义 · 术语 · 商务条款</w:t>
            </w:r>
          </w:p>
        </w:tc>
      </w:tr>
    </w:tbl>
    <w:p>
      <w:pPr>
        <w:spacing w:after="1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2"/>
        <w:keepNext/>
        <w:pBdr>
          <w:left w:val="single" w:color="00A8D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一页读懂本方案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single" w:color="FFFFFF" w:sz="8"/>
        </w:tblBorders>
      </w:tblPr>
      <w:tblGrid>
        <w:gridCol w:w="2476"/>
        <w:gridCol w:w="2476"/>
        <w:gridCol w:w="2476"/>
        <w:gridCol w:w="2478"/>
      </w:tblGrid>
      <w:tr>
        <w:trPr>
          <w:cantSplit/>
        </w:trPr>
        <w:tc>
          <w:tcPr>
            <w:tcW w:type="dxa" w:w="2476"/>
            <w:shd w:fill="F2F6F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3 家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深度拆解标的</w:t>
            </w:r>
          </w:p>
        </w:tc>
        <w:tc>
          <w:tcPr>
            <w:tcW w:type="dxa" w:w="2476"/>
            <w:shd w:fill="F2F6F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2 个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交付版本（境内／境外）</w:t>
            </w:r>
          </w:p>
        </w:tc>
        <w:tc>
          <w:tcPr>
            <w:tcW w:type="dxa" w:w="2476"/>
            <w:shd w:fill="F2F6F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4 大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差异化引擎</w:t>
            </w:r>
          </w:p>
        </w:tc>
        <w:tc>
          <w:tcPr>
            <w:tcW w:type="dxa" w:w="2478"/>
            <w:shd w:fill="F2F6F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4–5 月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总交付周期</w:t>
            </w:r>
          </w:p>
        </w:tc>
      </w:tr>
    </w:tbl>
    <w:p>
      <w:pPr>
        <w:spacing w:after="12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本方案的核心主张是：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不做第四个 TryQuant，而是占据 TryQuant、BigQuant、i问财 三家共同留下的空白区——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C9C86"/>
          <w:sz w:val="21"/>
          <w:szCs w:val="21"/>
        </w:rPr>
        <w:t xml:space="preserve">对话式交互 × 完整投研深度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。TryQuant 有闭环但没有研究深度，BigQuant 有研究深度但门槛极高，i问财 有对话入口但既不验证也不闭环。三家的能力边界恰好围出了一块无人占领的高价值区域。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落到产品上，就是让用户用一句自然语言跑完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1"/>
          <w:szCs w:val="21"/>
        </w:rPr>
        <w:t xml:space="preserve">「想法 → 因子 → 回测 → 组合 → 监控 → 归因」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的完整研究链路，并且每一步的产出都可审计、可复现、可导出。这是本方案与所有对标产品最根本的分野。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合规立场声明（贯穿全案）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本方案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不包含任何交易执行能力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。产品能力止步于投资研究、信息聚合与信号呈现，不提供下单、撮合、杠杆、永续合约、资金托管或代客理财中的任何一项。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架构层面仅预留标准化的持牌机构对接位（L0 层）；是否接入、接入谁、由谁承担合规责任，完全由【甲方名称】自行决策，不在本次交付与报价范围内。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因此，报价表中不出现交易执行模块的任何价格项。这不是遗漏，是刻意的合规设计。</w:t>
            </w:r>
          </w:p>
        </w:tc>
      </w:tr>
    </w:tbl>
    <w:p>
      <w:pPr>
        <w:spacing w:after="12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2"/>
        <w:keepNext/>
        <w:pBdr>
          <w:left w:val="single" w:color="00A8D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核心判断：三家标的的真实位置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我们对三家标的做了不同深度的调研：TryQuant 基于其投资人路演材料、产品需求文档、以及 24 屏真实产品实测截图完成全解剖；BigQuant 与 i问财 基于公开产品资料与行业公开信息完成能力测绘。结论如下表。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345"/>
        <w:gridCol w:w="1834"/>
        <w:gridCol w:w="2079"/>
        <w:gridCol w:w="2201"/>
        <w:gridCol w:w="2447"/>
      </w:tblGrid>
      <w:tr>
        <w:trPr>
          <w:cantSplit/>
          <w:tblHeader/>
        </w:trPr>
        <w:tc>
          <w:tcPr>
            <w:tcW w:type="dxa" w:w="134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标的</w:t>
            </w:r>
          </w:p>
        </w:tc>
        <w:tc>
          <w:tcPr>
            <w:tcW w:type="dxa" w:w="183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核心形态</w:t>
            </w:r>
          </w:p>
        </w:tc>
        <w:tc>
          <w:tcPr>
            <w:tcW w:type="dxa" w:w="207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最强的一环</w:t>
            </w:r>
          </w:p>
        </w:tc>
        <w:tc>
          <w:tcPr>
            <w:tcW w:type="dxa" w:w="22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最致命的缺口</w:t>
            </w:r>
          </w:p>
        </w:tc>
        <w:tc>
          <w:tcPr>
            <w:tcW w:type="dxa" w:w="244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对我们的启发</w:t>
            </w:r>
          </w:p>
        </w:tc>
      </w:tr>
      <w:tr>
        <w:trPr>
          <w:cantSplit/>
        </w:trPr>
        <w:tc>
          <w:tcPr>
            <w:tcW w:type="dxa" w:w="134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TryQuant</w:t>
            </w:r>
          </w:p>
        </w:tc>
        <w:tc>
          <w:tcPr>
            <w:tcW w:type="dxa" w:w="18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对话式 + 情报闭环</w:t>
            </w:r>
          </w:p>
        </w:tc>
        <w:tc>
          <w:tcPr>
            <w:tcW w:type="dxa" w:w="207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交互体验与情报聚合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无因子、无回测、无归因</w:t>
            </w:r>
          </w:p>
        </w:tc>
        <w:tc>
          <w:tcPr>
            <w:tcW w:type="dxa" w:w="24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抄它的交互，不抄它的深度缺失</w:t>
            </w:r>
          </w:p>
        </w:tc>
      </w:tr>
      <w:tr>
        <w:trPr>
          <w:cantSplit/>
        </w:trPr>
        <w:tc>
          <w:tcPr>
            <w:tcW w:type="dxa" w:w="134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BigQuant</w:t>
            </w:r>
          </w:p>
        </w:tc>
        <w:tc>
          <w:tcPr>
            <w:tcW w:type="dxa" w:w="18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Cloud IDE + 因子平台</w:t>
            </w:r>
          </w:p>
        </w:tc>
        <w:tc>
          <w:tcPr>
            <w:tcW w:type="dxa" w:w="207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研究深度与回测引擎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必须会写 Python，门槛极高</w:t>
            </w:r>
          </w:p>
        </w:tc>
        <w:tc>
          <w:tcPr>
            <w:tcW w:type="dxa" w:w="24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抄它的引擎，不抄它的门槛</w:t>
            </w:r>
          </w:p>
        </w:tc>
      </w:tr>
      <w:tr>
        <w:trPr>
          <w:cantSplit/>
        </w:trPr>
        <w:tc>
          <w:tcPr>
            <w:tcW w:type="dxa" w:w="134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i问财</w:t>
            </w:r>
          </w:p>
        </w:tc>
        <w:tc>
          <w:tcPr>
            <w:tcW w:type="dxa" w:w="18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自然语言选股</w:t>
            </w:r>
          </w:p>
        </w:tc>
        <w:tc>
          <w:tcPr>
            <w:tcW w:type="dxa" w:w="207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中文金融语义理解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只筛选，不验证不闭环</w:t>
            </w:r>
          </w:p>
        </w:tc>
        <w:tc>
          <w:tcPr>
            <w:tcW w:type="dxa" w:w="24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抄它的语义层，补上验证链路</w:t>
            </w:r>
          </w:p>
        </w:tc>
      </w:tr>
    </w:tbl>
    <w:p>
      <w:pPr>
        <w:spacing w:after="1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2"/>
        <w:keepNext/>
        <w:pBdr>
          <w:left w:val="single" w:color="00A8D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交付范围与报价摘要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报价采用模块制，按能力域计价，不按人天计价。整体拆为「共用平台内核 + 超越模块 + 两个地区适配包 + B端白标 + 交付保障」六大块，甲方可按需组合。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869"/>
        <w:gridCol w:w="1912"/>
        <w:gridCol w:w="5561"/>
        <w:gridCol w:w="1564"/>
      </w:tblGrid>
      <w:tr>
        <w:trPr>
          <w:cantSplit/>
          <w:tblHeader/>
        </w:trPr>
        <w:tc>
          <w:tcPr>
            <w:tcW w:type="dxa" w:w="86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代号</w:t>
            </w:r>
          </w:p>
        </w:tc>
        <w:tc>
          <w:tcPr>
            <w:tcW w:type="dxa" w:w="191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模块群</w:t>
            </w:r>
          </w:p>
        </w:tc>
        <w:tc>
          <w:tcPr>
            <w:tcW w:type="dxa" w:w="55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内容概要</w:t>
            </w:r>
          </w:p>
        </w:tc>
        <w:tc>
          <w:tcPr>
            <w:tcW w:type="dxa" w:w="156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报价（万元）</w:t>
            </w:r>
          </w:p>
        </w:tc>
      </w:tr>
      <w:tr>
        <w:trPr>
          <w:cantSplit/>
        </w:trPr>
        <w:tc>
          <w:tcPr>
            <w:tcW w:type="dxa" w:w="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</w:t>
            </w:r>
          </w:p>
        </w:tc>
        <w:tc>
          <w:tcPr>
            <w:tcW w:type="dxa" w:w="191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平台内核</w:t>
            </w:r>
          </w:p>
        </w:tc>
        <w:tc>
          <w:tcPr>
            <w:tcW w:type="dxa" w:w="55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账号、数据中台、AI 对话内核、RAG、图表引擎、基础设施</w:t>
            </w:r>
          </w:p>
        </w:tc>
        <w:tc>
          <w:tcPr>
            <w:tcW w:type="dxa" w:w="15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168</w:t>
            </w:r>
          </w:p>
        </w:tc>
      </w:tr>
      <w:tr>
        <w:trPr>
          <w:cantSplit/>
        </w:trPr>
        <w:tc>
          <w:tcPr>
            <w:tcW w:type="dxa" w:w="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</w:t>
            </w:r>
          </w:p>
        </w:tc>
        <w:tc>
          <w:tcPr>
            <w:tcW w:type="dxa" w:w="191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超越模块</w:t>
            </w:r>
          </w:p>
        </w:tc>
        <w:tc>
          <w:tcPr>
            <w:tcW w:type="dxa" w:w="55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因子引擎、回测归因、舆情引擎、Agent 托管、组合风控</w:t>
            </w:r>
          </w:p>
        </w:tc>
        <w:tc>
          <w:tcPr>
            <w:tcW w:type="dxa" w:w="15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</w:t>
            </w:r>
          </w:p>
        </w:tc>
        <w:tc>
          <w:tcPr>
            <w:tcW w:type="dxa" w:w="191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境内地区包</w:t>
            </w:r>
          </w:p>
        </w:tc>
        <w:tc>
          <w:tcPr>
            <w:tcW w:type="dxa" w:w="55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A股数据源、境内舆情源、境内合规适配</w:t>
            </w:r>
          </w:p>
        </w:tc>
        <w:tc>
          <w:tcPr>
            <w:tcW w:type="dxa" w:w="15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</w:t>
            </w:r>
          </w:p>
        </w:tc>
        <w:tc>
          <w:tcPr>
            <w:tcW w:type="dxa" w:w="191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境外地区包</w:t>
            </w:r>
          </w:p>
        </w:tc>
        <w:tc>
          <w:tcPr>
            <w:tcW w:type="dxa" w:w="55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港美股／加密数据源、境外舆情源、境外合规适配</w:t>
            </w:r>
          </w:p>
        </w:tc>
        <w:tc>
          <w:tcPr>
            <w:tcW w:type="dxa" w:w="15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</w:t>
            </w:r>
          </w:p>
        </w:tc>
        <w:tc>
          <w:tcPr>
            <w:tcW w:type="dxa" w:w="191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B端白标</w:t>
            </w:r>
          </w:p>
        </w:tc>
        <w:tc>
          <w:tcPr>
            <w:tcW w:type="dxa" w:w="55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多租户隔离、开放 API、白标组件、计量结算</w:t>
            </w:r>
          </w:p>
        </w:tc>
        <w:tc>
          <w:tcPr>
            <w:tcW w:type="dxa" w:w="15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</w:t>
            </w:r>
          </w:p>
        </w:tc>
        <w:tc>
          <w:tcPr>
            <w:tcW w:type="dxa" w:w="191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19"/>
                <w:szCs w:val="19"/>
              </w:rPr>
              <w:t xml:space="preserve">交付保障</w:t>
            </w:r>
          </w:p>
        </w:tc>
        <w:tc>
          <w:tcPr>
            <w:tcW w:type="dxa" w:w="55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测试验收、部署上线、文档培训</w:t>
            </w:r>
          </w:p>
        </w:tc>
        <w:tc>
          <w:tcPr>
            <w:tcW w:type="dxa" w:w="15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869"/>
            <w:shd w:fill="FFF9E9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—</w:t>
            </w:r>
          </w:p>
        </w:tc>
        <w:tc>
          <w:tcPr>
            <w:tcW w:type="dxa" w:w="1912"/>
            <w:shd w:fill="FFF9E9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交易执行</w:t>
            </w:r>
          </w:p>
        </w:tc>
        <w:tc>
          <w:tcPr>
            <w:tcW w:type="dxa" w:w="5561"/>
            <w:shd w:fill="FFF9E9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本方案不含，仅预留持牌方对接位</w:t>
            </w:r>
          </w:p>
        </w:tc>
        <w:tc>
          <w:tcPr>
            <w:tcW w:type="dxa" w:w="1564"/>
            <w:shd w:fill="FFF9E9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不报价</w:t>
            </w:r>
          </w:p>
        </w:tc>
      </w:tr>
    </w:tbl>
    <w:p>
      <w:pPr>
        <w:spacing w:after="10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single" w:color="FFFFFF" w:sz="8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shd w:fill="EAF7F1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32"/>
                <w:szCs w:val="32"/>
              </w:rPr>
              <w:t xml:space="preserve">418 万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组合一 · 境内单区</w:t>
            </w:r>
          </w:p>
        </w:tc>
        <w:tc>
          <w:tcPr>
            <w:tcW w:type="dxa" w:w="3302"/>
            <w:shd w:fill="EAF6FC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462 万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组合二 · 双区全量</w:t>
            </w:r>
          </w:p>
        </w:tc>
        <w:tc>
          <w:tcPr>
            <w:tcW w:type="dxa" w:w="3302"/>
            <w:shd w:fill="FBF4E3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32"/>
                <w:szCs w:val="32"/>
              </w:rPr>
              <w:t xml:space="preserve">500 万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组合三 · 全量含白标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6B7B93"/>
          <w:sz w:val="19"/>
          <w:szCs w:val="19"/>
        </w:rPr>
        <w:t xml:space="preserve">上述价格为开发交付费用，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3261E"/>
          <w:sz w:val="19"/>
          <w:szCs w:val="19"/>
        </w:rPr>
        <w:t xml:space="preserve">不含第三方数据源采购、大模型推理费与云资源费用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6B7B93"/>
          <w:sz w:val="19"/>
          <w:szCs w:val="19"/>
        </w:rPr>
        <w:t xml:space="preserve">，该部分由甲方自行采购，本方案第 7.6 节附独立预算清单供参考。</w:t>
      </w:r>
    </w:p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2.1  调研方法与信息来源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三家标的的可获取信息深度差异很大，我们据实说明调研口径，避免把推测当成结论。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537"/>
        <w:gridCol w:w="5465"/>
        <w:gridCol w:w="1537"/>
        <w:gridCol w:w="1367"/>
      </w:tblGrid>
      <w:tr>
        <w:trPr>
          <w:cantSplit/>
          <w:tblHeader/>
        </w:trPr>
        <w:tc>
          <w:tcPr>
            <w:tcW w:type="dxa" w:w="153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标的</w:t>
            </w:r>
          </w:p>
        </w:tc>
        <w:tc>
          <w:tcPr>
            <w:tcW w:type="dxa" w:w="546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信息来源</w:t>
            </w:r>
          </w:p>
        </w:tc>
        <w:tc>
          <w:tcPr>
            <w:tcW w:type="dxa" w:w="153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调研深度</w:t>
            </w:r>
          </w:p>
        </w:tc>
        <w:tc>
          <w:tcPr>
            <w:tcW w:type="dxa" w:w="136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结论可信度</w:t>
            </w:r>
          </w:p>
        </w:tc>
      </w:tr>
      <w:tr>
        <w:trPr>
          <w:cantSplit/>
        </w:trPr>
        <w:tc>
          <w:tcPr>
            <w:tcW w:type="dxa" w:w="15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TryQuant</w:t>
            </w:r>
          </w:p>
        </w:tc>
        <w:tc>
          <w:tcPr>
            <w:tcW w:type="dxa" w:w="546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投资人路演材料（25 页）、产品需求文档 V1.0、24 屏真实产品实测截图、公开新闻稿</w:t>
            </w:r>
          </w:p>
        </w:tc>
        <w:tc>
          <w:tcPr>
            <w:tcW w:type="dxa" w:w="15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全解剖</w:t>
            </w:r>
          </w:p>
        </w:tc>
        <w:tc>
          <w:tcPr>
            <w:tcW w:type="dxa" w:w="136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15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BigQuant</w:t>
            </w:r>
          </w:p>
        </w:tc>
        <w:tc>
          <w:tcPr>
            <w:tcW w:type="dxa" w:w="546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官方产品文档、平台使用指南、公开课程与会员体系资料</w:t>
            </w:r>
          </w:p>
        </w:tc>
        <w:tc>
          <w:tcPr>
            <w:tcW w:type="dxa" w:w="15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能力测绘</w:t>
            </w:r>
          </w:p>
        </w:tc>
        <w:tc>
          <w:tcPr>
            <w:tcW w:type="dxa" w:w="136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中高</w:t>
            </w:r>
          </w:p>
        </w:tc>
      </w:tr>
      <w:tr>
        <w:trPr>
          <w:cantSplit/>
        </w:trPr>
        <w:tc>
          <w:tcPr>
            <w:tcW w:type="dxa" w:w="15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i问财</w:t>
            </w:r>
          </w:p>
        </w:tc>
        <w:tc>
          <w:tcPr>
            <w:tcW w:type="dxa" w:w="546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官方产品说明、公开 API 文档、第三方技术分析资料</w:t>
            </w:r>
          </w:p>
        </w:tc>
        <w:tc>
          <w:tcPr>
            <w:tcW w:type="dxa" w:w="15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能力测绘</w:t>
            </w:r>
          </w:p>
        </w:tc>
        <w:tc>
          <w:tcPr>
            <w:tcW w:type="dxa" w:w="136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中高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4780C" w:sz="4"/>
          <w:left w:val="single" w:color="B4780C" w:sz="24"/>
          <w:bottom w:val="single" w:color="B4780C" w:sz="4"/>
          <w:right w:val="single" w:color="B4780C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FFBE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22"/>
                <w:szCs w:val="22"/>
              </w:rPr>
              <w:t xml:space="preserve">关于调研边界的说明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TryQuant 官网与应用域名在本次调研环境中处于网络策略限制状态，无法直接访问其线上页面。TryQuant 部分的产品能力结论，全部基于甲方提供的 24 屏真实产品实测截图与内部文档交叉验证得出，未使用任何猜测性描述。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BigQuant 与 i问财 同样无法直接访问，相关结论基于公开产品资料整理，属能力测绘而非逐屏实测，在使用时请注意这一深度差异。</w:t>
            </w:r>
          </w:p>
        </w:tc>
      </w:tr>
    </w:tbl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2.2  TryQuant 全解剖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D4AB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2.2.1  产品定位与融资叙事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TryQuant 对外定位为「金融市场的 AI 界面」（The AI interface for financial markets），主张把金融操作压缩成一个交互模型：ask → confirm → execute。其融资材料显示为 1,000 万美元种子轮、1 亿美元投前估值，产品切入点是「用语音买加密／黄金」这一极易理解的楔子。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其分发设计有三条路径：原生协议直连、连接用户已有交易所账户、以及面向交易所与券商的白标 B2B 嵌入。这个三路径设计是合理的，我们在超越方案中保留并强化了其中的 B2B 路径（见 5.5 节）。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D4AB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2.2.2  实际产品能力：24 屏实测结论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这是本次调研最有价值的部分。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实测截图显示，TryQuant 的真实产品完成度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C9C86"/>
          <w:sz w:val="21"/>
          <w:szCs w:val="21"/>
        </w:rPr>
        <w:t xml:space="preserve">显著高于其路演材料的描述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，但同时也比路演材料激进得多。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754"/>
        <w:gridCol w:w="6191"/>
        <w:gridCol w:w="1961"/>
      </w:tblGrid>
      <w:tr>
        <w:trPr>
          <w:cantSplit/>
          <w:tblHeader/>
        </w:trPr>
        <w:tc>
          <w:tcPr>
            <w:tcW w:type="dxa" w:w="175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能力域</w:t>
            </w:r>
          </w:p>
        </w:tc>
        <w:tc>
          <w:tcPr>
            <w:tcW w:type="dxa" w:w="619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实测所见</w:t>
            </w:r>
          </w:p>
        </w:tc>
        <w:tc>
          <w:tcPr>
            <w:tcW w:type="dxa" w:w="19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dxa" w:w="175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信号聚合</w:t>
            </w:r>
          </w:p>
        </w:tc>
        <w:tc>
          <w:tcPr>
            <w:tcW w:type="dxa" w:w="61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X/Twitter 六大 KOL 信号流 + 7 家以上新闻源 + Trading Groups + AI Radar + Whale Tracker 五个标签页</w:t>
            </w:r>
          </w:p>
        </w:tc>
        <w:tc>
          <w:tcPr>
            <w:tcW w:type="dxa" w:w="19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完成度高</w:t>
            </w:r>
          </w:p>
        </w:tc>
      </w:tr>
      <w:tr>
        <w:trPr>
          <w:cantSplit/>
        </w:trPr>
        <w:tc>
          <w:tcPr>
            <w:tcW w:type="dxa" w:w="175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情报到执行</w:t>
            </w:r>
          </w:p>
        </w:tc>
        <w:tc>
          <w:tcPr>
            <w:tcW w:type="dxa" w:w="61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每条推文／新闻下同时挂载「Ask Quant」（AI 解读）与「Buy XXX」（直接下单）双按钮</w:t>
            </w:r>
          </w:p>
        </w:tc>
        <w:tc>
          <w:tcPr>
            <w:tcW w:type="dxa" w:w="19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闭环设计巧妙</w:t>
            </w:r>
          </w:p>
        </w:tc>
      </w:tr>
      <w:tr>
        <w:trPr>
          <w:cantSplit/>
        </w:trPr>
        <w:tc>
          <w:tcPr>
            <w:tcW w:type="dxa" w:w="175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永续合约</w:t>
            </w:r>
          </w:p>
        </w:tc>
        <w:tc>
          <w:tcPr>
            <w:tcW w:type="dxa" w:w="61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自有品牌 Q-Perps，K线／订单簿／成交明细齐全，最高 40 倍杠杆，全仓逐仓可选，支持市价限价与止盈止损</w:t>
            </w:r>
          </w:p>
        </w:tc>
        <w:tc>
          <w:tcPr>
            <w:tcW w:type="dxa" w:w="19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远超路演描述</w:t>
            </w:r>
          </w:p>
        </w:tc>
      </w:tr>
      <w:tr>
        <w:trPr>
          <w:cantSplit/>
        </w:trPr>
        <w:tc>
          <w:tcPr>
            <w:tcW w:type="dxa" w:w="175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跨资产持仓</w:t>
            </w:r>
          </w:p>
        </w:tc>
        <w:tc>
          <w:tcPr>
            <w:tcW w:type="dxa" w:w="61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同一持仓页同时出现 BTC 与 TSLA、NVDA 的 20 倍全仓杠杆多头</w:t>
            </w:r>
          </w:p>
        </w:tc>
        <w:tc>
          <w:tcPr>
            <w:tcW w:type="dxa" w:w="19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合规风险极高</w:t>
            </w:r>
          </w:p>
        </w:tc>
      </w:tr>
      <w:tr>
        <w:trPr>
          <w:cantSplit/>
        </w:trPr>
        <w:tc>
          <w:tcPr>
            <w:tcW w:type="dxa" w:w="175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行情发现</w:t>
            </w:r>
          </w:p>
        </w:tc>
        <w:tc>
          <w:tcPr>
            <w:tcW w:type="dxa" w:w="61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Fear &amp; Greed、Altcoin Season、BTC Dominance 指数 + Trending／Tokens／Meme／Stocks／Commodities 五板块</w:t>
            </w:r>
          </w:p>
        </w:tc>
        <w:tc>
          <w:tcPr>
            <w:tcW w:type="dxa" w:w="19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完成度高</w:t>
            </w:r>
          </w:p>
        </w:tc>
      </w:tr>
      <w:tr>
        <w:trPr>
          <w:cantSplit/>
        </w:trPr>
        <w:tc>
          <w:tcPr>
            <w:tcW w:type="dxa" w:w="175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聪明钱追踪</w:t>
            </w:r>
          </w:p>
        </w:tc>
        <w:tc>
          <w:tcPr>
            <w:tcW w:type="dxa" w:w="61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可穿透到具体钱包地址，展示该地址权益规模、24h 盈亏、多空比与开平仓明细</w:t>
            </w:r>
          </w:p>
        </w:tc>
        <w:tc>
          <w:tcPr>
            <w:tcW w:type="dxa" w:w="19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差异化亮点</w:t>
            </w:r>
          </w:p>
        </w:tc>
      </w:tr>
      <w:tr>
        <w:trPr>
          <w:cantSplit/>
        </w:trPr>
        <w:tc>
          <w:tcPr>
            <w:tcW w:type="dxa" w:w="175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自然语言执行</w:t>
            </w:r>
          </w:p>
        </w:tc>
        <w:tc>
          <w:tcPr>
            <w:tcW w:type="dxa" w:w="61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输入 buy BTC → 展示思考过程 → 给出 Spot／Perps 可选路由 → 追问金额与模式 → 结构化确认页</w:t>
            </w:r>
          </w:p>
        </w:tc>
        <w:tc>
          <w:tcPr>
            <w:tcW w:type="dxa" w:w="19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交互值得借鉴</w:t>
            </w:r>
          </w:p>
        </w:tc>
      </w:tr>
      <w:tr>
        <w:trPr>
          <w:cantSplit/>
        </w:trPr>
        <w:tc>
          <w:tcPr>
            <w:tcW w:type="dxa" w:w="175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研究深度</w:t>
            </w:r>
          </w:p>
        </w:tc>
        <w:tc>
          <w:tcPr>
            <w:tcW w:type="dxa" w:w="61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全程未见任何因子构建、策略回测、绩效归因能力</w:t>
            </w:r>
          </w:p>
        </w:tc>
        <w:tc>
          <w:tcPr>
            <w:tcW w:type="dxa" w:w="19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结构性缺失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实测得出的关键结论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TryQuant 的 AI 只做了「解读」，没有做「验证」。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它能告诉用户「这条新闻利好 SOL」，但无法回答「这个判断在历史上胜率是多少」。情报与执行之间缺失了整个研究验证环节——而这恰恰是投资决策中最关键的一环，也是我们超越方案的主攻方向。</w:t>
            </w:r>
          </w:p>
        </w:tc>
      </w:tr>
    </w:tbl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D4AB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2.2.3  商业模式与财务模型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TryQuant 的变现设计为五层：原生协议交易费 35%、B2B 授权 20%、订阅 20%、绩效与数据 15%、出入金 10%。订阅分三档：免费／19.99 美元／49.99 美元每月，用户结构假设为 65%／30%／5%。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其基准财务模型给出 2028 年 2.045 亿美元、2029 年 6.294 亿美元收入，对应用户数 65 万与 200 万，人均年收入 314.68 美元。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财务模型的三处内部矛盾（重要）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① 模型是线性外推，没有留存假设。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650,000 × 314.68 = 2.045 亿，2,000,000 × 314.68 = 6.294 亿，两年 ARPU 完全恒定，无流失、无队列衰减、无分层。这不是运营模型，是一个乘法。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② ARPU 口径自相矛盾，偏差 62%。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按其订阅结构测算，订阅年化 ARPU ＝ 0.30×19.99×12 ＋ 0.05×49.99×12 ＝ 101.95 美元；若订阅占收入 20%，隐含总 ARPU 应为 509.75 美元，与模型的 314.68 美元对不上。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③ 战略目标与基准模型相差 6 倍。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战略页称第 12 个月达 100 万 MAU，基准模型同期仅 16 万用户；隐含 ARPU 一个是 60 美元、一个是 314.68 美元，相差 5.2 倍，且未做任何桥接说明。</w:t>
            </w:r>
          </w:p>
        </w:tc>
      </w:tr>
    </w:tbl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这三处矛盾对我们的意义是：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在为【甲方名称】设计商业模型时，必须建立统一的指标口径与队列留存模型，避免重蹈覆辙。我们在第 10.2 节给出了完整的指标定义表，作为交付物的一部分。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D4AB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2.2.4  牵引数据与真实性核验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路演材料（2026 年 4 月）披露：约 6,000 名候补用户、150 名 beta 激活用户、98% 完成至少一次操作、48% 完成钱包充值、48% 完成首笔交易。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需要注意两点。第一，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3261E"/>
          <w:sz w:val="21"/>
          <w:szCs w:val="21"/>
        </w:rPr>
        <w:t xml:space="preserve">样本仅 150 人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，48% 对应约 72 人，且充值率与首次交易率完全相同（意味着充值用户 100% 交易），数据过于干净，统计噪音极大。第二，其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4780C"/>
          <w:sz w:val="21"/>
          <w:szCs w:val="21"/>
        </w:rPr>
        <w:t xml:space="preserve">对外新闻稿在 2026 年 5–6 月宣称候补用户已超过 100,000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，与路演材料的 6,000 相差 16 倍，来源与有效性均未披露。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0A8D6" w:sz="4"/>
          <w:left w:val="single" w:color="00A8D6" w:sz="24"/>
          <w:bottom w:val="single" w:color="00A8D6" w:sz="4"/>
          <w:right w:val="single" w:color="00A8D6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4FAFF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2"/>
                <w:szCs w:val="22"/>
              </w:rPr>
              <w:t xml:space="preserve">给【甲方名称】的直接提示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如果本次合作涉及对 TryQuant 的投资、并购或深度绑定，上述数据落差应作为尽调必查项。但若合作目标是自建对标产品（本方案的假设），则该落差只需作为参考，不影响本方案的技术与产品设计。</w:t>
            </w:r>
          </w:p>
        </w:tc>
      </w:tr>
    </w:tbl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D4AB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2.2.5  合规风险清单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实测截图暴露的合规问题，严重程度显著高于其路演材料所披露的范围。这些是我们在设计本方案时主动规避的：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693"/>
        <w:gridCol w:w="2377"/>
        <w:gridCol w:w="5547"/>
        <w:gridCol w:w="1289"/>
      </w:tblGrid>
      <w:tr>
        <w:trPr>
          <w:cantSplit/>
          <w:tblHeader/>
        </w:trPr>
        <w:tc>
          <w:tcPr>
            <w:tcW w:type="dxa" w:w="69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7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风险点</w:t>
            </w:r>
          </w:p>
        </w:tc>
        <w:tc>
          <w:tcPr>
            <w:tcW w:type="dxa" w:w="554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实测证据</w:t>
            </w:r>
          </w:p>
        </w:tc>
        <w:tc>
          <w:tcPr>
            <w:tcW w:type="dxa" w:w="128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69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237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对美股提供高倍杠杆</w:t>
            </w:r>
          </w:p>
        </w:tc>
        <w:tc>
          <w:tcPr>
            <w:tcW w:type="dxa" w:w="55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持仓页显示 TSLA、NVDA 的 20 倍全仓杠杆多头</w:t>
            </w:r>
          </w:p>
        </w:tc>
        <w:tc>
          <w:tcPr>
            <w:tcW w:type="dxa" w:w="128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69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237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自营永续合约</w:t>
            </w:r>
          </w:p>
        </w:tc>
        <w:tc>
          <w:tcPr>
            <w:tcW w:type="dxa" w:w="55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Q-Perps 自有品牌，最高 40 倍杠杆，USDC on Arbitrum</w:t>
            </w:r>
          </w:p>
        </w:tc>
        <w:tc>
          <w:tcPr>
            <w:tcW w:type="dxa" w:w="128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69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237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代币化股票兑换</w:t>
            </w:r>
          </w:p>
        </w:tc>
        <w:tc>
          <w:tcPr>
            <w:tcW w:type="dxa" w:w="55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对话中直接完成 USDC → TSLAX（代币化特斯拉敞口）兑换</w:t>
            </w:r>
          </w:p>
        </w:tc>
        <w:tc>
          <w:tcPr>
            <w:tcW w:type="dxa" w:w="128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69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237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疑似投资建议</w:t>
            </w:r>
          </w:p>
        </w:tc>
        <w:tc>
          <w:tcPr>
            <w:tcW w:type="dxa" w:w="55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KOL 信号页展示明确价格预测，下方紧挨 Buy 按钮</w:t>
            </w:r>
          </w:p>
        </w:tc>
        <w:tc>
          <w:tcPr>
            <w:tcW w:type="dxa" w:w="128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9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237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跨境用户暴露</w:t>
            </w:r>
          </w:p>
        </w:tc>
        <w:tc>
          <w:tcPr>
            <w:tcW w:type="dxa" w:w="55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产品内出现中文会话记录，含 A股走势预测类提问</w:t>
            </w:r>
          </w:p>
        </w:tc>
        <w:tc>
          <w:tcPr>
            <w:tcW w:type="dxa" w:w="128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69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6</w:t>
            </w:r>
          </w:p>
        </w:tc>
        <w:tc>
          <w:tcPr>
            <w:tcW w:type="dxa" w:w="237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审计未完成即上线</w:t>
            </w:r>
          </w:p>
        </w:tc>
        <w:tc>
          <w:tcPr>
            <w:tcW w:type="dxa" w:w="55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文档称外部安全审计为发布前置条件，但产品已在处理真实资金</w:t>
            </w:r>
          </w:p>
        </w:tc>
        <w:tc>
          <w:tcPr>
            <w:tcW w:type="dxa" w:w="128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F8F68" w:sz="4"/>
          <w:left w:val="single" w:color="0F8F68" w:sz="24"/>
          <w:bottom w:val="single" w:color="0F8F68" w:sz="4"/>
          <w:right w:val="single" w:color="0F8F68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EAF7F1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本方案的规避设计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1"/>
                <w:szCs w:val="21"/>
              </w:rPr>
              <w:t xml:space="preserve">以上六项风险，本方案通过一个根本性设计一次性全部规避：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不做交易执行。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没有下单能力，就没有杠杆问题、没有永续合约问题、没有代币化证券兑换问题、没有资金托管问题。产品能力止步于研究与信号，风险敞口从「金融业务」降级为「信息服务」，这是数量级的差异。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第 4 项（疑似投资建议）与第 5 项（跨境暴露）无法靠不做执行规避，需要在产品层面专门处理，详见第 9 章。</w:t>
            </w:r>
          </w:p>
        </w:tc>
      </w:tr>
    </w:tbl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2.3  BigQuant 拆解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BigQuant 是国内较早将人工智能应用于量化投资的平台级产品，定位为一站式量化学习、投研与交易平台，覆盖 A股、期货、期权、可转债等市场数据。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684"/>
        <w:gridCol w:w="5151"/>
        <w:gridCol w:w="3071"/>
      </w:tblGrid>
      <w:tr>
        <w:trPr>
          <w:cantSplit/>
          <w:tblHeader/>
        </w:trPr>
        <w:tc>
          <w:tcPr>
            <w:tcW w:type="dxa" w:w="168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能力域</w:t>
            </w:r>
          </w:p>
        </w:tc>
        <w:tc>
          <w:tcPr>
            <w:tcW w:type="dxa" w:w="515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具体形态</w:t>
            </w:r>
          </w:p>
        </w:tc>
        <w:tc>
          <w:tcPr>
            <w:tcW w:type="dxa" w:w="307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我们的取舍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AIStudio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以 AI 为核心的 Cloud IDE，覆盖数据分析、因子挖掘、模型开发、回测与自动化交易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借鉴其能力边界，替换其交互形态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因子体系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2,000+ 基础因子库，支持表达式引擎创建衍生因子，提供因子全方位分析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完整对标，并做对话化封装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回测引擎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支持全市场各类策略快速回测，提供图表化结果与深度分析报告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完整对标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模拟交易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由实时行情驱动，用增量数据做样本外测试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对标（不含实盘部分）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开发模式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可视化模块拖拽 + Python 代码双模式，与代码版无缝集成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升级为「对话 + 可视化 + 代码」三模式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社区与课程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宽客学院、量化知识库、PLUS／Pro 会员体系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本期不做，列为后续可选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C42E77" w:sz="4"/>
          <w:left w:val="single" w:color="C42E77" w:sz="24"/>
          <w:bottom w:val="single" w:color="C42E77" w:sz="4"/>
          <w:right w:val="single" w:color="C42E77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DF2F8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22"/>
                <w:szCs w:val="22"/>
              </w:rPr>
              <w:t xml:space="preserve">BigQuant 的真实软肋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门槛。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即便有可视化模块，用户仍需理解因子、模型、回测参数等专业概念才能产出有效策略。这把绝大多数散户与初级投资者挡在门外——而这部分人恰恰是数量最大的群体。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本方案的破解方式：把 BigQuant 的能力全部保留，把它的门槛用对话式交互抹平。用户说「找出最近三个月主力资金持续流入、且市盈率低于行业中位数的股票，回测一下这个策略」，系统自动完成因子构建、筛选、回测与归因，并用自然语言解释每一步。</w:t>
            </w:r>
          </w:p>
        </w:tc>
      </w:tr>
    </w:tbl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2.4  i问财 拆解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i问财 是同花顺旗下的 AI 选股平台，是中文财经领域落地最成功的自然语言问答系统之一。其核心能力是把中文自然语言描述的选股条件，自动解析为结构化的量化筛选条件。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684"/>
        <w:gridCol w:w="5151"/>
        <w:gridCol w:w="3071"/>
      </w:tblGrid>
      <w:tr>
        <w:trPr>
          <w:cantSplit/>
          <w:tblHeader/>
        </w:trPr>
        <w:tc>
          <w:tcPr>
            <w:tcW w:type="dxa" w:w="168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能力域</w:t>
            </w:r>
          </w:p>
        </w:tc>
        <w:tc>
          <w:tcPr>
            <w:tcW w:type="dxa" w:w="515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具体形态</w:t>
            </w:r>
          </w:p>
        </w:tc>
        <w:tc>
          <w:tcPr>
            <w:tcW w:type="dxa" w:w="307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我们的取舍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中文金融语义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支持「市盈率小于20」「连续三天涨停」「日线 MACD 金叉」等复合条件解析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核心借鉴对象，必须做到同等水平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多维度筛选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覆盖技术面、基本面、资金面、概念板块、形态、日期六大维度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完整对标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诊股与百科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个股诊断、市场分析、财经百科问答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对标并升级为 RAG 深度问答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语音问答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支持语音输入的问答交互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完整对标</w:t>
            </w:r>
          </w:p>
        </w:tc>
      </w:tr>
      <w:tr>
        <w:trPr>
          <w:cantSplit/>
        </w:trPr>
        <w:tc>
          <w:tcPr>
            <w:tcW w:type="dxa" w:w="168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开放接口</w:t>
            </w:r>
          </w:p>
        </w:tc>
        <w:tc>
          <w:tcPr>
            <w:tcW w:type="dxa" w:w="515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提供 API 供第三方量化平台调用</w:t>
            </w:r>
          </w:p>
        </w:tc>
        <w:tc>
          <w:tcPr>
            <w:tcW w:type="dxa" w:w="307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对标，作为 B端白标能力的一部分</w:t>
            </w:r>
          </w:p>
        </w:tc>
      </w:tr>
      <w:tr>
        <w:trPr>
          <w:cantSplit/>
        </w:trPr>
        <w:tc>
          <w:tcPr>
            <w:tcW w:type="dxa" w:w="168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验证能力</w:t>
            </w:r>
          </w:p>
        </w:tc>
        <w:tc>
          <w:tcPr>
            <w:tcW w:type="dxa" w:w="515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无 —— 筛选完即结束，不回测、不组合、不归因</w:t>
            </w:r>
          </w:p>
        </w:tc>
        <w:tc>
          <w:tcPr>
            <w:tcW w:type="dxa" w:w="307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这是我们的主要超越点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i问财 给我们的最大启发是：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中文金融语义理解是一道真实的技术护城河，不是简单接一个大模型就能解决的。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「连续三天涨停」「主力资金净流入」「日线级别 MACD 金叉」这类表达，需要专门的金融语义词典、指标计算规则库与时序语义解析能力。我们在报价模块 A3（对话式 AI 内核）中为此单独配置了预算，并在第 6.4 节说明技术方案。</w:t>
      </w:r>
    </w:p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2.5  三家横向对比</w:t>
      </w:r>
    </w:p>
    <w:p>
      <w:pPr>
        <w:spacing w:after="70" w:before="180"/>
        <w:jc w:val="center"/>
      </w:pPr>
      <w:r>
        <w:drawing>
          <wp:inline distT="0" distB="0" distL="0" distR="0">
            <wp:extent cx="447675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2-1　三家标的能力雷达对比与本方案目标定位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雷达图清晰地显示：三家标的的能力形状完全不同，且互不重叠。TryQuant 在交互与舆情维度突出但研究深度接近零；BigQuant 在研究深度与自动化维度突出但交互易用性最低；i问财 在交互与门槛维度表现好但深度与闭环维度双低。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本方案的目标形状是把三者的长板叠加：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TryQuant 的交互与情报 ＋ BigQuant 的研究深度 ＋ i问财 的中文语义，再补上三家都没有的 Agent 托管与 B端白标能力。</w:t>
      </w:r>
    </w:p>
    <w:p>
      <w:pPr>
        <w:pStyle w:val="Heading2"/>
        <w:keepNext/>
        <w:pBdr>
          <w:left w:val="single" w:color="6D4AB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2.6  路演材料、产品文档与实测的三方核对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我们把 TryQuant 的三份材料逐项对照后发现，三者对同一件事的描述存在系统性差异。这个发现对【甲方名称】有直接价值：它说明在评估任何同类产品时，路演材料的可信度最低。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308"/>
        <w:gridCol w:w="1869"/>
        <w:gridCol w:w="2430"/>
        <w:gridCol w:w="2617"/>
        <w:gridCol w:w="1682"/>
      </w:tblGrid>
      <w:tr>
        <w:trPr>
          <w:cantSplit/>
          <w:tblHeader/>
        </w:trPr>
        <w:tc>
          <w:tcPr>
            <w:tcW w:type="dxa" w:w="130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186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路演材料（4月）</w:t>
            </w:r>
          </w:p>
        </w:tc>
        <w:tc>
          <w:tcPr>
            <w:tcW w:type="dxa" w:w="243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产品需求文档（7月）</w:t>
            </w:r>
          </w:p>
        </w:tc>
        <w:tc>
          <w:tcPr>
            <w:tcW w:type="dxa" w:w="261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实测截图</w:t>
            </w:r>
          </w:p>
        </w:tc>
        <w:tc>
          <w:tcPr>
            <w:tcW w:type="dxa" w:w="168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判断</w:t>
            </w:r>
          </w:p>
        </w:tc>
      </w:tr>
      <w:tr>
        <w:trPr>
          <w:cantSplit/>
        </w:trPr>
        <w:tc>
          <w:tcPr>
            <w:tcW w:type="dxa" w:w="130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永续合约</w:t>
            </w:r>
          </w:p>
        </w:tc>
        <w:tc>
          <w:tcPr>
            <w:tcW w:type="dxa" w:w="1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in testing</w:t>
            </w:r>
          </w:p>
        </w:tc>
        <w:tc>
          <w:tcPr>
            <w:tcW w:type="dxa" w:w="24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P1 · 测试中</w:t>
            </w:r>
          </w:p>
        </w:tc>
        <w:tc>
          <w:tcPr>
            <w:tcW w:type="dxa" w:w="261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已上线 40 倍杠杆</w:t>
            </w:r>
          </w:p>
        </w:tc>
        <w:tc>
          <w:tcPr>
            <w:tcW w:type="dxa" w:w="16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实测最激进</w:t>
            </w:r>
          </w:p>
        </w:tc>
      </w:tr>
      <w:tr>
        <w:trPr>
          <w:cantSplit/>
        </w:trPr>
        <w:tc>
          <w:tcPr>
            <w:tcW w:type="dxa" w:w="130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代币化股票</w:t>
            </w:r>
          </w:p>
        </w:tc>
        <w:tc>
          <w:tcPr>
            <w:tcW w:type="dxa" w:w="1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列在资产表中</w:t>
            </w:r>
          </w:p>
        </w:tc>
        <w:tc>
          <w:tcPr>
            <w:tcW w:type="dxa" w:w="24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列为待确认事项，标注「阻止相关资产上线」</w:t>
            </w:r>
          </w:p>
        </w:tc>
        <w:tc>
          <w:tcPr>
            <w:tcW w:type="dxa" w:w="261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TSLAX 已可兑换，TSLA／NVDA 可 20 倍杠杆</w:t>
            </w:r>
          </w:p>
        </w:tc>
        <w:tc>
          <w:tcPr>
            <w:tcW w:type="dxa" w:w="16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文档与实际脱节</w:t>
            </w:r>
          </w:p>
        </w:tc>
      </w:tr>
      <w:tr>
        <w:trPr>
          <w:cantSplit/>
        </w:trPr>
        <w:tc>
          <w:tcPr>
            <w:tcW w:type="dxa" w:w="130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安全审计</w:t>
            </w:r>
          </w:p>
        </w:tc>
        <w:tc>
          <w:tcPr>
            <w:tcW w:type="dxa" w:w="1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计划中</w:t>
            </w:r>
          </w:p>
        </w:tc>
        <w:tc>
          <w:tcPr>
            <w:tcW w:type="dxa" w:w="24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上线前必须完成</w:t>
            </w:r>
          </w:p>
        </w:tc>
        <w:tc>
          <w:tcPr>
            <w:tcW w:type="dxa" w:w="261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明显未完成，但已处理真实资金</w:t>
            </w:r>
          </w:p>
        </w:tc>
        <w:tc>
          <w:tcPr>
            <w:tcW w:type="dxa" w:w="16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重大隐患</w:t>
            </w:r>
          </w:p>
        </w:tc>
      </w:tr>
      <w:tr>
        <w:trPr>
          <w:cantSplit/>
        </w:trPr>
        <w:tc>
          <w:tcPr>
            <w:tcW w:type="dxa" w:w="130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服务地区</w:t>
            </w:r>
          </w:p>
        </w:tc>
        <w:tc>
          <w:tcPr>
            <w:tcW w:type="dxa" w:w="1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未提及</w:t>
            </w:r>
          </w:p>
        </w:tc>
        <w:tc>
          <w:tcPr>
            <w:tcW w:type="dxa" w:w="24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首批服务国家仍待定</w:t>
            </w:r>
          </w:p>
        </w:tc>
        <w:tc>
          <w:tcPr>
            <w:tcW w:type="dxa" w:w="261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已出现中文用户会话</w:t>
            </w:r>
          </w:p>
        </w:tc>
        <w:tc>
          <w:tcPr>
            <w:tcW w:type="dxa" w:w="16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边界不清</w:t>
            </w:r>
          </w:p>
        </w:tc>
      </w:tr>
      <w:tr>
        <w:trPr>
          <w:cantSplit/>
        </w:trPr>
        <w:tc>
          <w:tcPr>
            <w:tcW w:type="dxa" w:w="130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候补用户数</w:t>
            </w:r>
          </w:p>
        </w:tc>
        <w:tc>
          <w:tcPr>
            <w:tcW w:type="dxa" w:w="18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约 6,000</w:t>
            </w:r>
          </w:p>
        </w:tc>
        <w:tc>
          <w:tcPr>
            <w:tcW w:type="dxa" w:w="24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标注为「待核验」</w:t>
            </w:r>
          </w:p>
        </w:tc>
        <w:tc>
          <w:tcPr>
            <w:tcW w:type="dxa" w:w="261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—</w:t>
            </w:r>
          </w:p>
        </w:tc>
        <w:tc>
          <w:tcPr>
            <w:tcW w:type="dxa" w:w="16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文档最诚实</w:t>
            </w:r>
          </w:p>
        </w:tc>
      </w:tr>
      <w:tr>
        <w:trPr>
          <w:cantSplit/>
        </w:trPr>
        <w:tc>
          <w:tcPr>
            <w:tcW w:type="dxa" w:w="130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用户目标</w:t>
            </w:r>
          </w:p>
        </w:tc>
        <w:tc>
          <w:tcPr>
            <w:tcW w:type="dxa" w:w="18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12 个月 100 万 MAU</w:t>
            </w:r>
          </w:p>
        </w:tc>
        <w:tc>
          <w:tcPr>
            <w:tcW w:type="dxa" w:w="24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明确拒绝作为验收指标</w:t>
            </w:r>
          </w:p>
        </w:tc>
        <w:tc>
          <w:tcPr>
            <w:tcW w:type="dxa" w:w="261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—</w:t>
            </w:r>
          </w:p>
        </w:tc>
        <w:tc>
          <w:tcPr>
            <w:tcW w:type="dxa" w:w="16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文档最诚实</w:t>
            </w:r>
          </w:p>
        </w:tc>
      </w:tr>
    </w:tbl>
    <w:p>
      <w:pPr>
        <w:spacing w:after="8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6D4AB6" w:sz="4"/>
          <w:left w:val="single" w:color="6D4AB6" w:sz="24"/>
          <w:bottom w:val="single" w:color="6D4AB6" w:sz="4"/>
          <w:right w:val="single" w:color="6D4AB6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3EEF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D4AB6"/>
                <w:sz w:val="22"/>
                <w:szCs w:val="22"/>
              </w:rPr>
              <w:t xml:space="preserve">这个核对给我们的三条经验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① 产品需求文档比路演材料可信得多。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TryQuant 内部 PRD 明确写出「未被数据支持的增长目标不作为验收条件」，并把全部牵引数据标为待核验——这是专业的做法，我们在本方案第 10.2 节同样固定了指标定义。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② 产品扩张速度可能远超合规准备速度。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三个月内从「测试中」跳到「40 倍杠杆上线」，而安全审计仍未完成。本方案通过不做执行从根本上规避了这类风险累积。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③ 内部有人说真话，是产品能活下去的关键。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TryQuant 的 PRD 列出了 10 条「阻止发布」的待确认事项。我们建议【甲方名称】在本项目中同样建立这样的机制，本方案第 8.4 节的甲方配合事项即为此设计。</w:t>
            </w:r>
          </w:p>
        </w:tc>
      </w:tr>
    </w:tbl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0C9C8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3.1  能力缺口矩阵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把三家标的放到「研究深度 × 交互易用性」的二维坐标上，市场空白区的位置一目了然。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3-1　能力缺口矩阵：右上象限为无人占领的高价值区域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右上象限——同时具备高研究深度与高交互易用性——目前没有任何一家产品占领。这不是因为没人想做，而是因为它同时要求两种通常互斥的能力：足够专业的量化引擎，以及足够低门槛的交互设计。</w:t>
      </w:r>
    </w:p>
    <w:p>
      <w:pPr>
        <w:pStyle w:val="Heading2"/>
        <w:keepNext/>
        <w:pBdr>
          <w:left w:val="single" w:color="0C9C8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3.2  三个结构性空白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C9C8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空白一：情报与验证之间的断层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TryQuant 能聚合海量 KOL 信号与新闻，也能用 AI 解读单条信息，但它无法回答「这类信号历史上的胜率是多少」「按这个信号交易的回撤有多大」。信息越多，用户越焦虑，因为没有任何工具帮他判断哪些信息值得行动。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1"/>
          <w:szCs w:val="21"/>
        </w:rPr>
        <w:t xml:space="preserve">填补方式：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把舆情信号直接因子化，纳入回测引擎。用户看到一条信号时，可以一键查看「同类信号过去 24 个月的表现回测」。这是第 5.3 节的核心设计。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C9C8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空白二：专业能力与大众用户之间的断层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BigQuant 的因子库、回测引擎、归因分析在专业性上无可指摘，但要求用户理解 IC、IR、夏普比率、最大回撤、样本外检验等概念，还常常要写 Python。这把 95% 以上的投资者挡在门外。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1"/>
          <w:szCs w:val="21"/>
        </w:rPr>
        <w:t xml:space="preserve">填补方式：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用对话把专业能力包起来。用户不需要知道什么是 IC，系统会说「这个因子在过去两年的选股有效性中等偏上，但今年以来明显减弱」。专业结果，白话表达。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C9C8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空白三：筛选与决策之间的断层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i问财 能在一秒内从五千只股票里筛出符合条件的二十只，但接下来呢？这二十只怎么配权重？组合的风险敞口集中在哪里？如果条件放宽一点结果会怎样？这些问题它都不回答。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1"/>
          <w:szCs w:val="21"/>
        </w:rPr>
        <w:t xml:space="preserve">填补方式：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把筛选结果直接接入组合构建与风险分析。筛选不是终点，而是研究链路的第二步。</w:t>
      </w:r>
    </w:p>
    <w:p>
      <w:pPr>
        <w:pStyle w:val="Heading2"/>
        <w:keepNext/>
        <w:pBdr>
          <w:left w:val="single" w:color="0C9C8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3.3  机会窗口判断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445"/>
        <w:gridCol w:w="1857"/>
        <w:gridCol w:w="6604"/>
      </w:tblGrid>
      <w:tr>
        <w:trPr>
          <w:cantSplit/>
          <w:tblHeader/>
        </w:trPr>
        <w:tc>
          <w:tcPr>
            <w:tcW w:type="dxa" w:w="144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85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判断</w:t>
            </w:r>
          </w:p>
        </w:tc>
        <w:tc>
          <w:tcPr>
            <w:tcW w:type="dxa" w:w="660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44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技术窗口</w:t>
            </w:r>
          </w:p>
        </w:tc>
        <w:tc>
          <w:tcPr>
            <w:tcW w:type="dxa" w:w="185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已经打开</w:t>
            </w:r>
          </w:p>
        </w:tc>
        <w:tc>
          <w:tcPr>
            <w:tcW w:type="dxa" w:w="66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大模型的金融语义理解与 Function Call 能力在 2025–2026 年已达到可商用水平，两年前做不了这件事</w:t>
            </w:r>
          </w:p>
        </w:tc>
      </w:tr>
      <w:tr>
        <w:trPr>
          <w:cantSplit/>
        </w:trPr>
        <w:tc>
          <w:tcPr>
            <w:tcW w:type="dxa" w:w="144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竞争窗口</w:t>
            </w:r>
          </w:p>
        </w:tc>
        <w:tc>
          <w:tcPr>
            <w:tcW w:type="dxa" w:w="185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尚未关闭</w:t>
            </w:r>
          </w:p>
        </w:tc>
        <w:tc>
          <w:tcPr>
            <w:tcW w:type="dxa" w:w="660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三家标的各自被自身基因锁定：TryQuant 缺量化基因，BigQuant 缺消费级产品基因，i问财 受制于母体产品定位</w:t>
            </w:r>
          </w:p>
        </w:tc>
      </w:tr>
      <w:tr>
        <w:trPr>
          <w:cantSplit/>
        </w:trPr>
        <w:tc>
          <w:tcPr>
            <w:tcW w:type="dxa" w:w="144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监管窗口</w:t>
            </w:r>
          </w:p>
        </w:tc>
        <w:tc>
          <w:tcPr>
            <w:tcW w:type="dxa" w:w="185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需要谨慎</w:t>
            </w:r>
          </w:p>
        </w:tc>
        <w:tc>
          <w:tcPr>
            <w:tcW w:type="dxa" w:w="66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投研信息服务的监管确定性远高于交易执行，但 AI 生成内容的标识与投资建议边界仍在收紧</w:t>
            </w:r>
          </w:p>
        </w:tc>
      </w:tr>
      <w:tr>
        <w:trPr>
          <w:cantSplit/>
        </w:trPr>
        <w:tc>
          <w:tcPr>
            <w:tcW w:type="dxa" w:w="144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时间窗口</w:t>
            </w:r>
          </w:p>
        </w:tc>
        <w:tc>
          <w:tcPr>
            <w:tcW w:type="dxa" w:w="185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约 12–18 个月</w:t>
            </w:r>
          </w:p>
        </w:tc>
        <w:tc>
          <w:tcPr>
            <w:tcW w:type="dxa" w:w="660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一旦头部平台补齐对话层，或对话式产品补齐研究层，窗口即关闭。4–5 个月的交付周期正是为此设定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4780C" w:sz="4"/>
          <w:left w:val="single" w:color="B4780C" w:sz="24"/>
          <w:bottom w:val="single" w:color="B4780C" w:sz="4"/>
          <w:right w:val="single" w:color="B4780C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FFBE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22"/>
                <w:szCs w:val="22"/>
              </w:rPr>
              <w:t xml:space="preserve">为什么建议 4–5 个月而不是更稳的 9–12 个月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这是【甲方名称】在需求沟通中明确选择的节奏，我们认为在本案中这个选择是对的：竞争窗口是本方案价值的前提，慢半年做出一个更完美的产品，可能面对的是一个已经关闭的市场。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我们通过「共用内核 + 地区包」的架构设计与三期并行推进来消化周期压力，同时在第 9 章明确了压缩周期带来的风险及其缓解措施。</w:t>
            </w:r>
          </w:p>
        </w:tc>
      </w:tr>
    </w:tbl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1D4ED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4.1  复刻原则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复刻不等于抄袭，更不等于全盘照搬。我们对 TryQuant 的每一项能力都做了明确的取舍判断，原则有三条：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1"/>
          <w:szCs w:val="21"/>
        </w:rPr>
        <w:t xml:space="preserve">①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凡是提升用户体验、且不涉及金融牌照的能力，完整还原。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1"/>
          <w:szCs w:val="21"/>
        </w:rPr>
        <w:t xml:space="preserve">②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凡是 TryQuant 做了但做得浅的能力，还原并做深。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典型如 AI 情报解读——它只解读，我们要做到可回测。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1"/>
          <w:szCs w:val="21"/>
        </w:rPr>
        <w:t xml:space="preserve">③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3261E"/>
          <w:sz w:val="21"/>
          <w:szCs w:val="21"/>
        </w:rPr>
        <w:t xml:space="preserve">凡是涉及交易执行、杠杆、代币化证券的能力，一律主动放弃。</w:t>
      </w:r>
    </w:p>
    <w:p>
      <w:pPr>
        <w:pStyle w:val="Heading2"/>
        <w:keepNext/>
        <w:pBdr>
          <w:left w:val="single" w:color="1D4ED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4.2  能力还原清单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4-1　TryQuant 能力还原与取舍对照表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上图中绿色为完整还原、金色为还原并升级、灰色为主动放弃。可以看到，我们放弃的两项恰恰是 TryQuant 风险最集中的两项，而升级的两项恰恰是它最薄弱的两项。</w:t>
      </w:r>
    </w:p>
    <w:p>
      <w:pPr>
        <w:pStyle w:val="Heading2"/>
        <w:keepNext/>
        <w:pBdr>
          <w:left w:val="single" w:color="1D4ED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4.3  主动放弃项及理由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604"/>
        <w:gridCol w:w="2453"/>
        <w:gridCol w:w="2830"/>
        <w:gridCol w:w="3019"/>
      </w:tblGrid>
      <w:tr>
        <w:trPr>
          <w:cantSplit/>
          <w:tblHeader/>
        </w:trPr>
        <w:tc>
          <w:tcPr>
            <w:tcW w:type="dxa" w:w="160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放弃的能力</w:t>
            </w:r>
          </w:p>
        </w:tc>
        <w:tc>
          <w:tcPr>
            <w:tcW w:type="dxa" w:w="245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TryQuant 的做法</w:t>
            </w:r>
          </w:p>
        </w:tc>
        <w:tc>
          <w:tcPr>
            <w:tcW w:type="dxa" w:w="283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放弃理由</w:t>
            </w:r>
          </w:p>
        </w:tc>
        <w:tc>
          <w:tcPr>
            <w:tcW w:type="dxa" w:w="301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替代设计</w:t>
            </w:r>
          </w:p>
        </w:tc>
      </w:tr>
      <w:tr>
        <w:trPr>
          <w:cantSplit/>
        </w:trPr>
        <w:tc>
          <w:tcPr>
            <w:tcW w:type="dxa" w:w="16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永续合约交易</w:t>
            </w:r>
          </w:p>
        </w:tc>
        <w:tc>
          <w:tcPr>
            <w:tcW w:type="dxa" w:w="24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自营 Q-Perps，最高 40 倍杠杆</w:t>
            </w:r>
          </w:p>
        </w:tc>
        <w:tc>
          <w:tcPr>
            <w:tcW w:type="dxa" w:w="28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需要衍生品牌照，且杠杆产品对大众用户风险极高</w:t>
            </w:r>
          </w:p>
        </w:tc>
        <w:tc>
          <w:tcPr>
            <w:tcW w:type="dxa" w:w="3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提供永续合约行情与资金费率数据展示，但不提供任何下单能力</w:t>
            </w:r>
          </w:p>
        </w:tc>
      </w:tr>
      <w:tr>
        <w:trPr>
          <w:cantSplit/>
        </w:trPr>
        <w:tc>
          <w:tcPr>
            <w:tcW w:type="dxa" w:w="160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一键下单执行</w:t>
            </w:r>
          </w:p>
        </w:tc>
        <w:tc>
          <w:tcPr>
            <w:tcW w:type="dxa" w:w="24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信号／新闻下直接挂 Buy 按钮</w:t>
            </w:r>
          </w:p>
        </w:tc>
        <w:tc>
          <w:tcPr>
            <w:tcW w:type="dxa" w:w="28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构成交易撮合或经纪业务，需持牌</w:t>
            </w:r>
          </w:p>
        </w:tc>
        <w:tc>
          <w:tcPr>
            <w:tcW w:type="dxa" w:w="3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提供「加入观察」「加入模拟组合」「导出到券商」三种无风险替代动作</w:t>
            </w:r>
          </w:p>
        </w:tc>
      </w:tr>
      <w:tr>
        <w:trPr>
          <w:cantSplit/>
        </w:trPr>
        <w:tc>
          <w:tcPr>
            <w:tcW w:type="dxa" w:w="16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代币化股票兑换</w:t>
            </w:r>
          </w:p>
        </w:tc>
        <w:tc>
          <w:tcPr>
            <w:tcW w:type="dxa" w:w="24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对话内完成 USDC → TSLAX 兑换</w:t>
            </w:r>
          </w:p>
        </w:tc>
        <w:tc>
          <w:tcPr>
            <w:tcW w:type="dxa" w:w="28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涉及证券代币化，多数辖区属明确证券业务</w:t>
            </w:r>
          </w:p>
        </w:tc>
        <w:tc>
          <w:tcPr>
            <w:tcW w:type="dxa" w:w="3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境外版提供港美股与加密行情数据分析，不提供任何兑换通道</w:t>
            </w:r>
          </w:p>
        </w:tc>
      </w:tr>
      <w:tr>
        <w:trPr>
          <w:cantSplit/>
        </w:trPr>
        <w:tc>
          <w:tcPr>
            <w:tcW w:type="dxa" w:w="160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资金托管与钱包</w:t>
            </w:r>
          </w:p>
        </w:tc>
        <w:tc>
          <w:tcPr>
            <w:tcW w:type="dxa" w:w="24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内置钱包、法币入金、余额管理</w:t>
            </w:r>
          </w:p>
        </w:tc>
        <w:tc>
          <w:tcPr>
            <w:tcW w:type="dxa" w:w="28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涉及支付与资金存管资质</w:t>
            </w:r>
          </w:p>
        </w:tc>
        <w:tc>
          <w:tcPr>
            <w:tcW w:type="dxa" w:w="3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仅支持只读方式接入用户已有账户数据用于组合分析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F8F68" w:sz="4"/>
          <w:left w:val="single" w:color="0F8F68" w:sz="24"/>
          <w:bottom w:val="single" w:color="0F8F68" w:sz="4"/>
          <w:right w:val="single" w:color="0F8F68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EAF7F1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放弃这些，产品还成立吗？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成立，而且更适合【甲方名称】。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TryQuant 之所以必须做执行，是因为它的商业模式重度依赖交易手续费（占其收入结构 35%）。而本方案的商业模式建立在订阅、数据与 B端授权之上，不依赖交易佣金，因此没有必须承担牌照风险的理由。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从用户价值看，投资者真正稀缺的从来不是「下单渠道」——券商 App 遍地都是——而是「知道该买什么、为什么买、风险多大」。我们把全部资源投入到后者，产品定位反而更锋利。</w:t>
            </w:r>
          </w:p>
        </w:tc>
      </w:tr>
    </w:tbl>
    <w:p>
      <w:pPr>
        <w:pStyle w:val="Heading2"/>
        <w:keepNext/>
        <w:pBdr>
          <w:left w:val="single" w:color="1D4ED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4.4  复刻的技术实现要点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4.4.1  信号聚合与情报流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TryQuant 的信号页由五个数据通道构成：X/Twitter KOL 流、新闻源、交易群组、AI 雷达、鲸鱼追踪。我们的实现方式是统一抽象为「信号源适配器」模式，每个源实现相同接口（拉取、清洗、去重、打标、入库），新增数据源只需实现适配器而不改动上层。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这个设计在双版本场景下尤为关键：境内版接雪球、东方财富股吧、同花顺社区，境外版接 Reddit、X、StockTwits、Seeking Alpha，上层的信号流展示、筛选、AI 解读逻辑完全复用。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4.4.2  自然语言到结构化意图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实测截图显示 TryQuant 的处理链路为：用户输入 → 展示思考过程 → 给出可选路由 → 追问缺失参数 → 结构化确认页。这个链路设计是正确的，我们完整保留，但把终点从「下单确认」改为「研究任务确认」。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技术实现采用「金融语义解析层 + Function Call 编排层」双层结构：前者负责把中文金融表达（如「连续三天放量上涨」）映射为可计算的指标组合，后者负责把解析结果编排为对具体引擎（因子、回测、组合）的调用序列。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1D4ED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4.4.3  行情发现与可视化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Discover 页的市场情绪指标（恐惧贪婪指数、板块轮动、市值占比）与多板块切换是低技术难度、高体验价值的模块，完整还原。境内版替换为 A股适用的情绪指标体系（涨跌停家数、北向资金、两融余额、板块热度等）。</w:t>
      </w:r>
    </w:p>
    <w:p>
      <w:pPr>
        <w:pStyle w:val="Heading2"/>
        <w:keepNext/>
        <w:pBdr>
          <w:left w:val="single" w:color="1D4ED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4.5  复刻部分的工作量说明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复刻部分的能力主要落在报价模块 A（平台内核）与 C／D（地区包）中，不单独计价。这样设计的原因是：复刻能力与超越能力在代码层面高度耦合——例如信号流的适配器框架既服务于复刻的情报聚合，也服务于超越的舆情因子化——强行拆开计价会导致重复报价或口径混乱。</w:t>
      </w:r>
    </w:p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5.1  总体思路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超越不是在功能数量上超过对手，而是在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1"/>
          <w:szCs w:val="21"/>
        </w:rPr>
        <w:t xml:space="preserve">用户完成一件事所需的成本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上形成数量级差距。我们设计了四个相互咬合的差异化引擎，其中引擎一是主轴，其余三个分别放大它在深度、自动化与商业化三个方向上的价值。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2972"/>
        <w:gridCol w:w="2972"/>
        <w:gridCol w:w="2774"/>
        <w:gridCol w:w="1188"/>
      </w:tblGrid>
      <w:tr>
        <w:trPr>
          <w:cantSplit/>
          <w:tblHeader/>
        </w:trPr>
        <w:tc>
          <w:tcPr>
            <w:tcW w:type="dxa" w:w="29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引擎</w:t>
            </w:r>
          </w:p>
        </w:tc>
        <w:tc>
          <w:tcPr>
            <w:tcW w:type="dxa" w:w="29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解决什么问题</w:t>
            </w:r>
          </w:p>
        </w:tc>
        <w:tc>
          <w:tcPr>
            <w:tcW w:type="dxa" w:w="277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对标产品的短板</w:t>
            </w:r>
          </w:p>
        </w:tc>
        <w:tc>
          <w:tcPr>
            <w:tcW w:type="dxa" w:w="118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引擎一　对话式全流程投研闭环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让不懂量化的人也能完成专业级研究</w:t>
            </w:r>
          </w:p>
        </w:tc>
        <w:tc>
          <w:tcPr>
            <w:tcW w:type="dxa" w:w="277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三家全部缺失</w:t>
            </w:r>
          </w:p>
        </w:tc>
        <w:tc>
          <w:tcPr>
            <w:tcW w:type="dxa" w:w="11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最高</w:t>
            </w:r>
          </w:p>
        </w:tc>
      </w:tr>
      <w:tr>
        <w:trPr>
          <w:cantSplit/>
        </w:trPr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引擎二　舆情情绪聚合引擎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把噪音变成可验证的量化信号</w:t>
            </w:r>
          </w:p>
        </w:tc>
        <w:tc>
          <w:tcPr>
            <w:tcW w:type="dxa" w:w="277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TryQuant 只展示不验证</w:t>
            </w:r>
          </w:p>
        </w:tc>
        <w:tc>
          <w:tcPr>
            <w:tcW w:type="dxa" w:w="11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引擎三　AI Agent 策略托管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把一次性研究变成持续服务</w:t>
            </w:r>
          </w:p>
        </w:tc>
        <w:tc>
          <w:tcPr>
            <w:tcW w:type="dxa" w:w="277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三家均无真正的托管能力</w:t>
            </w:r>
          </w:p>
        </w:tc>
        <w:tc>
          <w:tcPr>
            <w:tcW w:type="dxa" w:w="11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中高</w:t>
            </w:r>
          </w:p>
        </w:tc>
      </w:tr>
      <w:tr>
        <w:trPr>
          <w:cantSplit/>
        </w:trPr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引擎四　B端白标输出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打开机构收入曲线</w:t>
            </w:r>
          </w:p>
        </w:tc>
        <w:tc>
          <w:tcPr>
            <w:tcW w:type="dxa" w:w="277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TryQuant 有规划但未落地</w:t>
            </w:r>
          </w:p>
        </w:tc>
        <w:tc>
          <w:tcPr>
            <w:tcW w:type="dxa" w:w="11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中</w:t>
            </w:r>
          </w:p>
        </w:tc>
      </w:tr>
    </w:tbl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5.2  引擎一：对话式全流程投研闭环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5-1　六步研究链路：全程对话驱动，每步可复核可导出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这是本方案的灵魂。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用户输入一句话——比如「我觉得最近北向资金流入的消费股会跑赢大盘，帮我验证一下」——系统自动完成六步：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991"/>
        <w:gridCol w:w="2972"/>
        <w:gridCol w:w="3962"/>
        <w:gridCol w:w="1981"/>
      </w:tblGrid>
      <w:tr>
        <w:trPr>
          <w:cantSplit/>
          <w:tblHeader/>
        </w:trPr>
        <w:tc>
          <w:tcPr>
            <w:tcW w:type="dxa" w:w="99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9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系统动作</w:t>
            </w:r>
          </w:p>
        </w:tc>
        <w:tc>
          <w:tcPr>
            <w:tcW w:type="dxa" w:w="396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用户看到什么</w:t>
            </w:r>
          </w:p>
        </w:tc>
        <w:tc>
          <w:tcPr>
            <w:tcW w:type="dxa" w:w="198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可审计产出</w:t>
            </w:r>
          </w:p>
        </w:tc>
      </w:tr>
      <w:tr>
        <w:trPr>
          <w:cantSplit/>
        </w:trPr>
        <w:tc>
          <w:tcPr>
            <w:tcW w:type="dxa" w:w="9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① 想法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解析投资假设，识别标的域、时间窗、验证目标</w:t>
            </w:r>
          </w:p>
        </w:tc>
        <w:tc>
          <w:tcPr>
            <w:tcW w:type="dxa" w:w="396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「我理解你想验证：北向资金流入 × 消费板块 × 相对大盘超额收益」</w:t>
            </w:r>
          </w:p>
        </w:tc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结构化假设卡</w:t>
            </w:r>
          </w:p>
        </w:tc>
      </w:tr>
      <w:tr>
        <w:trPr>
          <w:cantSplit/>
        </w:trPr>
        <w:tc>
          <w:tcPr>
            <w:tcW w:type="dxa" w:w="9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② 因子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从因子库匹配或自动构建因子表达式</w:t>
            </w:r>
          </w:p>
        </w:tc>
        <w:tc>
          <w:tcPr>
            <w:tcW w:type="dxa" w:w="396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「已构建两个因子：北向持股比例变动率、板块相对强度」</w:t>
            </w:r>
          </w:p>
        </w:tc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因子定义与计算公式</w:t>
            </w:r>
          </w:p>
        </w:tc>
      </w:tr>
      <w:tr>
        <w:trPr>
          <w:cantSplit/>
        </w:trPr>
        <w:tc>
          <w:tcPr>
            <w:tcW w:type="dxa" w:w="9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③ 回测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样本内外分段检验，计算绩效与风险指标</w:t>
            </w:r>
          </w:p>
        </w:tc>
        <w:tc>
          <w:tcPr>
            <w:tcW w:type="dxa" w:w="396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「过去 24 个月年化超额 8.3%，最大回撤 12.1%，今年以来失效」</w:t>
            </w:r>
          </w:p>
        </w:tc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完整回测报告</w:t>
            </w:r>
          </w:p>
        </w:tc>
      </w:tr>
      <w:tr>
        <w:trPr>
          <w:cantSplit/>
        </w:trPr>
        <w:tc>
          <w:tcPr>
            <w:tcW w:type="dxa" w:w="9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④ 组合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在风险约束下优化权重，给出持仓建议</w:t>
            </w:r>
          </w:p>
        </w:tc>
        <w:tc>
          <w:tcPr>
            <w:tcW w:type="dxa" w:w="396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「按等风险贡献配置，建议 12 只，单票上限 15%」</w:t>
            </w:r>
          </w:p>
        </w:tc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组合权重表</w:t>
            </w:r>
          </w:p>
        </w:tc>
      </w:tr>
      <w:tr>
        <w:trPr>
          <w:cantSplit/>
        </w:trPr>
        <w:tc>
          <w:tcPr>
            <w:tcW w:type="dxa" w:w="9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⑤ 监控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设定跟踪规则，持续观察信号与风险变化</w:t>
            </w:r>
          </w:p>
        </w:tc>
        <w:tc>
          <w:tcPr>
            <w:tcW w:type="dxa" w:w="396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「已建立监控，触发条件变化时提醒你」</w:t>
            </w:r>
          </w:p>
        </w:tc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监控规则配置</w:t>
            </w:r>
          </w:p>
        </w:tc>
      </w:tr>
      <w:tr>
        <w:trPr>
          <w:cantSplit/>
        </w:trPr>
        <w:tc>
          <w:tcPr>
            <w:tcW w:type="dxa" w:w="9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⑥ 归因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拆解收益来源，定位有效与失效部分</w:t>
            </w:r>
          </w:p>
        </w:tc>
        <w:tc>
          <w:tcPr>
            <w:tcW w:type="dxa" w:w="396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「超额收益 62% 来自选股、38% 来自行业配置」</w:t>
            </w:r>
          </w:p>
        </w:tc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归因分析报告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C42E77" w:sz="4"/>
          <w:left w:val="single" w:color="C42E77" w:sz="24"/>
          <w:bottom w:val="single" w:color="C42E77" w:sz="4"/>
          <w:right w:val="single" w:color="C42E77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DF2F8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22"/>
                <w:szCs w:val="22"/>
              </w:rPr>
              <w:t xml:space="preserve">为什么这一条就足以拉开差距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A1F44"/>
                <w:sz w:val="21"/>
                <w:szCs w:val="21"/>
              </w:rPr>
              <w:t xml:space="preserve">同样一句话，在三家对标产品上会发生什么：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1"/>
                <w:szCs w:val="21"/>
              </w:rPr>
              <w:t xml:space="preserve">TryQuant　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→ 给一段 AI 解读，告诉你北向资金最近确实在流入消费板块。然后没有了。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21"/>
                <w:szCs w:val="21"/>
              </w:rPr>
              <w:t xml:space="preserve">i问财　　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→ 筛出一批北向持股增加的消费股。然后也没有了。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1"/>
                <w:szCs w:val="21"/>
              </w:rPr>
              <w:t xml:space="preserve">BigQuant　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→ 你需要自己定义因子、写回测代码、调参数、看报告。大约需要 2–5 天，且必须懂量化。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1"/>
                <w:szCs w:val="21"/>
              </w:rPr>
              <w:t xml:space="preserve">本方案　　</w:t>
            </w: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1"/>
                <w:szCs w:val="21"/>
              </w:rPr>
              <w:t xml:space="preserve">→ 90 秒内给出完整的六步结论，且每一步都能追问「为什么」并展开细节。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5.2.1  关键技术设计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事实与解释严格分离：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所有数值（行情、指标、回测结果）必须来自确定性计算服务，大模型只负责解释，不生成任何数字。这是防止幻觉污染投资决策的根本机制。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每步可复现：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每个研究步骤都记录输入参数、数据版本、计算逻辑与输出结果，用户与监管方都可以完整回溯。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渐进式披露：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默认给白话结论，用户想深入时可逐层展开到因子公式、回测参数、原始数据，专业用户与新手共用一套系统。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三模式互通：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对话模式、可视化模式、代码模式共享同一套引擎与数据模型，用户可在任意环节切换，对话生成的策略可导出为代码继续编辑。</w:t>
      </w:r>
    </w:p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5.3  引擎二：舆情情绪聚合引擎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5-2　四类数据源统一治理，最终沉淀为可回测的情绪因子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按【甲方名称】确认的范围，舆情引擎覆盖四类数据源：境内论坛（雪球、东方财富股吧、同花顺社区）、境外社媒（Reddit、X、StockTwits、Seeking Alpha）、加密原生渠道（KOL 列表、Telegram、Discord）、官方信息源（交易所公告、券商研报、财经媒体）。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5.3.1  与 TryQuant 的本质区别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541"/>
        <w:gridCol w:w="3522"/>
        <w:gridCol w:w="4843"/>
      </w:tblGrid>
      <w:tr>
        <w:trPr>
          <w:cantSplit/>
          <w:tblHeader/>
        </w:trPr>
        <w:tc>
          <w:tcPr>
            <w:tcW w:type="dxa" w:w="154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352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TryQuant 的做法</w:t>
            </w:r>
          </w:p>
        </w:tc>
        <w:tc>
          <w:tcPr>
            <w:tcW w:type="dxa" w:w="484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本方案的做法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采集</w:t>
            </w:r>
          </w:p>
        </w:tc>
        <w:tc>
          <w:tcPr>
            <w:tcW w:type="dxa" w:w="35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抓取 KOL 与新闻源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四类源统一适配器，含官方权威源</w:t>
            </w:r>
          </w:p>
        </w:tc>
      </w:tr>
      <w:tr>
        <w:trPr>
          <w:cantSplit/>
        </w:trPr>
        <w:tc>
          <w:tcPr>
            <w:tcW w:type="dxa" w:w="154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处理</w:t>
            </w:r>
          </w:p>
        </w:tc>
        <w:tc>
          <w:tcPr>
            <w:tcW w:type="dxa" w:w="35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去重、展示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情感极性打分 + 实体识别 + 热度聚合 + 可信度加权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呈现</w:t>
            </w:r>
          </w:p>
        </w:tc>
        <w:tc>
          <w:tcPr>
            <w:tcW w:type="dxa" w:w="35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信号卡片流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信号流 + 热点榜 + 异动预警</w:t>
            </w:r>
          </w:p>
        </w:tc>
      </w:tr>
      <w:tr>
        <w:trPr>
          <w:cantSplit/>
        </w:trPr>
        <w:tc>
          <w:tcPr>
            <w:tcW w:type="dxa" w:w="154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价值转化</w:t>
            </w:r>
          </w:p>
        </w:tc>
        <w:tc>
          <w:tcPr>
            <w:tcW w:type="dxa" w:w="35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止步于「Ask AI 解读单条」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沉淀为情绪因子，直接进入回测引擎验证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用户收益</w:t>
            </w:r>
          </w:p>
        </w:tc>
        <w:tc>
          <w:tcPr>
            <w:tcW w:type="dxa" w:w="35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知道市场在说什么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知道市场在说的话历史上值不值得信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5.3.2  情绪因子化：本引擎的核心价值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把舆情转化为因子后，用户可以直接问出这类问题并得到有回测支撑的答案：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「雪球上讨论热度突然翻倍的股票，后续一周表现如何？」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「某个 KOL 推荐过的标的，历史胜率是多少？」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「研报密集上调评级后买入，过去三年这个策略赚钱吗？」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C42E7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「Reddit 情绪极端乐观时，是否应该反向操作？」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A8853C" w:sz="4"/>
          <w:left w:val="single" w:color="A8853C" w:sz="24"/>
          <w:bottom w:val="single" w:color="A8853C" w:sz="4"/>
          <w:right w:val="single" w:color="A8853C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BF4E3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这是整个方案中商业价值最高的部分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情绪因子是极少数「越用越值钱」的数据资产：平台运行时间越长，积累的舆情历史越厚，因子的统计显著性越强，而这份历史数据是竞争对手无法追溯补齐的。它构成本方案中唯一真正随时间自我加固的护城河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这也是舆情模块在报价中占比最高（52 万，模块 B 中最大单项）的原因——它的工程量确实最大，但它的战略价值同样最高。</w:t>
            </w:r>
          </w:p>
        </w:tc>
      </w:tr>
    </w:tbl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重要：采集合规边界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境内主流论坛多数不提供开放 API，数据获取需采用合规采集策略。本方案在第 9.2 节明确了技术实现方式与法律边界，包括 robots 协议遵循、频率控制、内容审核、来源留痕与版权处理，并建议甲方在项目启动前取得法律意见。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该部分的法律风险不由技术方案单方消化，需要甲方法务共同确认采集范围。我们在第 9 章将其列为需甲方决策的前置事项。</w:t>
            </w:r>
          </w:p>
        </w:tc>
      </w:tr>
    </w:tbl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5.4  引擎三：AI Agent 策略托管与自动化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前两个引擎解决的是「一次研究做得好」，这个引擎解决的是「研究持续产生价值」。用户完成一次研究后，可以把结论交给 Agent 托管，Agent 会持续监控、定期复核、主动提醒。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761"/>
        <w:gridCol w:w="5723"/>
        <w:gridCol w:w="2422"/>
      </w:tblGrid>
      <w:tr>
        <w:trPr>
          <w:cantSplit/>
          <w:tblHeader/>
        </w:trPr>
        <w:tc>
          <w:tcPr>
            <w:tcW w:type="dxa" w:w="17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Agent 能力</w:t>
            </w:r>
          </w:p>
        </w:tc>
        <w:tc>
          <w:tcPr>
            <w:tcW w:type="dxa" w:w="572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具体行为</w:t>
            </w:r>
          </w:p>
        </w:tc>
        <w:tc>
          <w:tcPr>
            <w:tcW w:type="dxa" w:w="242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触发方式</w:t>
            </w:r>
          </w:p>
        </w:tc>
      </w:tr>
      <w:tr>
        <w:trPr>
          <w:cantSplit/>
        </w:trPr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持续监控</w:t>
            </w:r>
          </w:p>
        </w:tc>
        <w:tc>
          <w:tcPr>
            <w:tcW w:type="dxa" w:w="57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跟踪已建立的因子、组合与观察池，检测信号强度变化</w:t>
            </w:r>
          </w:p>
        </w:tc>
        <w:tc>
          <w:tcPr>
            <w:tcW w:type="dxa" w:w="24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定时 + 事件驱动</w:t>
            </w:r>
          </w:p>
        </w:tc>
      </w:tr>
      <w:tr>
        <w:trPr>
          <w:cantSplit/>
        </w:trPr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失效预警</w:t>
            </w:r>
          </w:p>
        </w:tc>
        <w:tc>
          <w:tcPr>
            <w:tcW w:type="dxa" w:w="57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当策略在样本外表现显著偏离历史时主动告警</w:t>
            </w:r>
          </w:p>
        </w:tc>
        <w:tc>
          <w:tcPr>
            <w:tcW w:type="dxa" w:w="24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统计显著性阈值</w:t>
            </w:r>
          </w:p>
        </w:tc>
      </w:tr>
      <w:tr>
        <w:trPr>
          <w:cantSplit/>
        </w:trPr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定期复核</w:t>
            </w:r>
          </w:p>
        </w:tc>
        <w:tc>
          <w:tcPr>
            <w:tcW w:type="dxa" w:w="57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按周／月自动重跑回测，输出策略健康度报告</w:t>
            </w:r>
          </w:p>
        </w:tc>
        <w:tc>
          <w:tcPr>
            <w:tcW w:type="dxa" w:w="24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定时任务</w:t>
            </w:r>
          </w:p>
        </w:tc>
      </w:tr>
      <w:tr>
        <w:trPr>
          <w:cantSplit/>
        </w:trPr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调仓建议</w:t>
            </w:r>
          </w:p>
        </w:tc>
        <w:tc>
          <w:tcPr>
            <w:tcW w:type="dxa" w:w="57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在风险约束变化时给出再平衡建议（仅建议，不执行）</w:t>
            </w:r>
          </w:p>
        </w:tc>
        <w:tc>
          <w:tcPr>
            <w:tcW w:type="dxa" w:w="24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偏离度阈值</w:t>
            </w:r>
          </w:p>
        </w:tc>
      </w:tr>
      <w:tr>
        <w:trPr>
          <w:cantSplit/>
        </w:trPr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异动捕捉</w:t>
            </w:r>
          </w:p>
        </w:tc>
        <w:tc>
          <w:tcPr>
            <w:tcW w:type="dxa" w:w="57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舆情热度、资金流、公告出现异常时定向推送</w:t>
            </w:r>
          </w:p>
        </w:tc>
        <w:tc>
          <w:tcPr>
            <w:tcW w:type="dxa" w:w="24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多源联合触发</w:t>
            </w:r>
          </w:p>
        </w:tc>
      </w:tr>
      <w:tr>
        <w:trPr>
          <w:cantSplit/>
        </w:trPr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任务编排</w:t>
            </w:r>
          </w:p>
        </w:tc>
        <w:tc>
          <w:tcPr>
            <w:tcW w:type="dxa" w:w="57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用户可用自然语言定义复合监控规则</w:t>
            </w:r>
          </w:p>
        </w:tc>
        <w:tc>
          <w:tcPr>
            <w:tcW w:type="dxa" w:w="24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对话配置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边界声明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Agent 只产出建议，永不自动执行任何资金操作。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本方案不含交易执行，因此 Agent 的所有输出都是信息型产出：报告、提醒、建议。任何需要动用资金的动作，都必须由用户自行到其持牌券商处完成。这一约束在系统架构层面强制实现，不依赖配置开关。</w:t>
            </w:r>
          </w:p>
        </w:tc>
      </w:tr>
    </w:tbl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5.5  引擎四：B端白标输出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前三个引擎构建的能力，本身就是可以对外授权的产品。B端白标把 C端产品力直接转化为机构收入，且估值倍数显著高于 C端订阅收入。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761"/>
        <w:gridCol w:w="3302"/>
        <w:gridCol w:w="2862"/>
        <w:gridCol w:w="1981"/>
      </w:tblGrid>
      <w:tr>
        <w:trPr>
          <w:cantSplit/>
          <w:tblHeader/>
        </w:trPr>
        <w:tc>
          <w:tcPr>
            <w:tcW w:type="dxa" w:w="17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交付形态</w:t>
            </w:r>
          </w:p>
        </w:tc>
        <w:tc>
          <w:tcPr>
            <w:tcW w:type="dxa" w:w="33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适用客户</w:t>
            </w:r>
          </w:p>
        </w:tc>
        <w:tc>
          <w:tcPr>
            <w:tcW w:type="dxa" w:w="286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集成方式</w:t>
            </w:r>
          </w:p>
        </w:tc>
        <w:tc>
          <w:tcPr>
            <w:tcW w:type="dxa" w:w="198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商业模式</w:t>
            </w:r>
          </w:p>
        </w:tc>
      </w:tr>
      <w:tr>
        <w:trPr>
          <w:cantSplit/>
        </w:trPr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开放 API</w:t>
            </w:r>
          </w:p>
        </w:tc>
        <w:tc>
          <w:tcPr>
            <w:tcW w:type="dxa" w:w="33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量化团队、资管机构、金融科技公司</w:t>
            </w:r>
          </w:p>
        </w:tc>
        <w:tc>
          <w:tcPr>
            <w:tcW w:type="dxa" w:w="286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REST／WebSocket 接口调用</w:t>
            </w:r>
          </w:p>
        </w:tc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按调用量计费</w:t>
            </w:r>
          </w:p>
        </w:tc>
      </w:tr>
      <w:tr>
        <w:trPr>
          <w:cantSplit/>
        </w:trPr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嵌入式组件</w:t>
            </w:r>
          </w:p>
        </w:tc>
        <w:tc>
          <w:tcPr>
            <w:tcW w:type="dxa" w:w="33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券商 App、财富管理平台</w:t>
            </w:r>
          </w:p>
        </w:tc>
        <w:tc>
          <w:tcPr>
            <w:tcW w:type="dxa" w:w="286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iframe／SDK 嵌入</w:t>
            </w:r>
          </w:p>
        </w:tc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年度授权费</w:t>
            </w:r>
          </w:p>
        </w:tc>
      </w:tr>
      <w:tr>
        <w:trPr>
          <w:cantSplit/>
        </w:trPr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完整白标</w:t>
            </w:r>
          </w:p>
        </w:tc>
        <w:tc>
          <w:tcPr>
            <w:tcW w:type="dxa" w:w="33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中小券商、财富管理机构</w:t>
            </w:r>
          </w:p>
        </w:tc>
        <w:tc>
          <w:tcPr>
            <w:tcW w:type="dxa" w:w="286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独立部署 + 品牌定制</w:t>
            </w:r>
          </w:p>
        </w:tc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授权费 + 分成</w:t>
            </w:r>
          </w:p>
        </w:tc>
      </w:tr>
      <w:tr>
        <w:trPr>
          <w:cantSplit/>
        </w:trPr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数据服务</w:t>
            </w:r>
          </w:p>
        </w:tc>
        <w:tc>
          <w:tcPr>
            <w:tcW w:type="dxa" w:w="33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研究机构、媒体</w:t>
            </w:r>
          </w:p>
        </w:tc>
        <w:tc>
          <w:tcPr>
            <w:tcW w:type="dxa" w:w="286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情绪因子与热点数据订阅</w:t>
            </w:r>
          </w:p>
        </w:tc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数据订阅费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技术上通过多租户架构实现：租户数据、密钥、费率、日志完全隔离，任一租户无法访问其他租户数据；同时提供用量计量、服务状态查询与结算数据导出能力，供合作方核对计费依据。</w:t>
      </w:r>
    </w:p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5.6  超越后的能力对比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四大引擎全部落地后，本方案与三家标的的能力对比如下。这张表可以直接用于对外的产品定位说明。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2655"/>
        <w:gridCol w:w="1736"/>
        <w:gridCol w:w="1736"/>
        <w:gridCol w:w="1736"/>
        <w:gridCol w:w="2043"/>
      </w:tblGrid>
      <w:tr>
        <w:trPr>
          <w:cantSplit/>
          <w:tblHeader/>
        </w:trPr>
        <w:tc>
          <w:tcPr>
            <w:tcW w:type="dxa" w:w="265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能力项</w:t>
            </w:r>
          </w:p>
        </w:tc>
        <w:tc>
          <w:tcPr>
            <w:tcW w:type="dxa" w:w="173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TryQuant</w:t>
            </w:r>
          </w:p>
        </w:tc>
        <w:tc>
          <w:tcPr>
            <w:tcW w:type="dxa" w:w="173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BigQuant</w:t>
            </w:r>
          </w:p>
        </w:tc>
        <w:tc>
          <w:tcPr>
            <w:tcW w:type="dxa" w:w="173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i问财</w:t>
            </w:r>
          </w:p>
        </w:tc>
        <w:tc>
          <w:tcPr>
            <w:tcW w:type="dxa" w:w="204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本方案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自然语言交互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</w:tr>
      <w:tr>
        <w:trPr>
          <w:cantSplit/>
        </w:trPr>
        <w:tc>
          <w:tcPr>
            <w:tcW w:type="dxa" w:w="26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语音输入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  <w:tc>
          <w:tcPr>
            <w:tcW w:type="dxa" w:w="20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因子构建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</w:tr>
      <w:tr>
        <w:trPr>
          <w:cantSplit/>
        </w:trPr>
        <w:tc>
          <w:tcPr>
            <w:tcW w:type="dxa" w:w="26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策略回测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绩效归因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6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舆情聚合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△ 弱</w:t>
            </w:r>
          </w:p>
        </w:tc>
        <w:tc>
          <w:tcPr>
            <w:tcW w:type="dxa" w:w="20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✔ 强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舆情因子化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✔ 独有</w:t>
            </w:r>
          </w:p>
        </w:tc>
      </w:tr>
      <w:tr>
        <w:trPr>
          <w:cantSplit/>
        </w:trPr>
        <w:tc>
          <w:tcPr>
            <w:tcW w:type="dxa" w:w="26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 托管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△ 弱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✔ 独有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B端白标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△ 规划中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△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△ API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C42E77"/>
                <w:sz w:val="19"/>
                <w:szCs w:val="19"/>
              </w:rPr>
              <w:t xml:space="preserve">✔ 完整</w:t>
            </w:r>
          </w:p>
        </w:tc>
      </w:tr>
      <w:tr>
        <w:trPr>
          <w:cantSplit/>
        </w:trPr>
        <w:tc>
          <w:tcPr>
            <w:tcW w:type="dxa" w:w="26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上手门槛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低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很高</w:t>
            </w:r>
          </w:p>
        </w:tc>
        <w:tc>
          <w:tcPr>
            <w:tcW w:type="dxa" w:w="17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低</w:t>
            </w:r>
          </w:p>
        </w:tc>
        <w:tc>
          <w:tcPr>
            <w:tcW w:type="dxa" w:w="20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6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交易执行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✔ 含杠杆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✔</w:t>
            </w:r>
          </w:p>
        </w:tc>
        <w:tc>
          <w:tcPr>
            <w:tcW w:type="dxa" w:w="17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✘</w:t>
            </w:r>
          </w:p>
        </w:tc>
        <w:tc>
          <w:tcPr>
            <w:tcW w:type="dxa" w:w="20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主动不做</w:t>
            </w:r>
          </w:p>
        </w:tc>
      </w:tr>
    </w:tbl>
    <w:p>
      <w:pPr>
        <w:pStyle w:val="Heading2"/>
        <w:keepNext/>
        <w:pBdr>
          <w:left w:val="single" w:color="C42E7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5.7  典型使用场景剧本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以下三个场景覆盖三类核心用户。每个场景都标注了在对标产品上会发生什么，用于直观说明差距。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场景一：入门投资者 —— 「我听说新能源要涨，是真的吗？」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715"/>
        <w:gridCol w:w="3064"/>
        <w:gridCol w:w="6127"/>
      </w:tblGrid>
      <w:tr>
        <w:trPr>
          <w:cantSplit/>
          <w:tblHeader/>
        </w:trPr>
        <w:tc>
          <w:tcPr>
            <w:tcW w:type="dxa" w:w="71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06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61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系统响应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输入「我听说新能源要涨，是真的吗」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识别为「板块景气度验证」意图，确认标的范围与时间窗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30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确认「近三个月，A股新能源板块」</w:t>
            </w:r>
          </w:p>
        </w:tc>
        <w:tc>
          <w:tcPr>
            <w:tcW w:type="dxa" w:w="61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调取板块行情、资金流、舆情热度、研报评级变化四类数据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查看结论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「过去三个月板块上涨 12%，但主要由三只权重股贡献；散户舆情热度已达近一年高位，历史上该指标见顶后 20 个交易日平均回撤 6.4%」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30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追问「那我该怎么办」</w:t>
            </w:r>
          </w:p>
        </w:tc>
        <w:tc>
          <w:tcPr>
            <w:tcW w:type="dxa" w:w="61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给出信息型分析：估值分位、拥挤度指标、历史类似情形的分布，并明确提示不构成投资建议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点击「加入观察」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建立监控，舆情热度或资金流出现拐点时提醒</w:t>
            </w:r>
          </w:p>
        </w:tc>
      </w:tr>
    </w:tbl>
    <w:p>
      <w:pPr>
        <w:spacing w:after="5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B7B93"/>
          <w:sz w:val="19"/>
          <w:szCs w:val="19"/>
        </w:rPr>
        <w:t xml:space="preserve">对标产品会怎样：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6B7B93"/>
          <w:sz w:val="19"/>
          <w:szCs w:val="19"/>
        </w:rPr>
        <w:t xml:space="preserve">TryQuant 给一段新闻解读；i问财 筛出一批新能源股；BigQuant 需要用户自己写代码。三者都无法回答「这个热度历史上意味着什么」。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场景二：进阶投资者 —— 「帮我验证一个策略想法」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715"/>
        <w:gridCol w:w="3472"/>
        <w:gridCol w:w="5719"/>
      </w:tblGrid>
      <w:tr>
        <w:trPr>
          <w:cantSplit/>
          <w:tblHeader/>
        </w:trPr>
        <w:tc>
          <w:tcPr>
            <w:tcW w:type="dxa" w:w="71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4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571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系统响应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34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「北向资金连续五日净流入且换手率低于板块中位数的股票，买入持有 20 天」</w:t>
            </w:r>
          </w:p>
        </w:tc>
        <w:tc>
          <w:tcPr>
            <w:tcW w:type="dxa" w:w="57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解析为可执行的因子组合与调仓规则，回显确认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34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确认参数</w:t>
            </w:r>
          </w:p>
        </w:tc>
        <w:tc>
          <w:tcPr>
            <w:tcW w:type="dxa" w:w="57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构建因子、拉取时点数据、执行样本内外分段回测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34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查看回测报告</w:t>
            </w:r>
          </w:p>
        </w:tc>
        <w:tc>
          <w:tcPr>
            <w:tcW w:type="dxa" w:w="57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年化收益、超额收益、最大回撤、夏普、胜率、换手率、分年度表现、与基准对比曲线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34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追问「为什么今年失效了」</w:t>
            </w:r>
          </w:p>
        </w:tc>
        <w:tc>
          <w:tcPr>
            <w:tcW w:type="dxa" w:w="57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归因分析：拆解到行业配置与个股选择贡献，指出失效的具体来源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34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「把换手率条件放宽到 60 分位再看」</w:t>
            </w:r>
          </w:p>
        </w:tc>
        <w:tc>
          <w:tcPr>
            <w:tcW w:type="dxa" w:w="57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参数调整后重跑，并列展示两版结果差异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6</w:t>
            </w:r>
          </w:p>
        </w:tc>
        <w:tc>
          <w:tcPr>
            <w:tcW w:type="dxa" w:w="34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「交给 Agent 持续跟踪」</w:t>
            </w:r>
          </w:p>
        </w:tc>
        <w:tc>
          <w:tcPr>
            <w:tcW w:type="dxa" w:w="57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建立监控任务，策略表现显著偏离历史时告警</w:t>
            </w:r>
          </w:p>
        </w:tc>
      </w:tr>
    </w:tbl>
    <w:p>
      <w:pPr>
        <w:spacing w:after="5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B7B93"/>
          <w:sz w:val="19"/>
          <w:szCs w:val="19"/>
        </w:rPr>
        <w:t xml:space="preserve">对标产品会怎样：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6B7B93"/>
          <w:sz w:val="19"/>
          <w:szCs w:val="19"/>
        </w:rPr>
        <w:t xml:space="preserve">只有 BigQuant 能完成，但需要用户具备量化知识并花费数日；TryQuant 与 i问财 完全无法完成。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C42E7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场景三：机构用户 —— 「把你们的能力嵌进我们的 App」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715"/>
        <w:gridCol w:w="3064"/>
        <w:gridCol w:w="6127"/>
      </w:tblGrid>
      <w:tr>
        <w:trPr>
          <w:cantSplit/>
          <w:tblHeader/>
        </w:trPr>
        <w:tc>
          <w:tcPr>
            <w:tcW w:type="dxa" w:w="71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06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机构操作</w:t>
            </w:r>
          </w:p>
        </w:tc>
        <w:tc>
          <w:tcPr>
            <w:tcW w:type="dxa" w:w="61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系统响应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申请开通租户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创建独立租户，分配密钥，配置可用能力范围与调用配额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30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调用意图解析 API</w:t>
            </w:r>
          </w:p>
        </w:tc>
        <w:tc>
          <w:tcPr>
            <w:tcW w:type="dxa" w:w="61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返回结构化研究意图，机构自行决定后续展示方式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嵌入研究对话组件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以 SDK／iframe 方式嵌入，支持品牌色、Logo、字体定制</w:t>
            </w:r>
          </w:p>
        </w:tc>
      </w:tr>
      <w:tr>
        <w:trPr>
          <w:cantSplit/>
        </w:trPr>
        <w:tc>
          <w:tcPr>
            <w:tcW w:type="dxa" w:w="7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30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查看用量与账单</w:t>
            </w:r>
          </w:p>
        </w:tc>
        <w:tc>
          <w:tcPr>
            <w:tcW w:type="dxa" w:w="61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调用量看板、错误率统计、账单明细与结算数据导出</w:t>
            </w:r>
          </w:p>
        </w:tc>
      </w:tr>
      <w:tr>
        <w:trPr>
          <w:cantSplit/>
        </w:trPr>
        <w:tc>
          <w:tcPr>
            <w:tcW w:type="dxa" w:w="7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30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接入自有数据源</w:t>
            </w:r>
          </w:p>
        </w:tc>
        <w:tc>
          <w:tcPr>
            <w:tcW w:type="dxa" w:w="61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通过适配器扩展机制接入机构私有数据，与平台能力联合使用</w:t>
            </w:r>
          </w:p>
        </w:tc>
      </w:tr>
    </w:tbl>
    <w:p>
      <w:pPr>
        <w:spacing w:after="5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6B7B93"/>
          <w:sz w:val="19"/>
          <w:szCs w:val="19"/>
        </w:rPr>
        <w:t xml:space="preserve">对标产品会怎样：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6B7B93"/>
          <w:sz w:val="19"/>
          <w:szCs w:val="19"/>
        </w:rPr>
        <w:t xml:space="preserve">TryQuant 在路演中规划了白标但尚未落地；BigQuant 与 i问财 提供数据类 API，但不提供完整的对话式研究能力嵌入。</w:t>
      </w:r>
    </w:p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6.1  六层技术架构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6-1　六层架构：L0 交易执行层不在本方案交付范围内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981"/>
        <w:gridCol w:w="2972"/>
        <w:gridCol w:w="4953"/>
      </w:tblGrid>
      <w:tr>
        <w:trPr>
          <w:cantSplit/>
          <w:tblHeader/>
        </w:trPr>
        <w:tc>
          <w:tcPr>
            <w:tcW w:type="dxa" w:w="198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9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495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关键组件</w:t>
            </w:r>
          </w:p>
        </w:tc>
      </w:tr>
      <w:tr>
        <w:trPr>
          <w:cantSplit/>
        </w:trPr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D4AB6"/>
                <w:sz w:val="19"/>
                <w:szCs w:val="19"/>
              </w:rPr>
              <w:t xml:space="preserve">L6 应用与交付层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面向最终用户与合作方的所有交付形态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Web／PWA、移动端适配、B端白标组件、开放 API</w:t>
            </w:r>
          </w:p>
        </w:tc>
      </w:tr>
      <w:tr>
        <w:trPr>
          <w:cantSplit/>
        </w:trPr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8B5CF6"/>
                <w:sz w:val="19"/>
                <w:szCs w:val="19"/>
              </w:rPr>
              <w:t xml:space="preserve">L5 智能体层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长周期任务的自主编排与持续执行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任务调度器、监控引擎、告警中心、Agent 编排框架</w:t>
            </w:r>
          </w:p>
        </w:tc>
      </w:tr>
      <w:tr>
        <w:trPr>
          <w:cantSplit/>
        </w:trPr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19"/>
                <w:szCs w:val="19"/>
              </w:rPr>
              <w:t xml:space="preserve">L4 AI 内核层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自然语言到系统能力的翻译层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金融语义解析、Function Call 编排、RAG 检索、多轮上下文管理</w:t>
            </w:r>
          </w:p>
        </w:tc>
      </w:tr>
      <w:tr>
        <w:trPr>
          <w:cantSplit/>
        </w:trPr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C9C86"/>
                <w:sz w:val="19"/>
                <w:szCs w:val="19"/>
              </w:rPr>
              <w:t xml:space="preserve">L3 研究引擎层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所有确定性计算，不含任何模型生成内容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因子引擎、回测引擎、归因引擎、组合优化器、风险计算</w:t>
            </w:r>
          </w:p>
        </w:tc>
      </w:tr>
      <w:tr>
        <w:trPr>
          <w:cantSplit/>
        </w:trPr>
        <w:tc>
          <w:tcPr>
            <w:tcW w:type="dxa" w:w="198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1D4ED8"/>
                <w:sz w:val="19"/>
                <w:szCs w:val="19"/>
              </w:rPr>
              <w:t xml:space="preserve">L2 数据中台层</w:t>
            </w:r>
          </w:p>
        </w:tc>
        <w:tc>
          <w:tcPr>
            <w:tcW w:type="dxa" w:w="29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多源数据的统一接入、治理与服务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行情服务、财报库、舆情管道、特征存储、数据质量监控</w:t>
            </w:r>
          </w:p>
        </w:tc>
      </w:tr>
      <w:tr>
        <w:trPr>
          <w:cantSplit/>
        </w:trPr>
        <w:tc>
          <w:tcPr>
            <w:tcW w:type="dxa" w:w="198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L1 基础设施层</w:t>
            </w:r>
          </w:p>
        </w:tc>
        <w:tc>
          <w:tcPr>
            <w:tcW w:type="dxa" w:w="29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运行时与存储底座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K8s、PostgreSQL／TimescaleDB、Redis、向量库、可观测体系</w:t>
            </w:r>
          </w:p>
        </w:tc>
      </w:tr>
      <w:tr>
        <w:trPr>
          <w:cantSplit/>
        </w:trPr>
        <w:tc>
          <w:tcPr>
            <w:tcW w:type="dxa" w:w="1981"/>
            <w:shd w:fill="F5F7FA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L0 交易执行层</w:t>
            </w:r>
          </w:p>
        </w:tc>
        <w:tc>
          <w:tcPr>
            <w:tcW w:type="dxa" w:w="2972"/>
            <w:shd w:fill="F5F7FA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本方案不含，仅预留标准对接位</w:t>
            </w:r>
          </w:p>
        </w:tc>
        <w:tc>
          <w:tcPr>
            <w:tcW w:type="dxa" w:w="4953"/>
            <w:shd w:fill="F5F7FA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由甲方自行选择持牌通道接入，接口规范随交付文档提供</w:t>
            </w:r>
          </w:p>
        </w:tc>
      </w:tr>
    </w:tbl>
    <w:p>
      <w:pPr>
        <w:spacing w:after="8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架构上的一条硬约束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L4（AI 内核）不得直接产出任何数值，L3（研究引擎）不得调用大模型。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这条约束在架构层面强制隔离：所有行情、指标、回测结果、组合权重都由 L3 的确定性代码计算，L4 只能读取 L3 的输出并组织成自然语言。这样即使模型出现幻觉，也无法污染任何一个投资相关的数字。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这是本方案与「直接让大模型分析股票」类产品的根本区别，也是能够通过金融机构技术审查的前提。</w:t>
            </w:r>
          </w:p>
        </w:tc>
      </w:tr>
    </w:tbl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6.2  双版本设计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6-2　一套内核，两个地区包：内核复用率约 78%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境内版与境外版共用 L1–L6 的全部内核代码，差异集中在两处：数据源适配层与合规适配层。这是本方案能在 4–5 个月内交付双版本的关键。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2026"/>
        <w:gridCol w:w="3602"/>
        <w:gridCol w:w="4278"/>
      </w:tblGrid>
      <w:tr>
        <w:trPr>
          <w:cantSplit/>
          <w:tblHeader/>
        </w:trPr>
        <w:tc>
          <w:tcPr>
            <w:tcW w:type="dxa" w:w="202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6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境内版（A股）</w:t>
            </w:r>
          </w:p>
        </w:tc>
        <w:tc>
          <w:tcPr>
            <w:tcW w:type="dxa" w:w="427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境外版（港美股／加密）</w:t>
            </w:r>
          </w:p>
        </w:tc>
      </w:tr>
      <w:tr>
        <w:trPr>
          <w:cantSplit/>
        </w:trPr>
        <w:tc>
          <w:tcPr>
            <w:tcW w:type="dxa" w:w="202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行情数据源</w:t>
            </w:r>
          </w:p>
        </w:tc>
        <w:tc>
          <w:tcPr>
            <w:tcW w:type="dxa" w:w="36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Tushare Pro、AKShare、万得</w:t>
            </w:r>
          </w:p>
        </w:tc>
        <w:tc>
          <w:tcPr>
            <w:tcW w:type="dxa" w:w="427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港美股行情商、加密交易所行情、链上数据</w:t>
            </w:r>
          </w:p>
        </w:tc>
      </w:tr>
      <w:tr>
        <w:trPr>
          <w:cantSplit/>
        </w:trPr>
        <w:tc>
          <w:tcPr>
            <w:tcW w:type="dxa" w:w="202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基本面数据</w:t>
            </w:r>
          </w:p>
        </w:tc>
        <w:tc>
          <w:tcPr>
            <w:tcW w:type="dxa" w:w="36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A股财报、公告、研报</w:t>
            </w:r>
          </w:p>
        </w:tc>
        <w:tc>
          <w:tcPr>
            <w:tcW w:type="dxa" w:w="427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美股财报、SEC 文件、港交所披露易</w:t>
            </w:r>
          </w:p>
        </w:tc>
      </w:tr>
      <w:tr>
        <w:trPr>
          <w:cantSplit/>
        </w:trPr>
        <w:tc>
          <w:tcPr>
            <w:tcW w:type="dxa" w:w="202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舆情数据源</w:t>
            </w:r>
          </w:p>
        </w:tc>
        <w:tc>
          <w:tcPr>
            <w:tcW w:type="dxa" w:w="36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雪球、东方财富股吧、同花顺社区</w:t>
            </w:r>
          </w:p>
        </w:tc>
        <w:tc>
          <w:tcPr>
            <w:tcW w:type="dxa" w:w="427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Reddit、X、StockTwits、Seeking Alpha、Telegram／Discord</w:t>
            </w:r>
          </w:p>
        </w:tc>
      </w:tr>
      <w:tr>
        <w:trPr>
          <w:cantSplit/>
        </w:trPr>
        <w:tc>
          <w:tcPr>
            <w:tcW w:type="dxa" w:w="202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市场情绪指标</w:t>
            </w:r>
          </w:p>
        </w:tc>
        <w:tc>
          <w:tcPr>
            <w:tcW w:type="dxa" w:w="36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涨跌停家数、北向资金、两融余额、板块热度</w:t>
            </w:r>
          </w:p>
        </w:tc>
        <w:tc>
          <w:tcPr>
            <w:tcW w:type="dxa" w:w="427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恐惧贪婪指数、板块轮动、期权 PCR、加密市场指标</w:t>
            </w:r>
          </w:p>
        </w:tc>
      </w:tr>
      <w:tr>
        <w:trPr>
          <w:cantSplit/>
        </w:trPr>
        <w:tc>
          <w:tcPr>
            <w:tcW w:type="dxa" w:w="202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交易日历</w:t>
            </w:r>
          </w:p>
        </w:tc>
        <w:tc>
          <w:tcPr>
            <w:tcW w:type="dxa" w:w="36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沪深交易所日历、涨跌停制度、T+1</w:t>
            </w:r>
          </w:p>
        </w:tc>
        <w:tc>
          <w:tcPr>
            <w:tcW w:type="dxa" w:w="427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美股／港股日历、无涨跌幅限制、T+0</w:t>
            </w:r>
          </w:p>
        </w:tc>
      </w:tr>
      <w:tr>
        <w:trPr>
          <w:cantSplit/>
        </w:trPr>
        <w:tc>
          <w:tcPr>
            <w:tcW w:type="dxa" w:w="202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合规适配</w:t>
            </w:r>
          </w:p>
        </w:tc>
        <w:tc>
          <w:tcPr>
            <w:tcW w:type="dxa" w:w="36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投资者适当性、AI 内容标识、留痕审计、敏感词过滤</w:t>
            </w:r>
          </w:p>
        </w:tc>
        <w:tc>
          <w:tcPr>
            <w:tcW w:type="dxa" w:w="427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地域准入判定、风险披露、隐私合规、免责声明</w:t>
            </w:r>
          </w:p>
        </w:tc>
      </w:tr>
      <w:tr>
        <w:trPr>
          <w:cantSplit/>
        </w:trPr>
        <w:tc>
          <w:tcPr>
            <w:tcW w:type="dxa" w:w="202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语言与本地化</w:t>
            </w:r>
          </w:p>
        </w:tc>
        <w:tc>
          <w:tcPr>
            <w:tcW w:type="dxa" w:w="36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简体中文为主</w:t>
            </w:r>
          </w:p>
        </w:tc>
        <w:tc>
          <w:tcPr>
            <w:tcW w:type="dxa" w:w="427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英文为主，繁中／简中可选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single" w:color="FFFFFF" w:sz="8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shd w:fill="EAF6FC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78%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内核代码复用率</w:t>
            </w:r>
          </w:p>
        </w:tc>
        <w:tc>
          <w:tcPr>
            <w:tcW w:type="dxa" w:w="3302"/>
            <w:shd w:fill="FBF4E3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32"/>
                <w:szCs w:val="32"/>
              </w:rPr>
              <w:t xml:space="preserve">22%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地区差异化代码</w:t>
            </w:r>
          </w:p>
        </w:tc>
        <w:tc>
          <w:tcPr>
            <w:tcW w:type="dxa" w:w="3302"/>
            <w:shd w:fill="EAF7F1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32"/>
                <w:szCs w:val="32"/>
              </w:rPr>
              <w:t xml:space="preserve">2 套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独立合规适配层</w:t>
            </w:r>
          </w:p>
        </w:tc>
      </w:tr>
    </w:tbl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6.3  技术栈选型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387"/>
        <w:gridCol w:w="3764"/>
        <w:gridCol w:w="4755"/>
      </w:tblGrid>
      <w:tr>
        <w:trPr>
          <w:cantSplit/>
          <w:tblHeader/>
        </w:trPr>
        <w:tc>
          <w:tcPr>
            <w:tcW w:type="dxa" w:w="138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76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475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3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前端</w:t>
            </w:r>
          </w:p>
        </w:tc>
        <w:tc>
          <w:tcPr>
            <w:tcW w:type="dxa" w:w="3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React + TypeScript + ECharts／TradingView 图表库</w:t>
            </w:r>
          </w:p>
        </w:tc>
        <w:tc>
          <w:tcPr>
            <w:tcW w:type="dxa" w:w="47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生态成熟、金融图表组件完备、便于封装为 B端可嵌入组件</w:t>
            </w:r>
          </w:p>
        </w:tc>
      </w:tr>
      <w:tr>
        <w:trPr>
          <w:cantSplit/>
        </w:trPr>
        <w:tc>
          <w:tcPr>
            <w:tcW w:type="dxa" w:w="13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后端</w:t>
            </w:r>
          </w:p>
        </w:tc>
        <w:tc>
          <w:tcPr>
            <w:tcW w:type="dxa" w:w="3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Python FastAPI（AI 与研究引擎）+ Node.js（网关与实时推送）</w:t>
            </w:r>
          </w:p>
        </w:tc>
        <w:tc>
          <w:tcPr>
            <w:tcW w:type="dxa" w:w="47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Python 生态是量化与 AI 的事实标准，Node 处理高并发实时推送更优</w:t>
            </w:r>
          </w:p>
        </w:tc>
      </w:tr>
      <w:tr>
        <w:trPr>
          <w:cantSplit/>
        </w:trPr>
        <w:tc>
          <w:tcPr>
            <w:tcW w:type="dxa" w:w="13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层</w:t>
            </w:r>
          </w:p>
        </w:tc>
        <w:tc>
          <w:tcPr>
            <w:tcW w:type="dxa" w:w="3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 API + RAG + 向量数据库 + Function Call 编排</w:t>
            </w:r>
          </w:p>
        </w:tc>
        <w:tc>
          <w:tcPr>
            <w:tcW w:type="dxa" w:w="47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遵循甲方自采模型的前提，架构上做模型无关设计，可随时切换供应商</w:t>
            </w:r>
          </w:p>
        </w:tc>
      </w:tr>
      <w:tr>
        <w:trPr>
          <w:cantSplit/>
        </w:trPr>
        <w:tc>
          <w:tcPr>
            <w:tcW w:type="dxa" w:w="13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数据层</w:t>
            </w:r>
          </w:p>
        </w:tc>
        <w:tc>
          <w:tcPr>
            <w:tcW w:type="dxa" w:w="3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 + TimescaleDB（时序）+ Redis（缓存）+ 对象存储</w:t>
            </w:r>
          </w:p>
        </w:tc>
        <w:tc>
          <w:tcPr>
            <w:tcW w:type="dxa" w:w="47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TimescaleDB 对行情类时序数据的压缩与查询性能显著优于通用关系库</w:t>
            </w:r>
          </w:p>
        </w:tc>
      </w:tr>
      <w:tr>
        <w:trPr>
          <w:cantSplit/>
        </w:trPr>
        <w:tc>
          <w:tcPr>
            <w:tcW w:type="dxa" w:w="13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计算层</w:t>
            </w:r>
          </w:p>
        </w:tc>
        <w:tc>
          <w:tcPr>
            <w:tcW w:type="dxa" w:w="3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Pandas／Polars + NumPy，回测引擎自研</w:t>
            </w:r>
          </w:p>
        </w:tc>
        <w:tc>
          <w:tcPr>
            <w:tcW w:type="dxa" w:w="475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自研回测引擎是必要的：开源方案难以同时满足 A股制度约束与对话式调用需求</w:t>
            </w:r>
          </w:p>
        </w:tc>
      </w:tr>
      <w:tr>
        <w:trPr>
          <w:cantSplit/>
        </w:trPr>
        <w:tc>
          <w:tcPr>
            <w:tcW w:type="dxa" w:w="13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部署</w:t>
            </w:r>
          </w:p>
        </w:tc>
        <w:tc>
          <w:tcPr>
            <w:tcW w:type="dxa" w:w="3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Docker + Kubernetes + CI／CD + Prometheus／Grafana</w:t>
            </w:r>
          </w:p>
        </w:tc>
        <w:tc>
          <w:tcPr>
            <w:tcW w:type="dxa" w:w="475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支持境内境外双环境独立部署，满足数据不出境等合规要求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0A8D6" w:sz="4"/>
          <w:left w:val="single" w:color="00A8D6" w:sz="24"/>
          <w:bottom w:val="single" w:color="00A8D6" w:sz="4"/>
          <w:right w:val="single" w:color="00A8D6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4FAFF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2"/>
                <w:szCs w:val="22"/>
              </w:rPr>
              <w:t xml:space="preserve">关于大模型选型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本方案在架构上做模型无关设计：AI 内核层通过统一抽象接口调用模型，更换供应商不影响上层业务代码。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境内版建议采用境内合规大模型服务（需完成算法备案），境外版可采用国际主流模型。具体选型由甲方根据合规要求与成本预算决定，模型推理费用不含在本报价内。</w:t>
            </w:r>
          </w:p>
        </w:tc>
      </w:tr>
    </w:tbl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6.4  关键技术难点与对策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660"/>
        <w:gridCol w:w="1887"/>
        <w:gridCol w:w="3774"/>
        <w:gridCol w:w="3585"/>
      </w:tblGrid>
      <w:tr>
        <w:trPr>
          <w:cantSplit/>
          <w:tblHeader/>
        </w:trPr>
        <w:tc>
          <w:tcPr>
            <w:tcW w:type="dxa" w:w="66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8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技术难点</w:t>
            </w:r>
          </w:p>
        </w:tc>
        <w:tc>
          <w:tcPr>
            <w:tcW w:type="dxa" w:w="377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难在哪里</w:t>
            </w:r>
          </w:p>
        </w:tc>
        <w:tc>
          <w:tcPr>
            <w:tcW w:type="dxa" w:w="358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66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中文金融语义解析</w:t>
            </w:r>
          </w:p>
        </w:tc>
        <w:tc>
          <w:tcPr>
            <w:tcW w:type="dxa" w:w="377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「连续三天放量上涨」「主力资金净流入」等表达需映射为可计算规则，通用大模型直接解析准确率不足</w:t>
            </w:r>
          </w:p>
        </w:tc>
        <w:tc>
          <w:tcPr>
            <w:tcW w:type="dxa" w:w="35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构建金融语义词典 + 指标规则库 + 时序语义模板，模型负责语义匹配而非规则生成，准确率目标 ≥ 92%</w:t>
            </w:r>
          </w:p>
        </w:tc>
      </w:tr>
      <w:tr>
        <w:trPr>
          <w:cantSplit/>
        </w:trPr>
        <w:tc>
          <w:tcPr>
            <w:tcW w:type="dxa" w:w="66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回测引擎的正确性</w:t>
            </w:r>
          </w:p>
        </w:tc>
        <w:tc>
          <w:tcPr>
            <w:tcW w:type="dxa" w:w="377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未来函数、幸存者偏差、涨跌停不可成交、停牌处理等陷阱极易导致回测结果虚高</w:t>
            </w:r>
          </w:p>
        </w:tc>
        <w:tc>
          <w:tcPr>
            <w:tcW w:type="dxa" w:w="35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严格的时点数据管理（PIT）、交易制度约束内置、样本内外强制分割、与已知基准做交叉验证</w:t>
            </w:r>
          </w:p>
        </w:tc>
      </w:tr>
      <w:tr>
        <w:trPr>
          <w:cantSplit/>
        </w:trPr>
        <w:tc>
          <w:tcPr>
            <w:tcW w:type="dxa" w:w="66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舆情采集稳定性</w:t>
            </w:r>
          </w:p>
        </w:tc>
        <w:tc>
          <w:tcPr>
            <w:tcW w:type="dxa" w:w="377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境内论坛无开放 API，反爬机制持续变化，采集链路易断</w:t>
            </w:r>
          </w:p>
        </w:tc>
        <w:tc>
          <w:tcPr>
            <w:tcW w:type="dxa" w:w="35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适配器模式 + 多通道冗余 + 断点续采 + 采集健康度监控告警；单源失效不影响整体</w:t>
            </w:r>
          </w:p>
        </w:tc>
      </w:tr>
      <w:tr>
        <w:trPr>
          <w:cantSplit/>
        </w:trPr>
        <w:tc>
          <w:tcPr>
            <w:tcW w:type="dxa" w:w="66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大模型幻觉控制</w:t>
            </w:r>
          </w:p>
        </w:tc>
        <w:tc>
          <w:tcPr>
            <w:tcW w:type="dxa" w:w="377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投研场景中任何编造的数字都可能造成实际损失</w:t>
            </w:r>
          </w:p>
        </w:tc>
        <w:tc>
          <w:tcPr>
            <w:tcW w:type="dxa" w:w="35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L3／L4 强制隔离（见 6.1）+ 数值溯源标注 + 关键结论二次校验 + 置信度提示</w:t>
            </w:r>
          </w:p>
        </w:tc>
      </w:tr>
      <w:tr>
        <w:trPr>
          <w:cantSplit/>
        </w:trPr>
        <w:tc>
          <w:tcPr>
            <w:tcW w:type="dxa" w:w="66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实时性与成本平衡</w:t>
            </w:r>
          </w:p>
        </w:tc>
        <w:tc>
          <w:tcPr>
            <w:tcW w:type="dxa" w:w="377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全量实时行情与全量模型推理的成本极高</w:t>
            </w:r>
          </w:p>
        </w:tc>
        <w:tc>
          <w:tcPr>
            <w:tcW w:type="dxa" w:w="35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分层缓存策略、热点数据预计算、模型调用分级（简单意图走小模型）、结果复用</w:t>
            </w:r>
          </w:p>
        </w:tc>
      </w:tr>
      <w:tr>
        <w:trPr>
          <w:cantSplit/>
        </w:trPr>
        <w:tc>
          <w:tcPr>
            <w:tcW w:type="dxa" w:w="66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6</w:t>
            </w:r>
          </w:p>
        </w:tc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双版本一致性</w:t>
            </w:r>
          </w:p>
        </w:tc>
        <w:tc>
          <w:tcPr>
            <w:tcW w:type="dxa" w:w="377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两套数据源、两套合规规则，易产生行为不一致与维护分裂</w:t>
            </w:r>
          </w:p>
        </w:tc>
        <w:tc>
          <w:tcPr>
            <w:tcW w:type="dxa" w:w="35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地区差异全部收敛到适配层配置，内核代码严禁出现地区判断分支；建立双版本自动化回归测试</w:t>
            </w:r>
          </w:p>
        </w:tc>
      </w:tr>
    </w:tbl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6.5  性能与容量目标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2642"/>
        <w:gridCol w:w="2201"/>
        <w:gridCol w:w="5063"/>
      </w:tblGrid>
      <w:tr>
        <w:trPr>
          <w:cantSplit/>
          <w:tblHeader/>
        </w:trPr>
        <w:tc>
          <w:tcPr>
            <w:tcW w:type="dxa" w:w="264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2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506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普通行情查询响应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≤ 2 秒（P95）</w:t>
            </w:r>
          </w:p>
        </w:tc>
        <w:tc>
          <w:tcPr>
            <w:tcW w:type="dxa" w:w="506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首屏数据加载完成时间</w:t>
            </w:r>
          </w:p>
        </w:tc>
      </w:tr>
      <w:tr>
        <w:trPr>
          <w:cantSplit/>
        </w:trPr>
        <w:tc>
          <w:tcPr>
            <w:tcW w:type="dxa" w:w="26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自然语言意图解析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≤ 3 秒（P95）</w:t>
            </w:r>
          </w:p>
        </w:tc>
        <w:tc>
          <w:tcPr>
            <w:tcW w:type="dxa" w:w="506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从提交到返回结构化意图</w:t>
            </w:r>
          </w:p>
        </w:tc>
      </w:tr>
      <w:tr>
        <w:trPr>
          <w:cantSplit/>
        </w:trPr>
        <w:tc>
          <w:tcPr>
            <w:tcW w:type="dxa" w:w="26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简单策略回测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≤ 30 秒</w:t>
            </w:r>
          </w:p>
        </w:tc>
        <w:tc>
          <w:tcPr>
            <w:tcW w:type="dxa" w:w="506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单因子、全市场、3 年周期</w:t>
            </w:r>
          </w:p>
        </w:tc>
      </w:tr>
      <w:tr>
        <w:trPr>
          <w:cantSplit/>
        </w:trPr>
        <w:tc>
          <w:tcPr>
            <w:tcW w:type="dxa" w:w="26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复杂策略回测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≤ 3 分钟</w:t>
            </w:r>
          </w:p>
        </w:tc>
        <w:tc>
          <w:tcPr>
            <w:tcW w:type="dxa" w:w="506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多因子组合、全市场、5 年周期</w:t>
            </w:r>
          </w:p>
        </w:tc>
      </w:tr>
      <w:tr>
        <w:trPr>
          <w:cantSplit/>
        </w:trPr>
        <w:tc>
          <w:tcPr>
            <w:tcW w:type="dxa" w:w="26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舆情数据延迟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≤ 15 分钟</w:t>
            </w:r>
          </w:p>
        </w:tc>
        <w:tc>
          <w:tcPr>
            <w:tcW w:type="dxa" w:w="506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从源站发布到平台可见</w:t>
            </w:r>
          </w:p>
        </w:tc>
      </w:tr>
      <w:tr>
        <w:trPr>
          <w:cantSplit/>
        </w:trPr>
        <w:tc>
          <w:tcPr>
            <w:tcW w:type="dxa" w:w="26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并发在线用户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≥ 5,000</w:t>
            </w:r>
          </w:p>
        </w:tc>
        <w:tc>
          <w:tcPr>
            <w:tcW w:type="dxa" w:w="506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初期容量设计目标，架构支持横向扩展</w:t>
            </w:r>
          </w:p>
        </w:tc>
      </w:tr>
      <w:tr>
        <w:trPr>
          <w:cantSplit/>
        </w:trPr>
        <w:tc>
          <w:tcPr>
            <w:tcW w:type="dxa" w:w="26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≥ 99.5%</w:t>
            </w:r>
          </w:p>
        </w:tc>
        <w:tc>
          <w:tcPr>
            <w:tcW w:type="dxa" w:w="506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交易时段内，不含第三方数据源故障</w:t>
            </w:r>
          </w:p>
        </w:tc>
      </w:tr>
    </w:tbl>
    <w:p>
      <w:pPr>
        <w:pStyle w:val="Heading2"/>
        <w:keepNext/>
        <w:pBdr>
          <w:left w:val="single" w:color="0284C7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6.6  核心数据模型与接口设计要点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284C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6.6.1  核心数据域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475"/>
        <w:gridCol w:w="4637"/>
        <w:gridCol w:w="1897"/>
        <w:gridCol w:w="1897"/>
      </w:tblGrid>
      <w:tr>
        <w:trPr>
          <w:cantSplit/>
          <w:tblHeader/>
        </w:trPr>
        <w:tc>
          <w:tcPr>
            <w:tcW w:type="dxa" w:w="147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数据域</w:t>
            </w:r>
          </w:p>
        </w:tc>
        <w:tc>
          <w:tcPr>
            <w:tcW w:type="dxa" w:w="463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主要实体</w:t>
            </w:r>
          </w:p>
        </w:tc>
        <w:tc>
          <w:tcPr>
            <w:tcW w:type="dxa" w:w="189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更新频率</w:t>
            </w:r>
          </w:p>
        </w:tc>
        <w:tc>
          <w:tcPr>
            <w:tcW w:type="dxa" w:w="189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存储选型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行情域</w:t>
            </w:r>
          </w:p>
        </w:tc>
        <w:tc>
          <w:tcPr>
            <w:tcW w:type="dxa" w:w="46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标的基础信息、日线／分钟线、复权因子、交易日历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实时／日终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TimescaleDB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基本面域</w:t>
            </w:r>
          </w:p>
        </w:tc>
        <w:tc>
          <w:tcPr>
            <w:tcW w:type="dxa" w:w="46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财务报表、财务指标、股本结构、分红送配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季度／事件驱动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资金域</w:t>
            </w:r>
          </w:p>
        </w:tc>
        <w:tc>
          <w:tcPr>
            <w:tcW w:type="dxa" w:w="46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资金流向、融资融券、北向持股、大宗交易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日终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TimescaleDB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舆情域</w:t>
            </w:r>
          </w:p>
        </w:tc>
        <w:tc>
          <w:tcPr>
            <w:tcW w:type="dxa" w:w="46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原始信号、情感标签、实体关联、热度时序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近实时（≤15 分钟）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 + 向量库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因子域</w:t>
            </w:r>
          </w:p>
        </w:tc>
        <w:tc>
          <w:tcPr>
            <w:tcW w:type="dxa" w:w="46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因子定义、因子值时序、因子绩效指标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日终批量计算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TimescaleDB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研究域</w:t>
            </w:r>
          </w:p>
        </w:tc>
        <w:tc>
          <w:tcPr>
            <w:tcW w:type="dxa" w:w="46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研究任务、回测记录、组合定义、归因结果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用户触发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 + 对象存储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用户域</w:t>
            </w:r>
          </w:p>
        </w:tc>
        <w:tc>
          <w:tcPr>
            <w:tcW w:type="dxa" w:w="46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账户、权限、订阅、适当性评级、操作审计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实时</w:t>
            </w:r>
          </w:p>
        </w:tc>
        <w:tc>
          <w:tcPr>
            <w:tcW w:type="dxa" w:w="189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租户域</w:t>
            </w:r>
          </w:p>
        </w:tc>
        <w:tc>
          <w:tcPr>
            <w:tcW w:type="dxa" w:w="46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租户配置、密钥、配额、用量计量、账单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实时</w:t>
            </w:r>
          </w:p>
        </w:tc>
        <w:tc>
          <w:tcPr>
            <w:tcW w:type="dxa" w:w="189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PostgreSQL</w:t>
            </w:r>
          </w:p>
        </w:tc>
      </w:tr>
    </w:tbl>
    <w:p>
      <w:pPr>
        <w:spacing w:after="7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284C7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6.6.2  接口设计原则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研究任务异步化：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回测等耗时操作采用任务提交 + 状态轮询／推送模式，避免长连接阻塞，同时支持任务取消与优先级调度。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结果可寻址：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每个研究产出（因子、回测、组合、归因）都有稳定 ID，可被引用、分享、二次加工与导出。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数据版本化：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每次计算记录所用数据的版本快照，保证同一任务在任何时间重跑都能得到相同结果。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幂等与重试：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所有写操作支持幂等键，网络抖动或客户端重试不会产生重复记录。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租户强隔离：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租户 ID 作为强制查询条件在数据访问层统一注入，杜绝越权访问的可能。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0284C7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向前兼容：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接口采用版本化路径，新增字段不破坏既有调用方，废弃字段保留至少两个版本周期。</w:t>
      </w:r>
    </w:p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7.1  报价原则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1"/>
          <w:szCs w:val="21"/>
        </w:rPr>
        <w:t xml:space="preserve">①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按模块计价，不按人天计价。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交付的是可验收的能力，不是工时。每个模块都有明确的功能边界与验收标准，甲方为结果付费。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1"/>
          <w:szCs w:val="21"/>
        </w:rPr>
        <w:t xml:space="preserve">②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模块可拆可组。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甲方可只购买境内版，后续再追加境外包或 B端白标，价格不变，不因分期采购而加价。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1"/>
          <w:szCs w:val="21"/>
        </w:rPr>
        <w:t xml:space="preserve">③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3261E"/>
          <w:sz w:val="21"/>
          <w:szCs w:val="21"/>
        </w:rPr>
        <w:t xml:space="preserve">交易执行模块不出现在报价中。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这是合规设计的必然结果，详见 7.5 节。</w:t>
      </w:r>
    </w:p>
    <w:p>
      <w:pPr>
        <w:spacing w:after="70" w:before="30" w:line="300"/>
        <w:ind w:left="400" w:hanging="260"/>
        <w:jc w:val="both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1"/>
          <w:szCs w:val="21"/>
        </w:rPr>
        <w:t xml:space="preserve">④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第三方成本不含在内。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数据源采购、大模型推理、云资源由甲方自行采购，我方提供预算清单与选型建议，详见 7.6 节。</w:t>
      </w:r>
    </w:p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7.2  模块报价明细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A　平台内核（共用，一次性投入）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800"/>
        <w:gridCol w:w="2201"/>
        <w:gridCol w:w="5403"/>
        <w:gridCol w:w="1502"/>
      </w:tblGrid>
      <w:tr>
        <w:trPr>
          <w:cantSplit/>
          <w:tblHeader/>
        </w:trPr>
        <w:tc>
          <w:tcPr>
            <w:tcW w:type="dxa" w:w="80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代号</w:t>
            </w:r>
          </w:p>
        </w:tc>
        <w:tc>
          <w:tcPr>
            <w:tcW w:type="dxa" w:w="22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540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核心交付内容</w:t>
            </w:r>
          </w:p>
        </w:tc>
        <w:tc>
          <w:tcPr>
            <w:tcW w:type="dxa" w:w="15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报价（万元）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A1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账号与权限中台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多方式登录、会话管理、角色权限、密钥隔离、操作审计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A2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数据中台与行情引擎</w:t>
            </w:r>
          </w:p>
        </w:tc>
        <w:tc>
          <w:tcPr>
            <w:tcW w:type="dxa" w:w="54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多源接入框架、实时行情订阅、历史数据存储、数据质量监控、特征存储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A3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对话式 AI 内核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金融语义解析、意图识别、Function Call 编排、多轮上下文、语音输入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A4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推理与 RAG 底座</w:t>
            </w:r>
          </w:p>
        </w:tc>
        <w:tc>
          <w:tcPr>
            <w:tcW w:type="dxa" w:w="54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知识库构建、向量检索、提示词工程与管理、模型抽象层、幻觉控制机制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A5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图表与 Dashboard 引擎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K线组件、指标图表、自定义看板、响应式布局、导出能力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A6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基础设施与安全底座</w:t>
            </w:r>
          </w:p>
        </w:tc>
        <w:tc>
          <w:tcPr>
            <w:tcW w:type="dxa" w:w="54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容器化部署、CI／CD、监控告警、日志审计、安全加固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800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20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A 小计</w:t>
            </w:r>
          </w:p>
        </w:tc>
        <w:tc>
          <w:tcPr>
            <w:tcW w:type="dxa" w:w="5403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168</w:t>
            </w:r>
          </w:p>
        </w:tc>
      </w:tr>
    </w:tbl>
    <w:p>
      <w:pPr>
        <w:spacing w:after="10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B　超越模块（四大差异化引擎）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800"/>
        <w:gridCol w:w="2201"/>
        <w:gridCol w:w="5403"/>
        <w:gridCol w:w="1502"/>
      </w:tblGrid>
      <w:tr>
        <w:trPr>
          <w:cantSplit/>
          <w:tblHeader/>
        </w:trPr>
        <w:tc>
          <w:tcPr>
            <w:tcW w:type="dxa" w:w="80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代号</w:t>
            </w:r>
          </w:p>
        </w:tc>
        <w:tc>
          <w:tcPr>
            <w:tcW w:type="dxa" w:w="22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540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核心交付内容</w:t>
            </w:r>
          </w:p>
        </w:tc>
        <w:tc>
          <w:tcPr>
            <w:tcW w:type="dxa" w:w="15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报价（万元）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B1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因子研究引擎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因子库、表达式引擎、对话式因子构建、因子有效性分析（IC／IR／分层收益）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B2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回测与归因引擎</w:t>
            </w:r>
          </w:p>
        </w:tc>
        <w:tc>
          <w:tcPr>
            <w:tcW w:type="dxa" w:w="54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事件驱动回测、时点数据管理、交易制度约束、绩效指标、Brinson 归因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B3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舆情情绪聚合引擎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四类数据源适配框架、清洗去重、情感分析、实体识别、热点聚合、情绪因子化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B4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Agent 策略托管</w:t>
            </w:r>
          </w:p>
        </w:tc>
        <w:tc>
          <w:tcPr>
            <w:tcW w:type="dxa" w:w="54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任务编排、持续监控、失效预警、定期复核、调仓建议、异动捕捉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B5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组合管理与风险监控</w:t>
            </w:r>
          </w:p>
        </w:tc>
        <w:tc>
          <w:tcPr>
            <w:tcW w:type="dxa" w:w="54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组合构建、权重优化、风险敞口分析、集中度与相关性监控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00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20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B 小计</w:t>
            </w:r>
          </w:p>
        </w:tc>
        <w:tc>
          <w:tcPr>
            <w:tcW w:type="dxa" w:w="5403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172</w:t>
            </w:r>
          </w:p>
        </w:tc>
      </w:tr>
    </w:tbl>
    <w:p>
      <w:pPr>
        <w:spacing w:after="10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C　境内地区包（A股）　／　D　境外地区包（港美股·加密）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800"/>
        <w:gridCol w:w="2401"/>
        <w:gridCol w:w="5203"/>
        <w:gridCol w:w="1502"/>
      </w:tblGrid>
      <w:tr>
        <w:trPr>
          <w:cantSplit/>
          <w:tblHeader/>
        </w:trPr>
        <w:tc>
          <w:tcPr>
            <w:tcW w:type="dxa" w:w="80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代号</w:t>
            </w:r>
          </w:p>
        </w:tc>
        <w:tc>
          <w:tcPr>
            <w:tcW w:type="dxa" w:w="24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520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核心交付内容</w:t>
            </w:r>
          </w:p>
        </w:tc>
        <w:tc>
          <w:tcPr>
            <w:tcW w:type="dxa" w:w="15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报价（万元）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C1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A股数据源适配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Tushare Pro／AKShare／万得接入、A股交易日历、涨跌停与停牌处理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C2</w:t>
            </w:r>
          </w:p>
        </w:tc>
        <w:tc>
          <w:tcPr>
            <w:tcW w:type="dxa" w:w="24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境内舆情源适配</w:t>
            </w:r>
          </w:p>
        </w:tc>
        <w:tc>
          <w:tcPr>
            <w:tcW w:type="dxa" w:w="52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雪球、东方财富股吧、同花顺社区采集适配与内容治理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C3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境内合规适配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投资者适当性、AI 内容标识、留痕审计、敏感词库、隐私协议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800"/>
            <w:shd w:fill="EAF7F1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401"/>
            <w:shd w:fill="EAF7F1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C 小计</w:t>
            </w:r>
          </w:p>
        </w:tc>
        <w:tc>
          <w:tcPr>
            <w:tcW w:type="dxa" w:w="5203"/>
            <w:shd w:fill="EAF7F1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EAF7F1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D1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港美股／加密数据源适配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港美股行情与财报接入、加密行情、链上数据、跨市场交易日历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D2</w:t>
            </w:r>
          </w:p>
        </w:tc>
        <w:tc>
          <w:tcPr>
            <w:tcW w:type="dxa" w:w="24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境外舆情源适配</w:t>
            </w:r>
          </w:p>
        </w:tc>
        <w:tc>
          <w:tcPr>
            <w:tcW w:type="dxa" w:w="52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Reddit／X／StockTwits／Seeking Alpha、Telegram／Discord KOL 通道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D3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境外合规适配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地域准入判定、风险披露、隐私合规、多语言免责声明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00"/>
            <w:shd w:fill="F3EE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401"/>
            <w:shd w:fill="F3EE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D4AB6"/>
                <w:sz w:val="19"/>
                <w:szCs w:val="19"/>
              </w:rPr>
              <w:t xml:space="preserve">D 小计</w:t>
            </w:r>
          </w:p>
        </w:tc>
        <w:tc>
          <w:tcPr>
            <w:tcW w:type="dxa" w:w="5203"/>
            <w:shd w:fill="F3EE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F3EE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D4AB6"/>
                <w:sz w:val="22"/>
                <w:szCs w:val="22"/>
              </w:rPr>
              <w:t xml:space="preserve">44</w:t>
            </w:r>
          </w:p>
        </w:tc>
      </w:tr>
    </w:tbl>
    <w:p>
      <w:pPr>
        <w:spacing w:after="10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A8853C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E　B端白标　／　F　交付保障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800"/>
        <w:gridCol w:w="2401"/>
        <w:gridCol w:w="5203"/>
        <w:gridCol w:w="1502"/>
      </w:tblGrid>
      <w:tr>
        <w:trPr>
          <w:cantSplit/>
          <w:tblHeader/>
        </w:trPr>
        <w:tc>
          <w:tcPr>
            <w:tcW w:type="dxa" w:w="80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代号</w:t>
            </w:r>
          </w:p>
        </w:tc>
        <w:tc>
          <w:tcPr>
            <w:tcW w:type="dxa" w:w="24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520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核心交付内容</w:t>
            </w:r>
          </w:p>
        </w:tc>
        <w:tc>
          <w:tcPr>
            <w:tcW w:type="dxa" w:w="150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报价（万元）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E1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多租户与权限隔离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租户体系、数据隔离、密钥管理、租户级配置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E2</w:t>
            </w:r>
          </w:p>
        </w:tc>
        <w:tc>
          <w:tcPr>
            <w:tcW w:type="dxa" w:w="24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开放 API 与白标组件</w:t>
            </w:r>
          </w:p>
        </w:tc>
        <w:tc>
          <w:tcPr>
            <w:tcW w:type="dxa" w:w="52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REST／WebSocket 接口、SDK、可嵌入组件、品牌定制能力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E3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用量计量与结算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调用计量、用量看板、账单生成、结算数据导出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00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40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E 小计</w:t>
            </w:r>
          </w:p>
        </w:tc>
        <w:tc>
          <w:tcPr>
            <w:tcW w:type="dxa" w:w="5203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F1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测试与验收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单元／集成／端到端测试、性能测试、UAT 支持、缺陷修复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F2</w:t>
            </w:r>
          </w:p>
        </w:tc>
        <w:tc>
          <w:tcPr>
            <w:tcW w:type="dxa" w:w="24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部署上线与运维交接</w:t>
            </w:r>
          </w:p>
        </w:tc>
        <w:tc>
          <w:tcPr>
            <w:tcW w:type="dxa" w:w="52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环境搭建、上线实施、灾备方案、Runbook、运维交接</w:t>
            </w:r>
          </w:p>
        </w:tc>
        <w:tc>
          <w:tcPr>
            <w:tcW w:type="dxa" w:w="150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F3</w:t>
            </w:r>
          </w:p>
        </w:tc>
        <w:tc>
          <w:tcPr>
            <w:tcW w:type="dxa" w:w="24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文档与培训</w:t>
            </w:r>
          </w:p>
        </w:tc>
        <w:tc>
          <w:tcPr>
            <w:tcW w:type="dxa" w:w="52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架构文档、接口文档、运维手册、用户手册、两轮培训</w:t>
            </w:r>
          </w:p>
        </w:tc>
        <w:tc>
          <w:tcPr>
            <w:tcW w:type="dxa" w:w="150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00"/>
            <w:shd w:fill="EAF6FC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2401"/>
            <w:shd w:fill="EAF6FC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19"/>
                <w:szCs w:val="19"/>
              </w:rPr>
              <w:t xml:space="preserve">F 小计</w:t>
            </w:r>
          </w:p>
        </w:tc>
        <w:tc>
          <w:tcPr>
            <w:tcW w:type="dxa" w:w="5203"/>
            <w:shd w:fill="EAF6FC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502"/>
            <w:shd w:fill="EAF6FC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2"/>
                <w:szCs w:val="22"/>
              </w:rPr>
              <w:t xml:space="preserve">32</w:t>
            </w:r>
          </w:p>
        </w:tc>
      </w:tr>
    </w:tbl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7.3  组合方案与推荐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7-1　模块报价结构与三种推荐组合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177"/>
        <w:gridCol w:w="2158"/>
        <w:gridCol w:w="4904"/>
        <w:gridCol w:w="1667"/>
      </w:tblGrid>
      <w:tr>
        <w:trPr>
          <w:cantSplit/>
          <w:tblHeader/>
        </w:trPr>
        <w:tc>
          <w:tcPr>
            <w:tcW w:type="dxa" w:w="117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组合</w:t>
            </w:r>
          </w:p>
        </w:tc>
        <w:tc>
          <w:tcPr>
            <w:tcW w:type="dxa" w:w="215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包含模块</w:t>
            </w:r>
          </w:p>
        </w:tc>
        <w:tc>
          <w:tcPr>
            <w:tcW w:type="dxa" w:w="490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166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总价（万元）</w:t>
            </w:r>
          </w:p>
        </w:tc>
      </w:tr>
      <w:tr>
        <w:trPr>
          <w:cantSplit/>
        </w:trPr>
        <w:tc>
          <w:tcPr>
            <w:tcW w:type="dxa" w:w="117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组合一</w:t>
            </w:r>
          </w:p>
        </w:tc>
        <w:tc>
          <w:tcPr>
            <w:tcW w:type="dxa" w:w="215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 + B + C + F</w:t>
            </w:r>
          </w:p>
        </w:tc>
        <w:tc>
          <w:tcPr>
            <w:tcW w:type="dxa" w:w="49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先做境内 A股市场验证产品力，境外版留待二期</w:t>
            </w:r>
          </w:p>
        </w:tc>
        <w:tc>
          <w:tcPr>
            <w:tcW w:type="dxa" w:w="166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3"/>
                <w:szCs w:val="23"/>
              </w:rPr>
              <w:t xml:space="preserve">418</w:t>
            </w:r>
          </w:p>
        </w:tc>
      </w:tr>
      <w:tr>
        <w:trPr>
          <w:cantSplit/>
        </w:trPr>
        <w:tc>
          <w:tcPr>
            <w:tcW w:type="dxa" w:w="117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19"/>
                <w:szCs w:val="19"/>
              </w:rPr>
              <w:t xml:space="preserve">组合二</w:t>
            </w:r>
          </w:p>
        </w:tc>
        <w:tc>
          <w:tcPr>
            <w:tcW w:type="dxa" w:w="215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 + B + C + D + F</w:t>
            </w:r>
          </w:p>
        </w:tc>
        <w:tc>
          <w:tcPr>
            <w:tcW w:type="dxa" w:w="490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境内境外同步上线，覆盖全部目标用户群</w:t>
            </w:r>
          </w:p>
        </w:tc>
        <w:tc>
          <w:tcPr>
            <w:tcW w:type="dxa" w:w="166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23"/>
                <w:szCs w:val="23"/>
              </w:rPr>
              <w:t xml:space="preserve">462</w:t>
            </w:r>
          </w:p>
        </w:tc>
      </w:tr>
      <w:tr>
        <w:trPr>
          <w:cantSplit/>
        </w:trPr>
        <w:tc>
          <w:tcPr>
            <w:tcW w:type="dxa" w:w="117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组合三</w:t>
            </w:r>
          </w:p>
        </w:tc>
        <w:tc>
          <w:tcPr>
            <w:tcW w:type="dxa" w:w="215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 + B + C + D + E + F</w:t>
            </w:r>
          </w:p>
        </w:tc>
        <w:tc>
          <w:tcPr>
            <w:tcW w:type="dxa" w:w="490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全量交付，同时打开 C端与 B端两条收入曲线（推荐）</w:t>
            </w:r>
          </w:p>
        </w:tc>
        <w:tc>
          <w:tcPr>
            <w:tcW w:type="dxa" w:w="166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3"/>
                <w:szCs w:val="23"/>
              </w:rPr>
              <w:t xml:space="preserve">500</w:t>
            </w:r>
          </w:p>
        </w:tc>
      </w:tr>
    </w:tbl>
    <w:p>
      <w:pPr>
        <w:spacing w:after="8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A8853C" w:sz="4"/>
          <w:left w:val="single" w:color="A8853C" w:sz="24"/>
          <w:bottom w:val="single" w:color="A8853C" w:sz="4"/>
          <w:right w:val="single" w:color="A8853C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BF4E3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我们的推荐：组合三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1"/>
                <w:szCs w:val="21"/>
              </w:rPr>
              <w:t xml:space="preserve">理由一：B端白标只需 38 万增量，却打开了完全不同量级的收入曲线。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C端订阅的天花板受用户规模限制，而单个券商或资管机构的年度授权费往往就是七位数。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1"/>
                <w:szCs w:val="21"/>
              </w:rPr>
              <w:t xml:space="preserve">理由二：多租户架构必须在早期做进去。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后期改造成本远高于 38 万，且会带来数据隔离的历史遗留风险。这是典型的「现在做便宜、以后做昂贵」的架构决策。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1"/>
                <w:szCs w:val="21"/>
              </w:rPr>
              <w:t xml:space="preserve">理由三：双版本同步交付比分期做更省。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境外包 44 万是在内核已完成的前提下的增量成本；若拆到二期单独立项，需要重新组队与重新熟悉代码，实际成本会明显上升。</w:t>
            </w:r>
          </w:p>
        </w:tc>
      </w:tr>
    </w:tbl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7.4  付款节点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以组合三（500 万元）为例，付款按里程碑分五期。若甲方选择其他组合，比例不变，金额按比例调整。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541"/>
        <w:gridCol w:w="5283"/>
        <w:gridCol w:w="1321"/>
        <w:gridCol w:w="1761"/>
      </w:tblGrid>
      <w:tr>
        <w:trPr>
          <w:cantSplit/>
          <w:tblHeader/>
        </w:trPr>
        <w:tc>
          <w:tcPr>
            <w:tcW w:type="dxa" w:w="154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52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32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比例</w:t>
            </w:r>
          </w:p>
        </w:tc>
        <w:tc>
          <w:tcPr>
            <w:tcW w:type="dxa" w:w="17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金额（万元）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首付款</w:t>
            </w:r>
          </w:p>
        </w:tc>
        <w:tc>
          <w:tcPr>
            <w:tcW w:type="dxa" w:w="52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合同签订并生效后 5 个工作日内</w:t>
            </w:r>
          </w:p>
        </w:tc>
        <w:tc>
          <w:tcPr>
            <w:tcW w:type="dxa" w:w="132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30%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154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期一款</w:t>
            </w:r>
          </w:p>
        </w:tc>
        <w:tc>
          <w:tcPr>
            <w:tcW w:type="dxa" w:w="52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期一验收通过（内核 + 境内数据打通）</w:t>
            </w:r>
          </w:p>
        </w:tc>
        <w:tc>
          <w:tcPr>
            <w:tcW w:type="dxa" w:w="132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25%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期二款</w:t>
            </w:r>
          </w:p>
        </w:tc>
        <w:tc>
          <w:tcPr>
            <w:tcW w:type="dxa" w:w="52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期二验收通过（因子回测 + 舆情引擎上线）</w:t>
            </w:r>
          </w:p>
        </w:tc>
        <w:tc>
          <w:tcPr>
            <w:tcW w:type="dxa" w:w="132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25%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154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终验款</w:t>
            </w:r>
          </w:p>
        </w:tc>
        <w:tc>
          <w:tcPr>
            <w:tcW w:type="dxa" w:w="52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系统终验通过并完成部署交接</w:t>
            </w:r>
          </w:p>
        </w:tc>
        <w:tc>
          <w:tcPr>
            <w:tcW w:type="dxa" w:w="132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15%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154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质保金</w:t>
            </w:r>
          </w:p>
        </w:tc>
        <w:tc>
          <w:tcPr>
            <w:tcW w:type="dxa" w:w="52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质保期（12 个月）届满且无未决严重缺陷</w:t>
            </w:r>
          </w:p>
        </w:tc>
        <w:tc>
          <w:tcPr>
            <w:tcW w:type="dxa" w:w="132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5%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54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合计</w:t>
            </w:r>
          </w:p>
        </w:tc>
        <w:tc>
          <w:tcPr>
            <w:tcW w:type="dxa" w:w="5283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/>
            </w:r>
          </w:p>
        </w:tc>
        <w:tc>
          <w:tcPr>
            <w:tcW w:type="dxa" w:w="132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19"/>
                <w:szCs w:val="19"/>
              </w:rPr>
              <w:t xml:space="preserve">100%</w:t>
            </w:r>
          </w:p>
        </w:tc>
        <w:tc>
          <w:tcPr>
            <w:tcW w:type="dxa" w:w="1761"/>
            <w:shd w:fill="FBF4E3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22"/>
                <w:szCs w:val="22"/>
              </w:rPr>
              <w:t xml:space="preserve">500</w:t>
            </w:r>
          </w:p>
        </w:tc>
      </w:tr>
    </w:tbl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7.5  报价不含项</w:t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交易执行模块：不做，也不报价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本方案不提供、不开发、不交付任何交易执行相关能力，</w:t>
            </w: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包括但不限于：下单撮合、订单路由、杠杆与保证金、永续合约、资金托管、法币出入金、代币兑换、跟单与代客理财。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因此报价表中不存在该模块的价格项。这是合规设计的结果，不是可协商的删减项——即便甲方追加预算，本方案的交付范围也不包含这些能力。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架构上预留了标准化的持牌机构对接位（L0 层），接口规范随交付文档提供。是否接入、接入哪家持牌机构、由谁承担相应合规责任，完全由甲方自行决策并自行实施。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除交易执行外，以下内容同样不含在本次报价中：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第三方数据源采购费用（详见 7.6 节清单）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大模型 API 推理费用与算力成本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云服务器、带宽、存储、CDN 等基础资源费用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各类金融牌照的申请、代办与法律顾问费用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第三方安全审计与等保测评费用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交付范围外的定制化需求（按变更流程另行评估）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A8853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质保期结束后的运维与迭代服务（可另签服务协议）</w:t>
      </w:r>
    </w:p>
    <w:p>
      <w:pPr>
        <w:pStyle w:val="Heading2"/>
        <w:keepNext/>
        <w:pBdr>
          <w:left w:val="single" w:color="A8853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7.6  第三方成本参考清单（甲方自采）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以下为甲方需自行采购的第三方资源，金额为市场公开价格的量级参考，仅供预算编制使用，不构成我方报价，实际以供应商合同为准。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948"/>
        <w:gridCol w:w="3372"/>
        <w:gridCol w:w="3583"/>
        <w:gridCol w:w="2003"/>
      </w:tblGrid>
      <w:tr>
        <w:trPr>
          <w:cantSplit/>
          <w:tblHeader/>
        </w:trPr>
        <w:tc>
          <w:tcPr>
            <w:tcW w:type="dxa" w:w="94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3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5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年度参考量级</w:t>
            </w:r>
          </w:p>
        </w:tc>
      </w:tr>
      <w:tr>
        <w:trPr>
          <w:cantSplit/>
        </w:trPr>
        <w:tc>
          <w:tcPr>
            <w:tcW w:type="dxa" w:w="9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Tushare Pro 高级积分 / 同类 A股数据服务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A股行情、财报、资金流等基础数据</w:t>
            </w:r>
          </w:p>
        </w:tc>
        <w:tc>
          <w:tcPr>
            <w:tcW w:type="dxa" w:w="20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 – 5 万</w:t>
            </w:r>
          </w:p>
        </w:tc>
      </w:tr>
      <w:tr>
        <w:trPr>
          <w:cantSplit/>
        </w:trPr>
        <w:tc>
          <w:tcPr>
            <w:tcW w:type="dxa" w:w="9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万得 / 专业金融终端数据授权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高质量基本面与研报数据（可选）</w:t>
            </w:r>
          </w:p>
        </w:tc>
        <w:tc>
          <w:tcPr>
            <w:tcW w:type="dxa" w:w="20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10 – 50 万</w:t>
            </w:r>
          </w:p>
        </w:tc>
      </w:tr>
      <w:tr>
        <w:trPr>
          <w:cantSplit/>
        </w:trPr>
        <w:tc>
          <w:tcPr>
            <w:tcW w:type="dxa" w:w="9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港美股行情数据服务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境外版行情与基本面</w:t>
            </w:r>
          </w:p>
        </w:tc>
        <w:tc>
          <w:tcPr>
            <w:tcW w:type="dxa" w:w="20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 – 20 万</w:t>
            </w:r>
          </w:p>
        </w:tc>
      </w:tr>
      <w:tr>
        <w:trPr>
          <w:cantSplit/>
        </w:trPr>
        <w:tc>
          <w:tcPr>
            <w:tcW w:type="dxa" w:w="9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加密行情与链上数据服务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境外版加密资产数据</w:t>
            </w:r>
          </w:p>
        </w:tc>
        <w:tc>
          <w:tcPr>
            <w:tcW w:type="dxa" w:w="20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 – 15 万</w:t>
            </w:r>
          </w:p>
        </w:tc>
      </w:tr>
      <w:tr>
        <w:trPr>
          <w:cantSplit/>
        </w:trPr>
        <w:tc>
          <w:tcPr>
            <w:tcW w:type="dxa" w:w="9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境外社媒 API（Reddit／X／StockTwits 等）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境外舆情采集</w:t>
            </w:r>
          </w:p>
        </w:tc>
        <w:tc>
          <w:tcPr>
            <w:tcW w:type="dxa" w:w="20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 – 25 万</w:t>
            </w:r>
          </w:p>
        </w:tc>
      </w:tr>
      <w:tr>
        <w:trPr>
          <w:cantSplit/>
        </w:trPr>
        <w:tc>
          <w:tcPr>
            <w:tcW w:type="dxa" w:w="9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算力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 API 推理费用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对话、解析、情感分析、RAG</w:t>
            </w:r>
          </w:p>
        </w:tc>
        <w:tc>
          <w:tcPr>
            <w:tcW w:type="dxa" w:w="20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按用量，10 – 60 万</w:t>
            </w:r>
          </w:p>
        </w:tc>
      </w:tr>
      <w:tr>
        <w:trPr>
          <w:cantSplit/>
        </w:trPr>
        <w:tc>
          <w:tcPr>
            <w:tcW w:type="dxa" w:w="9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云服务器、存储、带宽、CDN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系统运行基础资源</w:t>
            </w:r>
          </w:p>
        </w:tc>
        <w:tc>
          <w:tcPr>
            <w:tcW w:type="dxa" w:w="20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8 – 30 万</w:t>
            </w:r>
          </w:p>
        </w:tc>
      </w:tr>
      <w:tr>
        <w:trPr>
          <w:cantSplit/>
        </w:trPr>
        <w:tc>
          <w:tcPr>
            <w:tcW w:type="dxa" w:w="9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短信、邮件、对象存储等基础服务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通知与文件存储</w:t>
            </w:r>
          </w:p>
        </w:tc>
        <w:tc>
          <w:tcPr>
            <w:tcW w:type="dxa" w:w="200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 – 3 万</w:t>
            </w:r>
          </w:p>
        </w:tc>
      </w:tr>
      <w:tr>
        <w:trPr>
          <w:cantSplit/>
        </w:trPr>
        <w:tc>
          <w:tcPr>
            <w:tcW w:type="dxa" w:w="9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安全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第三方安全审计与渗透测试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上线前安全验证</w:t>
            </w:r>
          </w:p>
        </w:tc>
        <w:tc>
          <w:tcPr>
            <w:tcW w:type="dxa" w:w="200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 – 20 万（一次性）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F8F68" w:sz="4"/>
          <w:left w:val="single" w:color="0F8F68" w:sz="24"/>
          <w:bottom w:val="single" w:color="0F8F68" w:sz="4"/>
          <w:right w:val="single" w:color="0F8F68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EAF7F1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成本优化建议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初期建议采用「基础数据源 + 按需扩展」策略：先用 Tushare Pro 等低成本数据源完成产品验证，待用户规模与付费转化跑通后再升级到万得等专业数据服务，可显著降低前期现金压力。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大模型成本可通过分级调用策略优化：简单意图识别走小模型或本地模型，复杂研究解释才调用大模型，实测可降低 50–70% 的推理成本。该策略已包含在模块 A4 的交付范围内。</w:t>
            </w:r>
          </w:p>
        </w:tc>
      </w:tr>
    </w:tbl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0F8F6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8.1  总体交付计划</w:t>
      </w:r>
    </w:p>
    <w:p>
      <w:pPr>
        <w:spacing w:after="70" w:before="180"/>
        <w:jc w:val="center"/>
      </w:pPr>
      <w:r>
        <w:drawing>
          <wp:inline distT="0" distB="0" distL="0" distR="0">
            <wp:extent cx="626745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微软雅黑" w:hAnsi="Segoe UI"/>
          <w:b w:val="false"/>
          <w:bCs w:val="false"/>
          <w:i/>
          <w:iCs/>
          <w:caps w:val="false"/>
          <w:color w:val="6B7B93"/>
          <w:sz w:val="17"/>
          <w:szCs w:val="17"/>
        </w:rPr>
        <w:t xml:space="preserve">图 8-1　4–5 个月三期并行交付计划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single" w:color="FFFFFF" w:sz="8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shd w:fill="EAF7F1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32"/>
                <w:szCs w:val="32"/>
              </w:rPr>
              <w:t xml:space="preserve">M2.0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期一验收</w:t>
            </w:r>
          </w:p>
        </w:tc>
        <w:tc>
          <w:tcPr>
            <w:tcW w:type="dxa" w:w="3302"/>
            <w:shd w:fill="EAF6FC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0A8D6"/>
                <w:sz w:val="32"/>
                <w:szCs w:val="32"/>
              </w:rPr>
              <w:t xml:space="preserve">M3.5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期二验收</w:t>
            </w:r>
          </w:p>
        </w:tc>
        <w:tc>
          <w:tcPr>
            <w:tcW w:type="dxa" w:w="3302"/>
            <w:shd w:fill="FBF4E3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A8853C"/>
                <w:sz w:val="32"/>
                <w:szCs w:val="32"/>
              </w:rPr>
              <w:t xml:space="preserve">M4.9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系统终验</w:t>
            </w:r>
          </w:p>
        </w:tc>
      </w:tr>
    </w:tbl>
    <w:p>
      <w:pPr>
        <w:pStyle w:val="Heading2"/>
        <w:keepNext/>
        <w:pBdr>
          <w:left w:val="single" w:color="0F8F6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8.2  三期交付内容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期一（M0 – M2）：内核与境内数据打通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475"/>
        <w:gridCol w:w="3583"/>
        <w:gridCol w:w="4848"/>
      </w:tblGrid>
      <w:tr>
        <w:trPr>
          <w:cantSplit/>
          <w:tblHeader/>
        </w:trPr>
        <w:tc>
          <w:tcPr>
            <w:tcW w:type="dxa" w:w="147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交付模块</w:t>
            </w:r>
          </w:p>
        </w:tc>
        <w:tc>
          <w:tcPr>
            <w:tcW w:type="dxa" w:w="35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484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A1 / A6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账号权限中台、基础设施与 CI／CD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多方式登录可用，权限隔离通过测试，部署流水线跑通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A2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数据中台与行情引擎</w:t>
            </w:r>
          </w:p>
        </w:tc>
        <w:tc>
          <w:tcPr>
            <w:tcW w:type="dxa" w:w="48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A股行情、财报数据接入完成，数据质量监控告警可用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A5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图表与看板引擎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K线、指标图、自定义看板可用，多周期切换正常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C1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A股数据源适配</w:t>
            </w:r>
          </w:p>
        </w:tc>
        <w:tc>
          <w:tcPr>
            <w:tcW w:type="dxa" w:w="48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交易日历、涨跌停、停牌处理逻辑通过用例验证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A3（部分）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对话内核基础能力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可完成行情查询、个股问答类基础意图识别</w:t>
            </w:r>
          </w:p>
        </w:tc>
      </w:tr>
    </w:tbl>
    <w:p>
      <w:pPr>
        <w:spacing w:after="8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期二（M2 – M3.5）：研究引擎与舆情引擎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475"/>
        <w:gridCol w:w="3583"/>
        <w:gridCol w:w="4848"/>
      </w:tblGrid>
      <w:tr>
        <w:trPr>
          <w:cantSplit/>
          <w:tblHeader/>
        </w:trPr>
        <w:tc>
          <w:tcPr>
            <w:tcW w:type="dxa" w:w="147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交付模块</w:t>
            </w:r>
          </w:p>
        </w:tc>
        <w:tc>
          <w:tcPr>
            <w:tcW w:type="dxa" w:w="35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484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A3 / A4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对话内核完整能力、RAG 知识底座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中文金融语义解析准确率 ≥ 92%（基于双方确认的测试集）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B1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因子研究引擎</w:t>
            </w:r>
          </w:p>
        </w:tc>
        <w:tc>
          <w:tcPr>
            <w:tcW w:type="dxa" w:w="48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因子库可用，对话式因子构建可用，IC／IR 分析正确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B2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回测与归因引擎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回测结果与基准案例交叉验证一致，无未来函数</w:t>
            </w:r>
          </w:p>
        </w:tc>
      </w:tr>
      <w:tr>
        <w:trPr>
          <w:cantSplit/>
        </w:trPr>
        <w:tc>
          <w:tcPr>
            <w:tcW w:type="dxa" w:w="147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B3</w:t>
            </w:r>
          </w:p>
        </w:tc>
        <w:tc>
          <w:tcPr>
            <w:tcW w:type="dxa" w:w="35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舆情情绪聚合引擎</w:t>
            </w:r>
          </w:p>
        </w:tc>
        <w:tc>
          <w:tcPr>
            <w:tcW w:type="dxa" w:w="484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四类数据源采集稳定运行，情绪因子可进入回测</w:t>
            </w:r>
          </w:p>
        </w:tc>
      </w:tr>
      <w:tr>
        <w:trPr>
          <w:cantSplit/>
        </w:trPr>
        <w:tc>
          <w:tcPr>
            <w:tcW w:type="dxa" w:w="147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C2 / C3</w:t>
            </w:r>
          </w:p>
        </w:tc>
        <w:tc>
          <w:tcPr>
            <w:tcW w:type="dxa" w:w="35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境内舆情源与合规适配</w:t>
            </w:r>
          </w:p>
        </w:tc>
        <w:tc>
          <w:tcPr>
            <w:tcW w:type="dxa" w:w="484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采集合规检查通过，适当性与 AI 标识功能可用</w:t>
            </w:r>
          </w:p>
        </w:tc>
      </w:tr>
    </w:tbl>
    <w:p>
      <w:pPr>
        <w:spacing w:after="8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F8F68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期三（M3.5 – M5）：Agent、境外包与白标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792"/>
        <w:gridCol w:w="3372"/>
        <w:gridCol w:w="4742"/>
      </w:tblGrid>
      <w:tr>
        <w:trPr>
          <w:cantSplit/>
          <w:tblHeader/>
        </w:trPr>
        <w:tc>
          <w:tcPr>
            <w:tcW w:type="dxa" w:w="179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交付模块</w:t>
            </w:r>
          </w:p>
        </w:tc>
        <w:tc>
          <w:tcPr>
            <w:tcW w:type="dxa" w:w="337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474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7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B4 / B5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 策略托管、组合与风险监控</w:t>
            </w:r>
          </w:p>
        </w:tc>
        <w:tc>
          <w:tcPr>
            <w:tcW w:type="dxa" w:w="47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监控任务可配置可触发，告警准确，组合优化结果可复现</w:t>
            </w:r>
          </w:p>
        </w:tc>
      </w:tr>
      <w:tr>
        <w:trPr>
          <w:cantSplit/>
        </w:trPr>
        <w:tc>
          <w:tcPr>
            <w:tcW w:type="dxa" w:w="17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D1 / D2 / D3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境外地区包完整交付</w:t>
            </w:r>
          </w:p>
        </w:tc>
        <w:tc>
          <w:tcPr>
            <w:tcW w:type="dxa" w:w="47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港美股与加密数据可用，境外舆情采集稳定，地域准入生效</w:t>
            </w:r>
          </w:p>
        </w:tc>
      </w:tr>
      <w:tr>
        <w:trPr>
          <w:cantSplit/>
        </w:trPr>
        <w:tc>
          <w:tcPr>
            <w:tcW w:type="dxa" w:w="17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E1 / E2 / E3</w:t>
            </w:r>
          </w:p>
        </w:tc>
        <w:tc>
          <w:tcPr>
            <w:tcW w:type="dxa" w:w="337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B端白标完整交付</w:t>
            </w:r>
          </w:p>
        </w:tc>
        <w:tc>
          <w:tcPr>
            <w:tcW w:type="dxa" w:w="47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多租户隔离通过安全测试，API 文档完整，计量结算准确</w:t>
            </w:r>
          </w:p>
        </w:tc>
      </w:tr>
      <w:tr>
        <w:trPr>
          <w:cantSplit/>
        </w:trPr>
        <w:tc>
          <w:tcPr>
            <w:tcW w:type="dxa" w:w="17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F1 / F2 / F3</w:t>
            </w:r>
          </w:p>
        </w:tc>
        <w:tc>
          <w:tcPr>
            <w:tcW w:type="dxa" w:w="337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测试、部署、文档与培训</w:t>
            </w:r>
          </w:p>
        </w:tc>
        <w:tc>
          <w:tcPr>
            <w:tcW w:type="dxa" w:w="47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端到端测试通过，性能达标，两轮培训完成，文档交付齐全</w:t>
            </w:r>
          </w:p>
        </w:tc>
      </w:tr>
    </w:tbl>
    <w:p>
      <w:pPr>
        <w:pStyle w:val="Heading2"/>
        <w:keepNext/>
        <w:pBdr>
          <w:left w:val="single" w:color="0F8F6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8.3  验收标准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每期验收采用「功能验收 + 性能验收 + 文档验收」三重标准，全部通过方可进入下一期与对应付款节点。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686"/>
        <w:gridCol w:w="4215"/>
        <w:gridCol w:w="4005"/>
      </w:tblGrid>
      <w:tr>
        <w:trPr>
          <w:cantSplit/>
          <w:tblHeader/>
        </w:trPr>
        <w:tc>
          <w:tcPr>
            <w:tcW w:type="dxa" w:w="168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验收维度</w:t>
            </w:r>
          </w:p>
        </w:tc>
        <w:tc>
          <w:tcPr>
            <w:tcW w:type="dxa" w:w="421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标准</w:t>
            </w:r>
          </w:p>
        </w:tc>
        <w:tc>
          <w:tcPr>
            <w:tcW w:type="dxa" w:w="400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判定方式</w:t>
            </w:r>
          </w:p>
        </w:tc>
      </w:tr>
      <w:tr>
        <w:trPr>
          <w:cantSplit/>
        </w:trPr>
        <w:tc>
          <w:tcPr>
            <w:tcW w:type="dxa" w:w="168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功能完整性</w:t>
            </w:r>
          </w:p>
        </w:tc>
        <w:tc>
          <w:tcPr>
            <w:tcW w:type="dxa" w:w="42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本期承诺的功能点 100% 实现且可用</w:t>
            </w:r>
          </w:p>
        </w:tc>
        <w:tc>
          <w:tcPr>
            <w:tcW w:type="dxa" w:w="400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按功能清单逐项演示，双方签字确认</w:t>
            </w:r>
          </w:p>
        </w:tc>
      </w:tr>
      <w:tr>
        <w:trPr>
          <w:cantSplit/>
        </w:trPr>
        <w:tc>
          <w:tcPr>
            <w:tcW w:type="dxa" w:w="168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缺陷等级</w:t>
            </w:r>
          </w:p>
        </w:tc>
        <w:tc>
          <w:tcPr>
            <w:tcW w:type="dxa" w:w="42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严重与高危缺陷为零，中低缺陷不超过约定阈值</w:t>
            </w:r>
          </w:p>
        </w:tc>
        <w:tc>
          <w:tcPr>
            <w:tcW w:type="dxa" w:w="400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缺陷管理系统统计，双方共同评级</w:t>
            </w:r>
          </w:p>
        </w:tc>
      </w:tr>
      <w:tr>
        <w:trPr>
          <w:cantSplit/>
        </w:trPr>
        <w:tc>
          <w:tcPr>
            <w:tcW w:type="dxa" w:w="168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性能指标</w:t>
            </w:r>
          </w:p>
        </w:tc>
        <w:tc>
          <w:tcPr>
            <w:tcW w:type="dxa" w:w="42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达到 6.5 节承诺的性能目标</w:t>
            </w:r>
          </w:p>
        </w:tc>
        <w:tc>
          <w:tcPr>
            <w:tcW w:type="dxa" w:w="400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在约定负载下压测，出具测试报告</w:t>
            </w:r>
          </w:p>
        </w:tc>
      </w:tr>
      <w:tr>
        <w:trPr>
          <w:cantSplit/>
        </w:trPr>
        <w:tc>
          <w:tcPr>
            <w:tcW w:type="dxa" w:w="168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数据准确性</w:t>
            </w:r>
          </w:p>
        </w:tc>
        <w:tc>
          <w:tcPr>
            <w:tcW w:type="dxa" w:w="42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行情、指标、回测结果与权威源交叉验证一致</w:t>
            </w:r>
          </w:p>
        </w:tc>
        <w:tc>
          <w:tcPr>
            <w:tcW w:type="dxa" w:w="400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抽样比对，误差率低于约定阈值</w:t>
            </w:r>
          </w:p>
        </w:tc>
      </w:tr>
      <w:tr>
        <w:trPr>
          <w:cantSplit/>
        </w:trPr>
        <w:tc>
          <w:tcPr>
            <w:tcW w:type="dxa" w:w="168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安全要求</w:t>
            </w:r>
          </w:p>
        </w:tc>
        <w:tc>
          <w:tcPr>
            <w:tcW w:type="dxa" w:w="42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无高危安全漏洞，密钥不入日志与模型上下文</w:t>
            </w:r>
          </w:p>
        </w:tc>
        <w:tc>
          <w:tcPr>
            <w:tcW w:type="dxa" w:w="400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代码审计 + 日志抽样 + 渗透测试</w:t>
            </w:r>
          </w:p>
        </w:tc>
      </w:tr>
      <w:tr>
        <w:trPr>
          <w:cantSplit/>
        </w:trPr>
        <w:tc>
          <w:tcPr>
            <w:tcW w:type="dxa" w:w="168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文档完整性</w:t>
            </w:r>
          </w:p>
        </w:tc>
        <w:tc>
          <w:tcPr>
            <w:tcW w:type="dxa" w:w="42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架构、接口、运维、用户文档齐备且与实现一致</w:t>
            </w:r>
          </w:p>
        </w:tc>
        <w:tc>
          <w:tcPr>
            <w:tcW w:type="dxa" w:w="400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文档评审会签</w:t>
            </w:r>
          </w:p>
        </w:tc>
      </w:tr>
    </w:tbl>
    <w:p>
      <w:pPr>
        <w:pStyle w:val="Heading2"/>
        <w:keepNext/>
        <w:pBdr>
          <w:left w:val="single" w:color="0F8F6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8.4  项目组织与甲方配合要求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4–5 个月的压缩周期对双方协作效率要求较高。以下配合事项直接影响交付节奏，需在项目启动会上确认责任人。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3230"/>
        <w:gridCol w:w="1292"/>
        <w:gridCol w:w="3015"/>
        <w:gridCol w:w="2369"/>
      </w:tblGrid>
      <w:tr>
        <w:trPr>
          <w:cantSplit/>
          <w:tblHeader/>
        </w:trPr>
        <w:tc>
          <w:tcPr>
            <w:tcW w:type="dxa" w:w="323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129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责任方</w:t>
            </w:r>
          </w:p>
        </w:tc>
        <w:tc>
          <w:tcPr>
            <w:tcW w:type="dxa" w:w="301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时限要求</w:t>
            </w:r>
          </w:p>
        </w:tc>
        <w:tc>
          <w:tcPr>
            <w:tcW w:type="dxa" w:w="236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延迟影响</w:t>
            </w:r>
          </w:p>
        </w:tc>
      </w:tr>
      <w:tr>
        <w:trPr>
          <w:cantSplit/>
        </w:trPr>
        <w:tc>
          <w:tcPr>
            <w:tcW w:type="dxa" w:w="32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确认需求基线与功能清单</w:t>
            </w:r>
          </w:p>
        </w:tc>
        <w:tc>
          <w:tcPr>
            <w:tcW w:type="dxa" w:w="12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启动后 5 个工作日内</w:t>
            </w:r>
          </w:p>
        </w:tc>
        <w:tc>
          <w:tcPr>
            <w:tcW w:type="dxa" w:w="23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整体顺延</w:t>
            </w:r>
          </w:p>
        </w:tc>
      </w:tr>
      <w:tr>
        <w:trPr>
          <w:cantSplit/>
        </w:trPr>
        <w:tc>
          <w:tcPr>
            <w:tcW w:type="dxa" w:w="32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完成第三方数据源采购与开通</w:t>
            </w:r>
          </w:p>
        </w:tc>
        <w:tc>
          <w:tcPr>
            <w:tcW w:type="dxa" w:w="12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M0.5 前</w:t>
            </w:r>
          </w:p>
        </w:tc>
        <w:tc>
          <w:tcPr>
            <w:tcW w:type="dxa" w:w="23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期一验收顺延</w:t>
            </w:r>
          </w:p>
        </w:tc>
      </w:tr>
      <w:tr>
        <w:trPr>
          <w:cantSplit/>
        </w:trPr>
        <w:tc>
          <w:tcPr>
            <w:tcW w:type="dxa" w:w="32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确定大模型供应商并开通服务</w:t>
            </w:r>
          </w:p>
        </w:tc>
        <w:tc>
          <w:tcPr>
            <w:tcW w:type="dxa" w:w="12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M1 前</w:t>
            </w:r>
          </w:p>
        </w:tc>
        <w:tc>
          <w:tcPr>
            <w:tcW w:type="dxa" w:w="23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期二验收顺延</w:t>
            </w:r>
          </w:p>
        </w:tc>
      </w:tr>
      <w:tr>
        <w:trPr>
          <w:cantSplit/>
        </w:trPr>
        <w:tc>
          <w:tcPr>
            <w:tcW w:type="dxa" w:w="32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提供云环境或确认部署方案</w:t>
            </w:r>
          </w:p>
        </w:tc>
        <w:tc>
          <w:tcPr>
            <w:tcW w:type="dxa" w:w="12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M0.5 前</w:t>
            </w:r>
          </w:p>
        </w:tc>
        <w:tc>
          <w:tcPr>
            <w:tcW w:type="dxa" w:w="23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整体顺延</w:t>
            </w:r>
          </w:p>
        </w:tc>
      </w:tr>
      <w:tr>
        <w:trPr>
          <w:cantSplit/>
        </w:trPr>
        <w:tc>
          <w:tcPr>
            <w:tcW w:type="dxa" w:w="32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法务确认舆情采集范围</w:t>
            </w:r>
          </w:p>
        </w:tc>
        <w:tc>
          <w:tcPr>
            <w:tcW w:type="dxa" w:w="12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M1.5 前</w:t>
            </w:r>
          </w:p>
        </w:tc>
        <w:tc>
          <w:tcPr>
            <w:tcW w:type="dxa" w:w="23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舆情模块顺延</w:t>
            </w:r>
          </w:p>
        </w:tc>
      </w:tr>
      <w:tr>
        <w:trPr>
          <w:cantSplit/>
        </w:trPr>
        <w:tc>
          <w:tcPr>
            <w:tcW w:type="dxa" w:w="32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指定单一业务对接人</w:t>
            </w:r>
          </w:p>
        </w:tc>
        <w:tc>
          <w:tcPr>
            <w:tcW w:type="dxa" w:w="12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启动会</w:t>
            </w:r>
          </w:p>
        </w:tc>
        <w:tc>
          <w:tcPr>
            <w:tcW w:type="dxa" w:w="23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需求反复导致返工</w:t>
            </w:r>
          </w:p>
        </w:tc>
      </w:tr>
      <w:tr>
        <w:trPr>
          <w:cantSplit/>
        </w:trPr>
        <w:tc>
          <w:tcPr>
            <w:tcW w:type="dxa" w:w="32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每周项目例会与需求答疑</w:t>
            </w:r>
          </w:p>
        </w:tc>
        <w:tc>
          <w:tcPr>
            <w:tcW w:type="dxa" w:w="129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双方</w:t>
            </w:r>
          </w:p>
        </w:tc>
        <w:tc>
          <w:tcPr>
            <w:tcW w:type="dxa" w:w="301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全周期</w:t>
            </w:r>
          </w:p>
        </w:tc>
        <w:tc>
          <w:tcPr>
            <w:tcW w:type="dxa" w:w="236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问题累积</w:t>
            </w:r>
          </w:p>
        </w:tc>
      </w:tr>
      <w:tr>
        <w:trPr>
          <w:cantSplit/>
        </w:trPr>
        <w:tc>
          <w:tcPr>
            <w:tcW w:type="dxa" w:w="32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UAT 测试与验收反馈</w:t>
            </w:r>
          </w:p>
        </w:tc>
        <w:tc>
          <w:tcPr>
            <w:tcW w:type="dxa" w:w="129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甲方</w:t>
            </w:r>
          </w:p>
        </w:tc>
        <w:tc>
          <w:tcPr>
            <w:tcW w:type="dxa" w:w="301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每期验收期 10 个工作日内</w:t>
            </w:r>
          </w:p>
        </w:tc>
        <w:tc>
          <w:tcPr>
            <w:tcW w:type="dxa" w:w="236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付款节点顺延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4780C" w:sz="4"/>
          <w:left w:val="single" w:color="B4780C" w:sz="24"/>
          <w:bottom w:val="single" w:color="B4780C" w:sz="4"/>
          <w:right w:val="single" w:color="B4780C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FFBE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22"/>
                <w:szCs w:val="22"/>
              </w:rPr>
              <w:t xml:space="preserve">关于周期压缩的坦诚说明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4–5 个月完成双版本 + 四大引擎，是一个紧凑但可执行的计划，前提是需求基线尽早冻结、甲方配合事项按时到位。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我们的建议是：把「需求变更」控制在期与期之间的窗口内，期内不插入新需求。如果甲方在期内有强变更诉求，我们会评估影响并给出「顺延」或「换出等量需求」两个选项，由甲方选择。这是保证 4–5 个月按期交付的关键机制。</w:t>
            </w:r>
          </w:p>
        </w:tc>
      </w:tr>
    </w:tbl>
    <w:p>
      <w:pPr>
        <w:pStyle w:val="Heading2"/>
        <w:keepNext/>
        <w:pBdr>
          <w:left w:val="single" w:color="0F8F68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8.5  工作分解与并行策略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4–5 个月完成全部交付，依赖合理的并行安排。下表说明各工作流的依赖关系与并行窗口。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2534"/>
        <w:gridCol w:w="2764"/>
        <w:gridCol w:w="3225"/>
        <w:gridCol w:w="1383"/>
      </w:tblGrid>
      <w:tr>
        <w:trPr>
          <w:cantSplit/>
          <w:tblHeader/>
        </w:trPr>
        <w:tc>
          <w:tcPr>
            <w:tcW w:type="dxa" w:w="253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工作流</w:t>
            </w:r>
          </w:p>
        </w:tc>
        <w:tc>
          <w:tcPr>
            <w:tcW w:type="dxa" w:w="2764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前置依赖</w:t>
            </w:r>
          </w:p>
        </w:tc>
        <w:tc>
          <w:tcPr>
            <w:tcW w:type="dxa" w:w="322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可并行的工作流</w:t>
            </w:r>
          </w:p>
        </w:tc>
        <w:tc>
          <w:tcPr>
            <w:tcW w:type="dxa" w:w="13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关键路径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基础设施与 CI／CD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无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全部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5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数据中台与行情接入</w:t>
            </w:r>
          </w:p>
        </w:tc>
        <w:tc>
          <w:tcPr>
            <w:tcW w:type="dxa" w:w="2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322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账号中台、图表引擎</w:t>
            </w:r>
          </w:p>
        </w:tc>
        <w:tc>
          <w:tcPr>
            <w:tcW w:type="dxa" w:w="13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账号与权限中台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图表与看板引擎</w:t>
            </w:r>
          </w:p>
        </w:tc>
        <w:tc>
          <w:tcPr>
            <w:tcW w:type="dxa" w:w="2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无（可用 Mock 数据先行）</w:t>
            </w:r>
          </w:p>
        </w:tc>
        <w:tc>
          <w:tcPr>
            <w:tcW w:type="dxa" w:w="322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数据中台、账号中台</w:t>
            </w:r>
          </w:p>
        </w:tc>
        <w:tc>
          <w:tcPr>
            <w:tcW w:type="dxa" w:w="13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内核与语义解析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数据中台（部分）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因子引擎、舆情引擎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5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因子与回测引擎</w:t>
            </w:r>
          </w:p>
        </w:tc>
        <w:tc>
          <w:tcPr>
            <w:tcW w:type="dxa" w:w="2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</w:t>
            </w:r>
          </w:p>
        </w:tc>
        <w:tc>
          <w:tcPr>
            <w:tcW w:type="dxa" w:w="322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内核、舆情引擎</w:t>
            </w:r>
          </w:p>
        </w:tc>
        <w:tc>
          <w:tcPr>
            <w:tcW w:type="dxa" w:w="13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舆情情绪引擎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内核、因子引擎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 策略托管</w:t>
            </w:r>
          </w:p>
        </w:tc>
        <w:tc>
          <w:tcPr>
            <w:tcW w:type="dxa" w:w="2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因子回测引擎</w:t>
            </w:r>
          </w:p>
        </w:tc>
        <w:tc>
          <w:tcPr>
            <w:tcW w:type="dxa" w:w="322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境外包、白标</w:t>
            </w:r>
          </w:p>
        </w:tc>
        <w:tc>
          <w:tcPr>
            <w:tcW w:type="dxa" w:w="13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境外地区包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数据中台框架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Agent、白标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B端白标</w:t>
            </w:r>
          </w:p>
        </w:tc>
        <w:tc>
          <w:tcPr>
            <w:tcW w:type="dxa" w:w="2764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账号中台、AI 内核</w:t>
            </w:r>
          </w:p>
        </w:tc>
        <w:tc>
          <w:tcPr>
            <w:tcW w:type="dxa" w:w="322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Agent、境外包</w:t>
            </w:r>
          </w:p>
        </w:tc>
        <w:tc>
          <w:tcPr>
            <w:tcW w:type="dxa" w:w="13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3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测试与验收</w:t>
            </w:r>
          </w:p>
        </w:tc>
        <w:tc>
          <w:tcPr>
            <w:tcW w:type="dxa" w:w="2764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各模块交付</w:t>
            </w:r>
          </w:p>
        </w:tc>
        <w:tc>
          <w:tcPr>
            <w:tcW w:type="dxa" w:w="322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贯穿全周期</w:t>
            </w:r>
          </w:p>
        </w:tc>
        <w:tc>
          <w:tcPr>
            <w:tcW w:type="dxa" w:w="13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7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F8F68" w:sz="4"/>
          <w:left w:val="single" w:color="0F8F68" w:sz="24"/>
          <w:bottom w:val="single" w:color="0F8F68" w:sz="4"/>
          <w:right w:val="single" w:color="0F8F68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EAF7F1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关键路径说明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1"/>
                <w:szCs w:val="21"/>
              </w:rPr>
              <w:t xml:space="preserve">关键路径为：基础设施 → 数据中台 → AI 内核 ／ 因子回测引擎 → 测试验收。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任何一环延迟都会直接推迟整体交付。因此我们把这四项排在最高优先级，并在期一就完成基础设施与数据中台的全部工作，为后续所有模块打好地基。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舆情引擎虽然工作量最大（52 万），但不在关键路径上，可以与 AI 内核并行推进，这是 4–5 个月得以成立的重要原因。</w:t>
            </w:r>
          </w:p>
        </w:tc>
      </w:tr>
    </w:tbl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B4780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9.1  合规红线：本方案明确不做的事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这一节建议单独抽出，作为项目章程的一部分。以下每一条都是架构层面的硬约束，不通过配置开关放开。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746"/>
        <w:gridCol w:w="3622"/>
        <w:gridCol w:w="5538"/>
      </w:tblGrid>
      <w:tr>
        <w:trPr>
          <w:cantSplit/>
          <w:tblHeader/>
        </w:trPr>
        <w:tc>
          <w:tcPr>
            <w:tcW w:type="dxa" w:w="74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2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红线</w:t>
            </w:r>
          </w:p>
        </w:tc>
        <w:tc>
          <w:tcPr>
            <w:tcW w:type="dxa" w:w="553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约束方式</w:t>
            </w:r>
          </w:p>
        </w:tc>
      </w:tr>
      <w:tr>
        <w:trPr>
          <w:cantSplit/>
        </w:trPr>
        <w:tc>
          <w:tcPr>
            <w:tcW w:type="dxa" w:w="7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36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不提供任何交易执行能力</w:t>
            </w:r>
          </w:p>
        </w:tc>
        <w:tc>
          <w:tcPr>
            <w:tcW w:type="dxa" w:w="553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系统中不存在下单接口与资金通道，架构层面无法实现</w:t>
            </w:r>
          </w:p>
        </w:tc>
      </w:tr>
      <w:tr>
        <w:trPr>
          <w:cantSplit/>
        </w:trPr>
        <w:tc>
          <w:tcPr>
            <w:tcW w:type="dxa" w:w="7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36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不提供杠杆、保证金、永续合约</w:t>
            </w:r>
          </w:p>
        </w:tc>
        <w:tc>
          <w:tcPr>
            <w:tcW w:type="dxa" w:w="553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不含衍生品交易逻辑，仅提供相关行情数据展示</w:t>
            </w:r>
          </w:p>
        </w:tc>
      </w:tr>
      <w:tr>
        <w:trPr>
          <w:cantSplit/>
        </w:trPr>
        <w:tc>
          <w:tcPr>
            <w:tcW w:type="dxa" w:w="7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36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不提供资金托管与出入金</w:t>
            </w:r>
          </w:p>
        </w:tc>
        <w:tc>
          <w:tcPr>
            <w:tcW w:type="dxa" w:w="553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不接触用户资金，不设钱包，不做支付集成</w:t>
            </w:r>
          </w:p>
        </w:tc>
      </w:tr>
      <w:tr>
        <w:trPr>
          <w:cantSplit/>
        </w:trPr>
        <w:tc>
          <w:tcPr>
            <w:tcW w:type="dxa" w:w="7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36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不提供代币化证券兑换</w:t>
            </w:r>
          </w:p>
        </w:tc>
        <w:tc>
          <w:tcPr>
            <w:tcW w:type="dxa" w:w="553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不含任何兑换通道与代币合约交互</w:t>
            </w:r>
          </w:p>
        </w:tc>
      </w:tr>
      <w:tr>
        <w:trPr>
          <w:cantSplit/>
        </w:trPr>
        <w:tc>
          <w:tcPr>
            <w:tcW w:type="dxa" w:w="7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36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不承诺收益、不保本、不做业绩承诺</w:t>
            </w:r>
          </w:p>
        </w:tc>
        <w:tc>
          <w:tcPr>
            <w:tcW w:type="dxa" w:w="553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文案与 AI 输出层强制过滤承诺性表述</w:t>
            </w:r>
          </w:p>
        </w:tc>
      </w:tr>
      <w:tr>
        <w:trPr>
          <w:cantSplit/>
        </w:trPr>
        <w:tc>
          <w:tcPr>
            <w:tcW w:type="dxa" w:w="7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6</w:t>
            </w:r>
          </w:p>
        </w:tc>
        <w:tc>
          <w:tcPr>
            <w:tcW w:type="dxa" w:w="362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AI 不得绕过用户确认执行任何操作</w:t>
            </w:r>
          </w:p>
        </w:tc>
        <w:tc>
          <w:tcPr>
            <w:tcW w:type="dxa" w:w="553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所有 Agent 输出均为信息型产出，无执行权限</w:t>
            </w:r>
          </w:p>
        </w:tc>
      </w:tr>
      <w:tr>
        <w:trPr>
          <w:cantSplit/>
        </w:trPr>
        <w:tc>
          <w:tcPr>
            <w:tcW w:type="dxa" w:w="7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7</w:t>
            </w:r>
          </w:p>
        </w:tc>
        <w:tc>
          <w:tcPr>
            <w:tcW w:type="dxa" w:w="362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不在牌照与法律意见明确前扩大服务地区</w:t>
            </w:r>
          </w:p>
        </w:tc>
        <w:tc>
          <w:tcPr>
            <w:tcW w:type="dxa" w:w="553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地域准入判定内置，未开放地区直接阻断</w:t>
            </w:r>
          </w:p>
        </w:tc>
      </w:tr>
    </w:tbl>
    <w:p>
      <w:pPr>
        <w:pStyle w:val="Heading2"/>
        <w:keepNext/>
        <w:pBdr>
          <w:left w:val="single" w:color="B4780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9.2  舆情采集的技术与法律边界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这是本方案中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B3261E"/>
          <w:sz w:val="21"/>
          <w:szCs w:val="21"/>
        </w:rPr>
        <w:t xml:space="preserve">唯一需要甲方法务前置介入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的技术模块。我们把边界说清楚，避免后续争议。</w:t>
      </w:r>
    </w:p>
    <w:p>
      <w:pPr>
        <w:spacing w:after="4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507"/>
        <w:gridCol w:w="4953"/>
        <w:gridCol w:w="3446"/>
      </w:tblGrid>
      <w:tr>
        <w:trPr>
          <w:cantSplit/>
          <w:tblHeader/>
        </w:trPr>
        <w:tc>
          <w:tcPr>
            <w:tcW w:type="dxa" w:w="150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495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我方技术承诺</w:t>
            </w:r>
          </w:p>
        </w:tc>
        <w:tc>
          <w:tcPr>
            <w:tcW w:type="dxa" w:w="344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需甲方确认事项</w:t>
            </w:r>
          </w:p>
        </w:tc>
      </w:tr>
      <w:tr>
        <w:trPr>
          <w:cantSplit/>
        </w:trPr>
        <w:tc>
          <w:tcPr>
            <w:tcW w:type="dxa" w:w="150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采集范围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严格遵循目标站点 robots 协议，仅采集公开可见内容</w:t>
            </w:r>
          </w:p>
        </w:tc>
        <w:tc>
          <w:tcPr>
            <w:tcW w:type="dxa" w:w="34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确认最终采集的站点白名单</w:t>
            </w:r>
          </w:p>
        </w:tc>
      </w:tr>
      <w:tr>
        <w:trPr>
          <w:cantSplit/>
        </w:trPr>
        <w:tc>
          <w:tcPr>
            <w:tcW w:type="dxa" w:w="150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采集频率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实施频率控制与错峰调度，不对目标站点造成异常负载</w:t>
            </w:r>
          </w:p>
        </w:tc>
        <w:tc>
          <w:tcPr>
            <w:tcW w:type="dxa" w:w="34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确认可接受的采集强度</w:t>
            </w:r>
          </w:p>
        </w:tc>
      </w:tr>
      <w:tr>
        <w:trPr>
          <w:cantSplit/>
        </w:trPr>
        <w:tc>
          <w:tcPr>
            <w:tcW w:type="dxa" w:w="150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账号使用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不使用虚假账号、不绕过登录墙、不破解任何技术保护措施</w:t>
            </w:r>
          </w:p>
        </w:tc>
        <w:tc>
          <w:tcPr>
            <w:tcW w:type="dxa" w:w="34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确认是否使用官方合作账号</w:t>
            </w:r>
          </w:p>
        </w:tc>
      </w:tr>
      <w:tr>
        <w:trPr>
          <w:cantSplit/>
        </w:trPr>
        <w:tc>
          <w:tcPr>
            <w:tcW w:type="dxa" w:w="150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内容处理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仅提取用于情绪与实体分析的结构化特征，不原样复制存储长文本</w:t>
            </w:r>
          </w:p>
        </w:tc>
        <w:tc>
          <w:tcPr>
            <w:tcW w:type="dxa" w:w="34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确认内容留存策略与时长</w:t>
            </w:r>
          </w:p>
        </w:tc>
      </w:tr>
      <w:tr>
        <w:trPr>
          <w:cantSplit/>
        </w:trPr>
        <w:tc>
          <w:tcPr>
            <w:tcW w:type="dxa" w:w="150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来源标注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所有展示内容标注来源与原文链接，保留完整溯源信息</w:t>
            </w:r>
          </w:p>
        </w:tc>
        <w:tc>
          <w:tcPr>
            <w:tcW w:type="dxa" w:w="34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确认展示形式是否满足要求</w:t>
            </w:r>
          </w:p>
        </w:tc>
      </w:tr>
      <w:tr>
        <w:trPr>
          <w:cantSplit/>
        </w:trPr>
        <w:tc>
          <w:tcPr>
            <w:tcW w:type="dxa" w:w="150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版权与个人信息</w:t>
            </w:r>
          </w:p>
        </w:tc>
        <w:tc>
          <w:tcPr>
            <w:tcW w:type="dxa" w:w="495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不展示可识别个人身份的信息，不用于用户画像之外的用途</w:t>
            </w:r>
          </w:p>
        </w:tc>
        <w:tc>
          <w:tcPr>
            <w:tcW w:type="dxa" w:w="344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取得法律意见书</w:t>
            </w:r>
          </w:p>
        </w:tc>
      </w:tr>
      <w:tr>
        <w:trPr>
          <w:cantSplit/>
        </w:trPr>
        <w:tc>
          <w:tcPr>
            <w:tcW w:type="dxa" w:w="150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495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内置敏感词过滤与内容审核机制，违规内容不入库不展示</w:t>
            </w:r>
          </w:p>
        </w:tc>
        <w:tc>
          <w:tcPr>
            <w:tcW w:type="dxa" w:w="344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提供审核规则与词库要求</w:t>
            </w:r>
          </w:p>
        </w:tc>
      </w:tr>
    </w:tbl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责任划分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我方承诺：按上述技术边界实施采集，提供采集日志与合规配置能力，配合甲方法务的合规审查。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甲方承担：采集站点范围的最终决策权与相应法律责任，并在项目启动后 M1.5 前完成法务确认。若法务确认延迟或缩小采集范围，我方将按变更流程调整交付内容与工期。</w:t>
            </w:r>
          </w:p>
        </w:tc>
      </w:tr>
    </w:tbl>
    <w:p>
      <w:pPr>
        <w:pStyle w:val="Heading2"/>
        <w:keepNext/>
        <w:pBdr>
          <w:left w:val="single" w:color="B4780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9.3  AI 输出的合规处理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AI 生成内容在金融场景中的合规要求正在收紧。本方案在产品层面做了以下处理：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B4780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内容标识：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所有 AI 生成内容显著标注「AI 生成」，符合生成式人工智能内容标识要求。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B4780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建议与信息的边界：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AI 输出统一采用信息陈述与分析说明的表述方式，不使用「建议买入」「推荐持有」等指令性表达；产品内所有页面固定展示风险提示。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B4780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事实与解释分离：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数值来自确定性计算并标注数据时点与来源，模型解释部分单独标识，用户可清晰区分哪些是事实、哪些是推断。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B4780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留痕与可追溯：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保留原始请求、解析结果、数据版本、模型输出与用户交互的完整记录，满足监管回溯要求。</w:t>
      </w:r>
    </w:p>
    <w:p>
      <w:pPr>
        <w:spacing w:after="70" w:before="30" w:line="300"/>
        <w:ind w:left="340" w:hanging="20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B4780C"/>
          <w:sz w:val="17"/>
          <w:szCs w:val="17"/>
        </w:rPr>
        <w:t xml:space="preserve">● 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1"/>
          <w:szCs w:val="21"/>
        </w:rPr>
        <w:t xml:space="preserve">投资者适当性：</w:t>
      </w: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境内版内置风险测评与适当性匹配，未完成测评的用户不展示高风险资产相关内容。</w:t>
      </w:r>
    </w:p>
    <w:p>
      <w:pPr>
        <w:spacing w:after="6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EF3F2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2"/>
                <w:szCs w:val="22"/>
              </w:rPr>
              <w:t xml:space="preserve">一个需要甲方尽早决策的问题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AI 输出在法律上属于「信息展示」「一般性建议」还是「受监管的投资建议」？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这个定性直接决定产品的文案策略、功能边界与是否需要相应资质。TryQuant 在这一点上处理得相当粗糙（KOL 价格预测下方紧挨买入按钮），我们不建议甲方重复这个做法。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0"/>
                <w:szCs w:val="20"/>
              </w:rPr>
              <w:t xml:space="preserve">建议在 M1 前取得书面法律意见，我方将按结论调整 AI 输出的表述模板与功能开关。这一项已列入第 8.4 节的甲方配合事项。</w:t>
            </w:r>
          </w:p>
        </w:tc>
      </w:tr>
    </w:tbl>
    <w:p>
      <w:pPr>
        <w:pStyle w:val="Heading2"/>
        <w:keepNext/>
        <w:pBdr>
          <w:left w:val="single" w:color="B4780C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9.4  风险登记表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588"/>
        <w:gridCol w:w="2942"/>
        <w:gridCol w:w="785"/>
        <w:gridCol w:w="785"/>
        <w:gridCol w:w="3923"/>
        <w:gridCol w:w="883"/>
      </w:tblGrid>
      <w:tr>
        <w:trPr>
          <w:cantSplit/>
          <w:tblHeader/>
        </w:trPr>
        <w:tc>
          <w:tcPr>
            <w:tcW w:type="dxa" w:w="588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4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78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概率</w:t>
            </w:r>
          </w:p>
        </w:tc>
        <w:tc>
          <w:tcPr>
            <w:tcW w:type="dxa" w:w="785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392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缓解措施</w:t>
            </w:r>
          </w:p>
        </w:tc>
        <w:tc>
          <w:tcPr>
            <w:tcW w:type="dxa" w:w="88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5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R1</w:t>
            </w:r>
          </w:p>
        </w:tc>
        <w:tc>
          <w:tcPr>
            <w:tcW w:type="dxa" w:w="29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第三方数据源采购延迟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提前锁定供应商；先用低成本源打通链路，后期平滑切换</w:t>
            </w:r>
          </w:p>
        </w:tc>
        <w:tc>
          <w:tcPr>
            <w:tcW w:type="dxa" w:w="8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甲方</w:t>
            </w:r>
          </w:p>
        </w:tc>
      </w:tr>
      <w:tr>
        <w:trPr>
          <w:cantSplit/>
        </w:trPr>
        <w:tc>
          <w:tcPr>
            <w:tcW w:type="dxa" w:w="5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R2</w:t>
            </w:r>
          </w:p>
        </w:tc>
        <w:tc>
          <w:tcPr>
            <w:tcW w:type="dxa" w:w="29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舆情采集法务确认延迟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先交付官方信息源通道（合规风险最低），论坛源作为后置增量</w:t>
            </w:r>
          </w:p>
        </w:tc>
        <w:tc>
          <w:tcPr>
            <w:tcW w:type="dxa" w:w="8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甲方</w:t>
            </w:r>
          </w:p>
        </w:tc>
      </w:tr>
      <w:tr>
        <w:trPr>
          <w:cantSplit/>
        </w:trPr>
        <w:tc>
          <w:tcPr>
            <w:tcW w:type="dxa" w:w="5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R3</w:t>
            </w:r>
          </w:p>
        </w:tc>
        <w:tc>
          <w:tcPr>
            <w:tcW w:type="dxa" w:w="29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境内论坛反爬导致采集中断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39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适配器模式 + 多通道冗余 + 健康度监控，单源失效不影响整体</w:t>
            </w:r>
          </w:p>
        </w:tc>
        <w:tc>
          <w:tcPr>
            <w:tcW w:type="dxa" w:w="8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我方</w:t>
            </w:r>
          </w:p>
        </w:tc>
      </w:tr>
      <w:tr>
        <w:trPr>
          <w:cantSplit/>
        </w:trPr>
        <w:tc>
          <w:tcPr>
            <w:tcW w:type="dxa" w:w="5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R4</w:t>
            </w:r>
          </w:p>
        </w:tc>
        <w:tc>
          <w:tcPr>
            <w:tcW w:type="dxa" w:w="29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中文金融语义准确率不达标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早期建立双方确认的测试集，按周迭代；保留规则引擎兜底路径</w:t>
            </w:r>
          </w:p>
        </w:tc>
        <w:tc>
          <w:tcPr>
            <w:tcW w:type="dxa" w:w="8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我方</w:t>
            </w:r>
          </w:p>
        </w:tc>
      </w:tr>
      <w:tr>
        <w:trPr>
          <w:cantSplit/>
        </w:trPr>
        <w:tc>
          <w:tcPr>
            <w:tcW w:type="dxa" w:w="5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R5</w:t>
            </w:r>
          </w:p>
        </w:tc>
        <w:tc>
          <w:tcPr>
            <w:tcW w:type="dxa" w:w="29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回测引擎存在未来函数等隐性错误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时点数据管理 + 与已知基准交叉验证 + 第三方复核</w:t>
            </w:r>
          </w:p>
        </w:tc>
        <w:tc>
          <w:tcPr>
            <w:tcW w:type="dxa" w:w="8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我方</w:t>
            </w:r>
          </w:p>
        </w:tc>
      </w:tr>
      <w:tr>
        <w:trPr>
          <w:cantSplit/>
        </w:trPr>
        <w:tc>
          <w:tcPr>
            <w:tcW w:type="dxa" w:w="5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R6</w:t>
            </w:r>
          </w:p>
        </w:tc>
        <w:tc>
          <w:tcPr>
            <w:tcW w:type="dxa" w:w="29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大模型推理成本超预算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39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分级调用策略、结果缓存复用、用量监控告警</w:t>
            </w:r>
          </w:p>
        </w:tc>
        <w:tc>
          <w:tcPr>
            <w:tcW w:type="dxa" w:w="8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5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R7</w:t>
            </w:r>
          </w:p>
        </w:tc>
        <w:tc>
          <w:tcPr>
            <w:tcW w:type="dxa" w:w="29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需求在期内频繁变更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期内冻结需求，变更走「顺延或等量换出」机制</w:t>
            </w:r>
          </w:p>
        </w:tc>
        <w:tc>
          <w:tcPr>
            <w:tcW w:type="dxa" w:w="8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588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R8</w:t>
            </w:r>
          </w:p>
        </w:tc>
        <w:tc>
          <w:tcPr>
            <w:tcW w:type="dxa" w:w="294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输出合规定性发生变化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0F8F68"/>
                <w:sz w:val="19"/>
                <w:szCs w:val="19"/>
              </w:rPr>
              <w:t xml:space="preserve">低</w:t>
            </w:r>
          </w:p>
        </w:tc>
        <w:tc>
          <w:tcPr>
            <w:tcW w:type="dxa" w:w="785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高</w:t>
            </w:r>
          </w:p>
        </w:tc>
        <w:tc>
          <w:tcPr>
            <w:tcW w:type="dxa" w:w="392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输出模板可配置化，功能开关预留，可快速响应监管变化</w:t>
            </w:r>
          </w:p>
        </w:tc>
        <w:tc>
          <w:tcPr>
            <w:tcW w:type="dxa" w:w="88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588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R9</w:t>
            </w:r>
          </w:p>
        </w:tc>
        <w:tc>
          <w:tcPr>
            <w:tcW w:type="dxa" w:w="294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4–5 个月周期压力导致质量下降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785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中</w:t>
            </w:r>
          </w:p>
        </w:tc>
        <w:tc>
          <w:tcPr>
            <w:tcW w:type="dxa" w:w="392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三期独立验收，每期不达标不进入下一期；测试贯穿全周期</w:t>
            </w:r>
          </w:p>
        </w:tc>
        <w:tc>
          <w:tcPr>
            <w:tcW w:type="dxa" w:w="88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我方</w:t>
            </w:r>
          </w:p>
        </w:tc>
      </w:tr>
    </w:tbl>
    <w:p>
      <w:pPr>
        <w:pageBreakBefore/>
        <w:spacing w:after="260" w:before="0"/>
        <w:jc w:val="center"/>
      </w:pPr>
      <w:r>
        <w:drawing>
          <wp:inline distT="0" distB="0" distL="0" distR="0">
            <wp:extent cx="62674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left w:val="single" w:color="8B5CF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10.1  交付物清单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101"/>
        <w:gridCol w:w="4843"/>
        <w:gridCol w:w="2201"/>
        <w:gridCol w:w="1761"/>
      </w:tblGrid>
      <w:tr>
        <w:trPr>
          <w:cantSplit/>
          <w:tblHeader/>
        </w:trPr>
        <w:tc>
          <w:tcPr>
            <w:tcW w:type="dxa" w:w="11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484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20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176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交付节点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源码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全部前后端源代码及构建脚本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Git 仓库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</w:t>
            </w:r>
          </w:p>
        </w:tc>
      </w:tr>
      <w:tr>
        <w:trPr>
          <w:cantSplit/>
        </w:trPr>
        <w:tc>
          <w:tcPr>
            <w:tcW w:type="dxa" w:w="11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源码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数据库结构定义与迁移脚本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Git 仓库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各期验收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系统架构设计文档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PDF / Word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1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接口文档（含 B端开放 API）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在线文档 + PDF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各期验收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数据字典与因子定义说明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Excel / PDF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部署运维手册与 Runbook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PDF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文档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用户操作手册（C端 + 管理后台）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PDF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</w:t>
            </w:r>
          </w:p>
        </w:tc>
      </w:tr>
      <w:tr>
        <w:trPr>
          <w:cantSplit/>
        </w:trPr>
        <w:tc>
          <w:tcPr>
            <w:tcW w:type="dxa" w:w="11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测试用例集与测试报告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PDF / 测试平台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各期验收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测试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性能测试报告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PDF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</w:t>
            </w:r>
          </w:p>
        </w:tc>
      </w:tr>
      <w:tr>
        <w:trPr>
          <w:cantSplit/>
        </w:trPr>
        <w:tc>
          <w:tcPr>
            <w:tcW w:type="dxa" w:w="11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培训</w:t>
            </w:r>
          </w:p>
        </w:tc>
        <w:tc>
          <w:tcPr>
            <w:tcW w:type="dxa" w:w="484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开发培训 + 运维培训各一轮</w:t>
            </w:r>
          </w:p>
        </w:tc>
        <w:tc>
          <w:tcPr>
            <w:tcW w:type="dxa" w:w="220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线上／线下</w:t>
            </w:r>
          </w:p>
        </w:tc>
        <w:tc>
          <w:tcPr>
            <w:tcW w:type="dxa" w:w="176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终验前</w:t>
            </w:r>
          </w:p>
        </w:tc>
      </w:tr>
      <w:tr>
        <w:trPr>
          <w:cantSplit/>
        </w:trPr>
        <w:tc>
          <w:tcPr>
            <w:tcW w:type="dxa" w:w="11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环境</w:t>
            </w:r>
          </w:p>
        </w:tc>
        <w:tc>
          <w:tcPr>
            <w:tcW w:type="dxa" w:w="484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生产、预发、测试三套环境部署完成</w:t>
            </w:r>
          </w:p>
        </w:tc>
        <w:tc>
          <w:tcPr>
            <w:tcW w:type="dxa" w:w="220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环境交接单</w:t>
            </w:r>
          </w:p>
        </w:tc>
        <w:tc>
          <w:tcPr>
            <w:tcW w:type="dxa" w:w="176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终验</w:t>
            </w:r>
          </w:p>
        </w:tc>
      </w:tr>
    </w:tbl>
    <w:p>
      <w:pPr>
        <w:pStyle w:val="Heading2"/>
        <w:keepNext/>
        <w:pBdr>
          <w:left w:val="single" w:color="8B5CF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10.2  关键指标定义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统一的指标口径是避免重蹈 TryQuant 数据混乱的基础。以下定义随系统一并交付，作为后续运营分析的唯一标准。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933"/>
        <w:gridCol w:w="6282"/>
        <w:gridCol w:w="1691"/>
      </w:tblGrid>
      <w:tr>
        <w:trPr>
          <w:cantSplit/>
          <w:tblHeader/>
        </w:trPr>
        <w:tc>
          <w:tcPr>
            <w:tcW w:type="dxa" w:w="193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6282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统一定义</w:t>
            </w:r>
          </w:p>
        </w:tc>
        <w:tc>
          <w:tcPr>
            <w:tcW w:type="dxa" w:w="1691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统计周期</w:t>
            </w:r>
          </w:p>
        </w:tc>
      </w:tr>
      <w:tr>
        <w:trPr>
          <w:cantSplit/>
        </w:trPr>
        <w:tc>
          <w:tcPr>
            <w:tcW w:type="dxa" w:w="193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激活用户</w:t>
            </w:r>
          </w:p>
        </w:tc>
        <w:tc>
          <w:tcPr>
            <w:tcW w:type="dxa" w:w="62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完成注册登录、通过风险提示、并成功完成一次有效查询的用户</w:t>
            </w:r>
          </w:p>
        </w:tc>
        <w:tc>
          <w:tcPr>
            <w:tcW w:type="dxa" w:w="16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93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有效查询</w:t>
            </w:r>
          </w:p>
        </w:tc>
        <w:tc>
          <w:tcPr>
            <w:tcW w:type="dxa" w:w="62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返回了有效数据结果的查询，不含失败、超时与空结果</w:t>
            </w:r>
          </w:p>
        </w:tc>
        <w:tc>
          <w:tcPr>
            <w:tcW w:type="dxa" w:w="16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93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研究完成率</w:t>
            </w:r>
          </w:p>
        </w:tc>
        <w:tc>
          <w:tcPr>
            <w:tcW w:type="dxa" w:w="62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发起研究任务且完整走完回测环节的用户占活跃用户比例</w:t>
            </w:r>
          </w:p>
        </w:tc>
        <w:tc>
          <w:tcPr>
            <w:tcW w:type="dxa" w:w="16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每周</w:t>
            </w:r>
          </w:p>
        </w:tc>
      </w:tr>
      <w:tr>
        <w:trPr>
          <w:cantSplit/>
        </w:trPr>
        <w:tc>
          <w:tcPr>
            <w:tcW w:type="dxa" w:w="193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策略留存率</w:t>
            </w:r>
          </w:p>
        </w:tc>
        <w:tc>
          <w:tcPr>
            <w:tcW w:type="dxa" w:w="62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创建策略后第 7／30 日仍在使用该策略的用户占比</w:t>
            </w:r>
          </w:p>
        </w:tc>
        <w:tc>
          <w:tcPr>
            <w:tcW w:type="dxa" w:w="16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分批次</w:t>
            </w:r>
          </w:p>
        </w:tc>
      </w:tr>
      <w:tr>
        <w:trPr>
          <w:cantSplit/>
        </w:trPr>
        <w:tc>
          <w:tcPr>
            <w:tcW w:type="dxa" w:w="193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月活跃用户</w:t>
            </w:r>
          </w:p>
        </w:tc>
        <w:tc>
          <w:tcPr>
            <w:tcW w:type="dxa" w:w="62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当月完成至少一次有效查询的去重用户数</w:t>
            </w:r>
          </w:p>
        </w:tc>
        <w:tc>
          <w:tcPr>
            <w:tcW w:type="dxa" w:w="16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每月</w:t>
            </w:r>
          </w:p>
        </w:tc>
      </w:tr>
      <w:tr>
        <w:trPr>
          <w:cantSplit/>
        </w:trPr>
        <w:tc>
          <w:tcPr>
            <w:tcW w:type="dxa" w:w="193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付费转化率</w:t>
            </w:r>
          </w:p>
        </w:tc>
        <w:tc>
          <w:tcPr>
            <w:tcW w:type="dxa" w:w="62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有效付费订阅用户数除以符合条件的活跃用户数</w:t>
            </w:r>
          </w:p>
        </w:tc>
        <w:tc>
          <w:tcPr>
            <w:tcW w:type="dxa" w:w="16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每月</w:t>
            </w:r>
          </w:p>
        </w:tc>
      </w:tr>
      <w:tr>
        <w:trPr>
          <w:cantSplit/>
        </w:trPr>
        <w:tc>
          <w:tcPr>
            <w:tcW w:type="dxa" w:w="193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ARPU</w:t>
            </w:r>
          </w:p>
        </w:tc>
        <w:tc>
          <w:tcPr>
            <w:tcW w:type="dxa" w:w="62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当期确认收入除以当期活跃用户数，需注明口径</w:t>
            </w:r>
          </w:p>
        </w:tc>
        <w:tc>
          <w:tcPr>
            <w:tcW w:type="dxa" w:w="16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每月</w:t>
            </w:r>
          </w:p>
        </w:tc>
      </w:tr>
      <w:tr>
        <w:trPr>
          <w:cantSplit/>
        </w:trPr>
        <w:tc>
          <w:tcPr>
            <w:tcW w:type="dxa" w:w="193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B端调用量</w:t>
            </w:r>
          </w:p>
        </w:tc>
        <w:tc>
          <w:tcPr>
            <w:tcW w:type="dxa" w:w="62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按租户统计的成功 API 调用次数，不含错误请求</w:t>
            </w:r>
          </w:p>
        </w:tc>
        <w:tc>
          <w:tcPr>
            <w:tcW w:type="dxa" w:w="16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每日／每月</w:t>
            </w:r>
          </w:p>
        </w:tc>
      </w:tr>
      <w:tr>
        <w:trPr>
          <w:cantSplit/>
        </w:trPr>
        <w:tc>
          <w:tcPr>
            <w:tcW w:type="dxa" w:w="193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舆情覆盖率</w:t>
            </w:r>
          </w:p>
        </w:tc>
        <w:tc>
          <w:tcPr>
            <w:tcW w:type="dxa" w:w="6282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成功采集的目标源数量占配置源总数比例</w:t>
            </w:r>
          </w:p>
        </w:tc>
        <w:tc>
          <w:tcPr>
            <w:tcW w:type="dxa" w:w="1691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93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模型准确率</w:t>
            </w:r>
          </w:p>
        </w:tc>
        <w:tc>
          <w:tcPr>
            <w:tcW w:type="dxa" w:w="6282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基于双方确认测试集的意图识别正确率</w:t>
            </w:r>
          </w:p>
        </w:tc>
        <w:tc>
          <w:tcPr>
            <w:tcW w:type="dxa" w:w="1691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每周</w:t>
            </w:r>
          </w:p>
        </w:tc>
      </w:tr>
    </w:tbl>
    <w:p>
      <w:pPr>
        <w:pStyle w:val="Heading2"/>
        <w:keepNext/>
        <w:pBdr>
          <w:left w:val="single" w:color="8B5CF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10.3  术语表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887"/>
        <w:gridCol w:w="8019"/>
      </w:tblGrid>
      <w:tr>
        <w:trPr>
          <w:cantSplit/>
          <w:tblHeader/>
        </w:trPr>
        <w:tc>
          <w:tcPr>
            <w:tcW w:type="dxa" w:w="188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801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用于解释或预测资产收益的量化指标，如市盈率、动量、资金流强度等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IC / IR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信息系数与信息比率，衡量因子预测能力与稳定性的核心指标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样本内 / 样本外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用于构建策略的历史区间与用于验证策略的独立区间，样本外表现才有参考价值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未来函数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回测中错误使用了当时尚不可知的信息，会导致回测结果严重虚高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时点数据（PIT）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严格还原历史上每个时点实际可获得的数据，是回测正确性的前提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Brinson 归因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把组合超额收益拆解为资产配置贡献与个股选择贡献的经典方法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RAG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检索增强生成，让大模型基于检索到的真实资料回答，降低幻觉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大模型按需调用外部工具或接口的能力，是对话驱动系统动作的基础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多租户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同一套系统服务多个独立客户，彼此数据与配置完全隔离的架构模式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白标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合作方以自有品牌对外提供服务，底层能力由本平台提供的合作形态</w:t>
            </w:r>
          </w:p>
        </w:tc>
      </w:tr>
    </w:tbl>
    <w:p>
      <w:pPr>
        <w:pStyle w:val="Heading2"/>
        <w:keepNext/>
        <w:pBdr>
          <w:left w:val="single" w:color="8B5CF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10.4  商务条款要点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887"/>
        <w:gridCol w:w="8019"/>
      </w:tblGrid>
      <w:tr>
        <w:trPr>
          <w:cantSplit/>
          <w:tblHeader/>
        </w:trPr>
        <w:tc>
          <w:tcPr>
            <w:tcW w:type="dxa" w:w="188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条款</w:t>
            </w:r>
          </w:p>
        </w:tc>
        <w:tc>
          <w:tcPr>
            <w:tcW w:type="dxa" w:w="801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约定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报价有效期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自本方案出具之日起 30 个自然日内有效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价格性质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人民币含税价，不含第三方数据源、模型推理与云资源费用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知识产权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交付成果的知识产权归甲方所有；我方保留通用技术组件与框架的复用权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源码交付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全部源代码随各期验收交付，甲方拥有完整使用与修改权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保密义务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双方对本项目涉及的商业与技术信息承担保密义务，期限自签约起 5 年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质保期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系统终验通过之日起 12 个月，质保期内非需求变更类缺陷免费修复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响应时限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严重缺陷 4 小时内响应、24 小时内给出方案；一般缺陷 2 个工作日内响应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需求变更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期内冻结需求；变更走书面流程，按「顺延工期」或「等量换出」两种方式处理</w:t>
            </w:r>
          </w:p>
        </w:tc>
      </w:tr>
      <w:tr>
        <w:trPr>
          <w:cantSplit/>
        </w:trPr>
        <w:tc>
          <w:tcPr>
            <w:tcW w:type="dxa" w:w="188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验收机制</w:t>
            </w:r>
          </w:p>
        </w:tc>
        <w:tc>
          <w:tcPr>
            <w:tcW w:type="dxa" w:w="801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三期独立验收，任一期未通过不进入下一期，对应付款节点相应顺延</w:t>
            </w:r>
          </w:p>
        </w:tc>
      </w:tr>
      <w:tr>
        <w:trPr>
          <w:cantSplit/>
        </w:trPr>
        <w:tc>
          <w:tcPr>
            <w:tcW w:type="dxa" w:w="188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后续服务</w:t>
            </w:r>
          </w:p>
        </w:tc>
        <w:tc>
          <w:tcPr>
            <w:tcW w:type="dxa" w:w="801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质保期满后可另签年度运维与迭代服务协议，费率另议</w:t>
            </w:r>
          </w:p>
        </w:tc>
      </w:tr>
    </w:tbl>
    <w:p>
      <w:pPr>
        <w:spacing w:after="12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single" w:color="0F8F68" w:sz="4"/>
          <w:left w:val="single" w:color="0F8F68" w:sz="24"/>
          <w:bottom w:val="single" w:color="0F8F68" w:sz="4"/>
          <w:right w:val="single" w:color="0F8F68" w:sz="4"/>
          <w:insideH w:val="none" w:color="auto" w:sz="0"/>
          <w:insideV w:val="none" w:color="auto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EAF7F1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 w:before="0" w:line="300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2"/>
                <w:szCs w:val="22"/>
              </w:rPr>
              <w:t xml:space="preserve">最后：本方案与 TryQuant 最根本的一处不同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TryQuant 在用「更快地下单」解决问题。</w:t>
            </w:r>
          </w:p>
          <w:p>
            <w:pPr>
              <w:spacing w:after="70" w:before="0" w:line="300"/>
              <w:jc w:val="both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21"/>
                <w:szCs w:val="21"/>
              </w:rPr>
              <w:t xml:space="preserve">我们认为，投资者真正稀缺的从来不是下单渠道——券商 App 遍地都是——而是「该买什么、为什么买、风险多大、什么时候错了」。</w:t>
            </w:r>
          </w:p>
          <w:p>
            <w:pPr>
              <w:spacing w:after="0" w:before="0" w:line="300"/>
              <w:jc w:val="both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0F8F68"/>
                <w:sz w:val="21"/>
                <w:szCs w:val="21"/>
              </w:rPr>
              <w:t xml:space="preserve">所以本方案把全部资源投入研究与验证，主动放弃执行。这既是合规上最安全的选择，也是产品上最锋利的选择。</w:t>
            </w:r>
          </w:p>
        </w:tc>
      </w:tr>
    </w:tbl>
    <w:p>
      <w:pPr>
        <w:pStyle w:val="Heading2"/>
        <w:keepNext/>
        <w:pBdr>
          <w:left w:val="single" w:color="8B5CF6" w:sz="26" w:space="10"/>
        </w:pBdr>
        <w:shd w:fill="F2F6FB" w:color="auto" w:val="clear"/>
        <w:spacing w:after="160" w:before="30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6"/>
          <w:szCs w:val="26"/>
        </w:rPr>
        <w:t xml:space="preserve">10.5  完整功能清单</w:t>
      </w:r>
    </w:p>
    <w:p>
      <w:pPr>
        <w:keepNext w:val="false"/>
        <w:spacing w:after="110" w:before="60" w:line="320"/>
        <w:jc w:val="both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>以下清单为本方案的交付范围基线，验收时逐项核对。P0 为期一必交付，P1 为期二必交付，P2 为期三交付。</w:t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8B5CF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A　账号、权限与基础能力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213"/>
        <w:gridCol w:w="3309"/>
        <w:gridCol w:w="3530"/>
        <w:gridCol w:w="927"/>
        <w:gridCol w:w="927"/>
      </w:tblGrid>
      <w:tr>
        <w:trPr>
          <w:cantSplit/>
          <w:tblHeader/>
        </w:trPr>
        <w:tc>
          <w:tcPr>
            <w:tcW w:type="dxa" w:w="121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30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功能点</w:t>
            </w:r>
          </w:p>
        </w:tc>
        <w:tc>
          <w:tcPr>
            <w:tcW w:type="dxa" w:w="353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9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9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所属期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邮箱／手机注册登录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含验证码与找回密码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第三方登录（微信／Google／Apple）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按地区版本选择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账号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会话管理与多端登录控制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支持强制下线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权限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角色与功能权限管理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普通用户／会员／管理员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权限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投资者适当性评级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境内版必需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安全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密钥隔离与加密存储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密钥不入日志与模型上下文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安全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操作审计日志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全量留痕，支持按维度检索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管理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管理后台：用户与内容管理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含封禁、申诉、内容下架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管理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管理后台：资产与费率配置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高危配置需双人确认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</w:tbl>
    <w:p>
      <w:pPr>
        <w:spacing w:after="7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8B5CF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B　数据与行情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213"/>
        <w:gridCol w:w="3309"/>
        <w:gridCol w:w="3530"/>
        <w:gridCol w:w="927"/>
        <w:gridCol w:w="927"/>
      </w:tblGrid>
      <w:tr>
        <w:trPr>
          <w:cantSplit/>
          <w:tblHeader/>
        </w:trPr>
        <w:tc>
          <w:tcPr>
            <w:tcW w:type="dxa" w:w="1213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309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功能点</w:t>
            </w:r>
          </w:p>
        </w:tc>
        <w:tc>
          <w:tcPr>
            <w:tcW w:type="dxa" w:w="353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9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92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所属期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实时行情订阅与推送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WebSocket 推送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历史 K 线与多周期切换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分钟／日／周／月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行情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技术指标计算与叠加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常用指标 30+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基本面数据接入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财报、财务指标、股本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资金流与持股数据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北向、两融、大宗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数据质量监控与告警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缺失、异常、延迟检测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数据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交易日历与市场制度处理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涨跌停、停牌、除权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213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发现</w:t>
            </w:r>
          </w:p>
        </w:tc>
        <w:tc>
          <w:tcPr>
            <w:tcW w:type="dxa" w:w="3309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市场情绪指标看板</w:t>
            </w:r>
          </w:p>
        </w:tc>
        <w:tc>
          <w:tcPr>
            <w:tcW w:type="dxa" w:w="353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地区差异化指标体系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2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213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发现</w:t>
            </w:r>
          </w:p>
        </w:tc>
        <w:tc>
          <w:tcPr>
            <w:tcW w:type="dxa" w:w="3309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标的搜索与多板块浏览</w:t>
            </w:r>
          </w:p>
        </w:tc>
        <w:tc>
          <w:tcPr>
            <w:tcW w:type="dxa" w:w="353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支持模糊与拼音搜索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2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</w:tbl>
    <w:p>
      <w:pPr>
        <w:spacing w:after="7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8B5CF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C　对话式 AI 与研究引擎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116"/>
        <w:gridCol w:w="3347"/>
        <w:gridCol w:w="3570"/>
        <w:gridCol w:w="937"/>
        <w:gridCol w:w="936"/>
      </w:tblGrid>
      <w:tr>
        <w:trPr>
          <w:cantSplit/>
          <w:tblHeader/>
        </w:trPr>
        <w:tc>
          <w:tcPr>
            <w:tcW w:type="dxa" w:w="111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34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功能点</w:t>
            </w:r>
          </w:p>
        </w:tc>
        <w:tc>
          <w:tcPr>
            <w:tcW w:type="dxa" w:w="357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93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93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所属期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自然语言意图识别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查询、研究、对比、解释四类意图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中文金融语义解析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复合条件、时序表达、指标映射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多轮上下文管理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支持追问与参数修改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语音输入与识别回显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识别结果可编辑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思考过程可视化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展示系统的推理与取数路径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RAG 知识库问答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财报、公告、研报检索增强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AI 内容标识与免责提示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合规必需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P0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期一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内置因子库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覆盖价量、基本面、资金、情绪四类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因子表达式引擎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支持自定义因子构建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对话式因子构建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自然语言直接生成因子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因子有效性分析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IC／IR／分层收益／衰减分析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事件驱动回测引擎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支持多因子组合策略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时点数据管理（PIT）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杜绝未来函数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绩效指标与图表报告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20+ 指标，可导出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回测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样本内外分段检验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强制分割，防过拟合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归因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Brinson 收益归因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配置贡献与选股贡献拆解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组合构建与权重优化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含风险约束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组合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风险敞口与集中度分析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行业、风格、个股维度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</w:tbl>
    <w:p>
      <w:pPr>
        <w:spacing w:after="7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p>
      <w:pPr>
        <w:pStyle w:val="Heading3"/>
        <w:keepNext/>
        <w:spacing w:after="110" w:before="240" w:line="300"/>
      </w:pP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8B5CF6"/>
          <w:sz w:val="22"/>
          <w:szCs w:val="22"/>
        </w:rPr>
        <w:t xml:space="preserve">▍ </w:t>
      </w:r>
      <w:r>
        <w:rPr>
          <w:rFonts w:ascii="Segoe UI" w:cs="Segoe UI" w:eastAsia="微软雅黑" w:hAnsi="Segoe UI"/>
          <w:b/>
          <w:bCs/>
          <w:i w:val="false"/>
          <w:iCs w:val="false"/>
          <w:caps w:val="false"/>
          <w:color w:val="0A1F44"/>
          <w:sz w:val="23"/>
          <w:szCs w:val="23"/>
        </w:rPr>
        <w:t xml:space="preserve">D　舆情、Agent 与 B端</w:t>
      </w:r>
    </w:p>
    <w:tbl>
      <w:tblPr>
        <w:tblW w:type="dxa" w:w="9906"/>
        <w:tblBorders>
          <w:top w:val="single" w:color="0A1F44" w:sz="4"/>
          <w:left w:val="single" w:color="D3DCE8" w:sz="2"/>
          <w:bottom w:val="single" w:color="0A1F44" w:sz="4"/>
          <w:right w:val="single" w:color="D3DCE8" w:sz="2"/>
          <w:insideH w:val="single" w:color="D3DCE8" w:sz="2"/>
          <w:insideV w:val="single" w:color="D3DCE8" w:sz="2"/>
        </w:tblBorders>
      </w:tblPr>
      <w:tblGrid>
        <w:gridCol w:w="1116"/>
        <w:gridCol w:w="3347"/>
        <w:gridCol w:w="3570"/>
        <w:gridCol w:w="937"/>
        <w:gridCol w:w="936"/>
      </w:tblGrid>
      <w:tr>
        <w:trPr>
          <w:cantSplit/>
          <w:tblHeader/>
        </w:trPr>
        <w:tc>
          <w:tcPr>
            <w:tcW w:type="dxa" w:w="111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34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功能点</w:t>
            </w:r>
          </w:p>
        </w:tc>
        <w:tc>
          <w:tcPr>
            <w:tcW w:type="dxa" w:w="3570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937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936"/>
            <w:shd w:fill="0A1F4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所属期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多源采集适配器框架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新增数据源无需改动上层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境内论坛源接入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雪球、东财股吧、同花顺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境外社媒源接入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Reddit、X、StockTwits、Seeking Alpha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加密原生源接入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KOL 列表、Telegram、Discord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官方信息源接入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公告、研报、财经媒体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清洗、去重与内容审核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含敏感词过滤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情感极性分析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多空强度打分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实体识别与关联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标的、板块、事件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热点聚合与异动预警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话题榜、热度突变检测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舆情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情绪因子化输出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可直接进入回测引擎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19"/>
                <w:szCs w:val="19"/>
              </w:rPr>
              <w:t xml:space="preserve">P1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期二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监控任务配置与编排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自然语言定义规则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策略失效预警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统计显著性阈值触发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定期复核与健康度报告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周／月自动重跑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Agent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调仓建议生成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仅建议，不执行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多租户体系与数据隔离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强隔离，安全测试验证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开放 API 与 SDK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REST + WebSocket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</w:t>
            </w:r>
          </w:p>
        </w:tc>
        <w:tc>
          <w:tcPr>
            <w:tcW w:type="dxa" w:w="334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可嵌入白标组件</w:t>
            </w:r>
          </w:p>
        </w:tc>
        <w:tc>
          <w:tcPr>
            <w:tcW w:type="dxa" w:w="3570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支持品牌定制</w:t>
            </w:r>
          </w:p>
        </w:tc>
        <w:tc>
          <w:tcPr>
            <w:tcW w:type="dxa" w:w="937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  <w:tr>
        <w:trPr>
          <w:cantSplit/>
        </w:trPr>
        <w:tc>
          <w:tcPr>
            <w:tcW w:type="dxa" w:w="111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B端</w:t>
            </w:r>
          </w:p>
        </w:tc>
        <w:tc>
          <w:tcPr>
            <w:tcW w:type="dxa" w:w="334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用量计量与账单</w:t>
            </w:r>
          </w:p>
        </w:tc>
        <w:tc>
          <w:tcPr>
            <w:tcW w:type="dxa" w:w="3570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可导出结算数据</w:t>
            </w:r>
          </w:p>
        </w:tc>
        <w:tc>
          <w:tcPr>
            <w:tcW w:type="dxa" w:w="937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19"/>
                <w:szCs w:val="19"/>
              </w:rPr>
              <w:t xml:space="preserve">P2</w:t>
            </w:r>
          </w:p>
        </w:tc>
        <w:tc>
          <w:tcPr>
            <w:tcW w:type="dxa" w:w="936"/>
            <w:shd w:fill="F2F6F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2C3A50"/>
                <w:sz w:val="19"/>
                <w:szCs w:val="19"/>
              </w:rPr>
              <w:t xml:space="preserve">期三</w:t>
            </w:r>
          </w:p>
        </w:tc>
      </w:tr>
    </w:tbl>
    <w:p>
      <w:pPr>
        <w:spacing w:after="90" w:before="0"/>
      </w:pPr>
      <w:r>
        <w:rPr>
          <w:rFonts w:ascii="Segoe UI" w:cs="Segoe UI" w:eastAsia="微软雅黑" w:hAnsi="Segoe UI"/>
          <w:b w:val="false"/>
          <w:bCs w:val="false"/>
          <w:i w:val="false"/>
          <w:iCs w:val="false"/>
          <w:caps w:val="false"/>
          <w:color w:val="2C3A50"/>
          <w:sz w:val="21"/>
          <w:szCs w:val="21"/>
        </w:rP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single" w:color="FFFFFF" w:sz="8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shd w:fill="FEF3F2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3261E"/>
                <w:sz w:val="32"/>
                <w:szCs w:val="32"/>
              </w:rPr>
              <w:t xml:space="preserve">P0 · 22 项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期一必交付</w:t>
            </w:r>
          </w:p>
        </w:tc>
        <w:tc>
          <w:tcPr>
            <w:tcW w:type="dxa" w:w="3302"/>
            <w:shd w:fill="FFFBE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B4780C"/>
                <w:sz w:val="32"/>
                <w:szCs w:val="32"/>
              </w:rPr>
              <w:t xml:space="preserve">P1 · 24 项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期二必交付</w:t>
            </w:r>
          </w:p>
        </w:tc>
        <w:tc>
          <w:tcPr>
            <w:tcW w:type="dxa" w:w="3302"/>
            <w:shd w:fill="F2F6FB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50" w:before="0" w:line="320"/>
              <w:jc w:val="center"/>
            </w:pPr>
            <w:r>
              <w:rPr>
                <w:rFonts w:ascii="Segoe UI" w:cs="Segoe UI" w:eastAsia="微软雅黑" w:hAnsi="Segoe UI"/>
                <w:b/>
                <w:bCs/>
                <w:i w:val="false"/>
                <w:iCs w:val="false"/>
                <w:caps w:val="false"/>
                <w:color w:val="6B7B93"/>
                <w:sz w:val="32"/>
                <w:szCs w:val="32"/>
              </w:rPr>
              <w:t xml:space="preserve">P2 · 12 项</w:t>
            </w:r>
          </w:p>
          <w:p>
            <w:pPr>
              <w:spacing w:after="0" w:before="0" w:line="26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i w:val="false"/>
                <w:iCs w:val="false"/>
                <w:caps w:val="false"/>
                <w:color w:val="6B7B93"/>
                <w:sz w:val="17"/>
                <w:szCs w:val="17"/>
              </w:rPr>
              <w:t xml:space="preserve">期三交付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80" w:right="1000" w:bottom="1000" w:left="1000" w:header="620" w:footer="480" w:gutter="0"/>
          <w:pgNumType w:start="1"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8" w:sz="6" w:space="6"/>
      </w:pBdr>
      <w:spacing w:after="0" w:before="60"/>
      <w:jc w:val="center"/>
    </w:pPr>
    <w:r>
      <w:rPr>
        <w:rFonts w:ascii="Segoe UI" w:cs="Segoe UI" w:eastAsia="微软雅黑" w:hAnsi="Segoe UI"/>
        <w:color w:val="9AA8BC"/>
        <w:sz w:val="16"/>
        <w:szCs w:val="16"/>
      </w:rPr>
      <w:t xml:space="preserve">— </w:t>
    </w:r>
    <w:r>
      <w:rPr>
        <w:rFonts w:ascii="Segoe UI" w:cs="Segoe UI" w:eastAsia="微软雅黑" w:hAnsi="Segoe UI"/>
        <w:b/>
        <w:bCs/>
        <w:color w:val="A8853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微软雅黑" w:hAnsi="Segoe UI"/>
        <w:color w:val="9AA8BC"/>
        <w:sz w:val="16"/>
        <w:szCs w:val="16"/>
      </w:rPr>
      <w:t xml:space="preserve"> / </w:t>
    </w:r>
    <w:r>
      <w:rPr>
        <w:rFonts w:ascii="Segoe UI" w:cs="Segoe UI" w:eastAsia="微软雅黑" w:hAnsi="Segoe UI"/>
        <w:color w:val="9AA8B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egoe UI" w:cs="Segoe UI" w:eastAsia="微软雅黑" w:hAnsi="Segoe UI"/>
        <w:color w:val="9AA8B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5"/>
      </w:pBdr>
      <w:tabs>
        <w:tab w:val="right" w:pos="9906"/>
      </w:tabs>
      <w:spacing w:after="40" w:before="0"/>
    </w:pPr>
    <w:r>
      <w:rPr>
        <w:rFonts w:ascii="Segoe UI" w:cs="Segoe UI" w:eastAsia="微软雅黑" w:hAnsi="Segoe UI"/>
        <w:b/>
        <w:bCs/>
        <w:color w:val="0A1F44"/>
        <w:sz w:val="15"/>
        <w:szCs w:val="15"/>
      </w:rPr>
      <w:t xml:space="preserve">AI 智能投研平台</w:t>
    </w:r>
    <w:r>
      <w:rPr>
        <w:rFonts w:ascii="Segoe UI" w:cs="Segoe UI" w:eastAsia="微软雅黑" w:hAnsi="Segoe UI"/>
        <w:color w:val="9AA8BC"/>
        <w:sz w:val="15"/>
        <w:szCs w:val="15"/>
      </w:rPr>
      <w:t xml:space="preserve">　·　商务技术方案与模块报价书</w:t>
    </w:r>
    <w:r>
      <w:rPr>
        <w:rFonts w:ascii="Segoe UI" w:cs="Segoe UI" w:eastAsia="微软雅黑" w:hAnsi="Segoe UI"/>
        <w:color w:val="9AA8BC"/>
        <w:sz w:val="15"/>
        <w:szCs w:val="15"/>
      </w:rPr>
      <w:t xml:space="preserve">	机密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微软雅黑" w:hAnsi="Segoe UI"/>
        <w:color w:val="2C3A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微软雅黑" w:hAnsi="Segoe UI"/>
      <w:b/>
      <w:bCs/>
      <w:color w:val="0A1F4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Segoe UI" w:cs="Segoe UI" w:eastAsia="微软雅黑" w:hAnsi="Segoe UI"/>
      <w:b/>
      <w:bCs/>
      <w:color w:val="0A1F4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Segoe UI" w:cs="Segoe UI" w:eastAsia="微软雅黑" w:hAnsi="Segoe UI"/>
      <w:b/>
      <w:bCs/>
      <w:color w:val="0A1F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1a67946b29205435df0f9346b4bf05ea3475ec09.png"/><Relationship Id="rId12" Type="http://schemas.openxmlformats.org/officeDocument/2006/relationships/image" Target="media/a7b8bc8d207f58dfdb92767f453a9ab9da9c2ae0.png"/><Relationship Id="rId13" Type="http://schemas.openxmlformats.org/officeDocument/2006/relationships/image" Target="media/0a62481e18fece0c28cbe2f043e812d0fa67f201.png"/><Relationship Id="rId14" Type="http://schemas.openxmlformats.org/officeDocument/2006/relationships/image" Target="media/3af36c0e00533f570626f3c9dc53891755ed5f98.png"/><Relationship Id="rId15" Type="http://schemas.openxmlformats.org/officeDocument/2006/relationships/image" Target="media/b7aa6578eec0075b372ee26c7f3f733a076b7d57.png"/><Relationship Id="rId16" Type="http://schemas.openxmlformats.org/officeDocument/2006/relationships/image" Target="media/e417731108b1f8f856efe18388a7f02041c8f490.png"/><Relationship Id="rId17" Type="http://schemas.openxmlformats.org/officeDocument/2006/relationships/image" Target="media/bd8ac95ac755e751b734532b38a453aa49e1f479.png"/><Relationship Id="rId18" Type="http://schemas.openxmlformats.org/officeDocument/2006/relationships/image" Target="media/cfd5368c2fad5042fe9b1e0f603b072f991e3911.png"/><Relationship Id="rId19" Type="http://schemas.openxmlformats.org/officeDocument/2006/relationships/image" Target="media/a2fcb1d977da76eb3a547ddb623457c1f84e6121.png"/><Relationship Id="rId20" Type="http://schemas.openxmlformats.org/officeDocument/2006/relationships/image" Target="media/b98a2c5d18e6030831356195b9bc8b8e00ca5c22.png"/><Relationship Id="rId21" Type="http://schemas.openxmlformats.org/officeDocument/2006/relationships/image" Target="media/98960d6df5da330c49465525a8d1f401b2e00ad6.png"/><Relationship Id="rId22" Type="http://schemas.openxmlformats.org/officeDocument/2006/relationships/image" Target="media/5f783316f3160ff69805dd64d324e046d14b2444.png"/><Relationship Id="rId23" Type="http://schemas.openxmlformats.org/officeDocument/2006/relationships/image" Target="media/615adc08b2d7696f63a301ceee84de53318731fa.png"/><Relationship Id="rId24" Type="http://schemas.openxmlformats.org/officeDocument/2006/relationships/image" Target="media/aeb0e4d3dcb9acd0ca9ba74bb1f71a66255de7db.png"/><Relationship Id="rId25" Type="http://schemas.openxmlformats.org/officeDocument/2006/relationships/image" Target="media/990edf30b0daf7b0b552b3d42d2ac3db9a74860d.png"/><Relationship Id="rId26" Type="http://schemas.openxmlformats.org/officeDocument/2006/relationships/image" Target="media/15994add2c443a77eba726f5a32c253e25749e50.png"/><Relationship Id="rId27" Type="http://schemas.openxmlformats.org/officeDocument/2006/relationships/image" Target="media/d96184a6103bfecf8bb4d86064d31c4b525681c5.png"/><Relationship Id="rId28" Type="http://schemas.openxmlformats.org/officeDocument/2006/relationships/image" Target="media/5c4f646f9c432643d6408ee28aed5966dbf61770.png"/><Relationship Id="rId29" Type="http://schemas.openxmlformats.org/officeDocument/2006/relationships/image" Target="media/2962d2e6350f7977d8c701af4561cacdf6aa12b0.png"/><Relationship Id="rId30" Type="http://schemas.openxmlformats.org/officeDocument/2006/relationships/image" Target="media/4f91bf0b38c59a91c162b1f55480e0ac96cfa4b9.png"/><Relationship Id="rId31" Type="http://schemas.openxmlformats.org/officeDocument/2006/relationships/image" Target="media/c4cb76c261b0421689352ab829c00643853b32f5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智能投研平台 · 商务技术方案与模块报价书</dc:title>
  <dc:creator>【乙方名称】</dc:creator>
  <dc:description>对标 TryQuant / BigQuant / i问财 的深度调研、复刻路径与超越方案</dc:description>
  <cp:lastModifiedBy>Un-named</cp:lastModifiedBy>
  <cp:revision>1</cp:revision>
  <dcterms:created xsi:type="dcterms:W3CDTF">2026-07-27T17:06:02.122Z</dcterms:created>
  <dcterms:modified xsi:type="dcterms:W3CDTF">2026-07-27T17:06:02.122Z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