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drawing>
          <wp:inline distT="0" distB="0" distL="0" distR="0">
            <wp:extent cx="664845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</w:pPr>
    </w:p>
    <w:tbl>
      <w:tblPr>
        <w:tblW w:type="dxa" w:w="10466"/>
        <w:tblBorders>
          <w:top w:val="single" w:color="00A8D6" w:sz="12"/>
          <w:left w:val="single" w:color="00A8D6" w:sz="6"/>
          <w:bottom w:val="single" w:color="00A8D6" w:sz="6"/>
          <w:right w:val="single" w:color="00A8D6" w:sz="6"/>
          <w:insideH w:val="none" w:color="auto" w:sz="0"/>
          <w:insideV w:val="none" w:color="auto" w:sz="0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shd w:fill="0A1F44" w:color="auto" w:val="clear"/>
            <w:tcMar>
              <w:top w:type="dxa" w:w="420"/>
              <w:left w:type="dxa" w:w="300"/>
              <w:bottom w:type="dxa" w:w="420"/>
              <w:right w:type="dxa" w:w="300"/>
            </w:tcMar>
            <w:vAlign w:val="center"/>
          </w:tcPr>
          <w:p>
            <w:pPr>
              <w:spacing w:after="120" w:before="0" w:line="340"/>
              <w:jc w:val="center"/>
            </w:pPr>
            <w:r>
              <w:rPr>
                <w:rFonts w:ascii="Segoe UI" w:cs="Segoe UI" w:eastAsia="微软雅黑" w:hAnsi="Segoe UI"/>
                <w:b/>
                <w:bCs/>
                <w:color w:val="3ED8FF"/>
                <w:sz w:val="60"/>
                <w:szCs w:val="60"/>
              </w:rPr>
              <w:t xml:space="preserve">AI 智能投研平台</w:t>
            </w:r>
          </w:p>
          <w:p>
            <w:pPr>
              <w:spacing w:after="200" w:before="0" w:line="34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E8C87E"/>
                <w:spacing w:val="40"/>
                <w:sz w:val="26"/>
                <w:szCs w:val="26"/>
              </w:rPr>
              <w:t xml:space="preserve">对标 TryQuant</w:t>
            </w:r>
          </w:p>
          <w:p>
            <w:pPr>
              <w:pBdr>
                <w:bottom w:val="single" w:color="C9A961" w:sz="6" w:space="8"/>
              </w:pBdr>
              <w:spacing w:after="160" w:before="0" w:line="34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0A1F44"/>
                <w:sz w:val="2"/>
                <w:szCs w:val="2"/>
              </w:rPr>
              <w:t xml:space="preserve"/>
            </w:r>
          </w:p>
          <w:p>
            <w:pPr>
              <w:spacing w:after="150" w:before="0" w:line="340"/>
              <w:jc w:val="center"/>
            </w:pPr>
            <w:r>
              <w:rPr>
                <w:rFonts w:ascii="Segoe UI" w:cs="Segoe UI" w:eastAsia="微软雅黑" w:hAnsi="Segoe UI"/>
                <w:b/>
                <w:bCs/>
                <w:color w:val="FFFFFF"/>
                <w:sz w:val="42"/>
                <w:szCs w:val="42"/>
              </w:rPr>
              <w:t xml:space="preserve">深度调研 · 复刻路径 · 超越方案</w:t>
            </w:r>
          </w:p>
          <w:p>
            <w:pPr>
              <w:spacing w:after="150" w:before="0" w:line="34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5CF0DA"/>
                <w:sz w:val="27"/>
                <w:szCs w:val="27"/>
              </w:rPr>
              <w:t xml:space="preserve">境内 A股版　＋　境外 港美股 / 加密版</w:t>
            </w:r>
          </w:p>
          <w:p>
            <w:pPr>
              <w:spacing w:after="0" w:before="0" w:line="34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CFE0F2"/>
                <w:spacing w:val="30"/>
                <w:sz w:val="25"/>
                <w:szCs w:val="25"/>
              </w:rPr>
              <w:t xml:space="preserve">商 务 技 术 方 案 与 模 块 报 价 书</w:t>
            </w:r>
          </w:p>
        </w:tc>
      </w:tr>
    </w:tbl>
    <w:p>
      <w:pPr>
        <w:spacing w:after="900" w:before="0"/>
      </w:pPr>
    </w:p>
    <w:tbl>
      <w:tblPr>
        <w:tblW w:type="dxa" w:w="10466"/>
        <w:tblBorders>
          <w:top w:val="single" w:color="C9A961" w:sz="4"/>
          <w:left w:val="single" w:color="C9A961" w:sz="4"/>
          <w:bottom w:val="single" w:color="C9A961" w:sz="4"/>
          <w:right w:val="single" w:color="C9A961" w:sz="4"/>
          <w:insideH w:val="single" w:color="E4D9BC" w:sz="2"/>
          <w:insideV w:val="single" w:color="E4D9BC" w:sz="2"/>
        </w:tblBorders>
      </w:tblPr>
      <w:tblGrid>
        <w:gridCol w:w="2600"/>
        <w:gridCol w:w="7866"/>
      </w:tblGrid>
      <w:tr>
        <w:trPr>
          <w:cantSplit/>
        </w:trPr>
        <w:tc>
          <w:tcPr>
            <w:tcW w:type="dxa" w:w="2600"/>
            <w:shd w:fill="FBF4E3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委 托 方</w:t>
            </w:r>
          </w:p>
        </w:tc>
        <w:tc>
          <w:tcPr>
            <w:tcW w:type="dxa" w:w="7866"/>
            <w:shd w:fill="FFFFFF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color w:val="0A1F44"/>
                <w:sz w:val="22"/>
                <w:szCs w:val="22"/>
              </w:rPr>
              <w:t xml:space="preserve">【甲方名称】</w:t>
            </w:r>
          </w:p>
        </w:tc>
      </w:tr>
      <w:tr>
        <w:trPr>
          <w:cantSplit/>
        </w:trPr>
        <w:tc>
          <w:tcPr>
            <w:tcW w:type="dxa" w:w="2600"/>
            <w:shd w:fill="FBF4E3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承 制 方</w:t>
            </w:r>
          </w:p>
        </w:tc>
        <w:tc>
          <w:tcPr>
            <w:tcW w:type="dxa" w:w="7866"/>
            <w:shd w:fill="FFFFFF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color w:val="0A1F44"/>
                <w:sz w:val="22"/>
                <w:szCs w:val="22"/>
              </w:rPr>
              <w:t xml:space="preserve">【乙方名称】</w:t>
            </w:r>
          </w:p>
        </w:tc>
      </w:tr>
      <w:tr>
        <w:trPr>
          <w:cantSplit/>
        </w:trPr>
        <w:tc>
          <w:tcPr>
            <w:tcW w:type="dxa" w:w="2600"/>
            <w:shd w:fill="FBF4E3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版　　本</w:t>
            </w:r>
          </w:p>
        </w:tc>
        <w:tc>
          <w:tcPr>
            <w:tcW w:type="dxa" w:w="7866"/>
            <w:shd w:fill="FFFFFF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color w:val="0A1F44"/>
                <w:sz w:val="22"/>
                <w:szCs w:val="22"/>
              </w:rPr>
              <w:t xml:space="preserve">V1.0　　|　　2026 年 7 月</w:t>
            </w:r>
          </w:p>
        </w:tc>
      </w:tr>
    </w:tbl>
    <w:p>
      <w:pPr>
        <w:spacing w:after="900" w:before="0"/>
      </w:pPr>
    </w:p>
    <w:p>
      <w:pPr>
        <w:spacing w:after="0" w:before="0" w:line="340"/>
        <w:jc w:val="center"/>
      </w:pPr>
      <w:r>
        <w:rPr>
          <w:rFonts w:ascii="Segoe UI" w:cs="Segoe UI" w:eastAsia="微软雅黑" w:hAnsi="Segoe UI"/>
          <w:b w:val="false"/>
          <w:bCs w:val="false"/>
          <w:color w:val="9AA8BC"/>
          <w:sz w:val="18"/>
          <w:szCs w:val="18"/>
        </w:rPr>
        <w:t xml:space="preserve">— 机 密 · 仅 供 评 估 使 用 · 未 经 许 可 不 得 外 传 —</w:t>
      </w:r>
    </w:p>
    <w:p>
      <w:pPr>
        <w:pageBreakBefore/>
      </w:pPr>
    </w:p>
    <w:p>
      <w:pPr>
        <w:spacing w:after="90" w:before="120" w:line="400"/>
        <w:jc w:val="center"/>
      </w:pPr>
      <w:r>
        <w:rPr>
          <w:rFonts w:ascii="Segoe UI" w:cs="Segoe UI" w:eastAsia="微软雅黑" w:hAnsi="Segoe UI"/>
          <w:b/>
          <w:bCs/>
          <w:color w:val="0A1F44"/>
          <w:spacing w:val="40"/>
          <w:sz w:val="40"/>
          <w:szCs w:val="40"/>
        </w:rPr>
        <w:t xml:space="preserve">目　　录</w:t>
      </w:r>
    </w:p>
    <w:p>
      <w:pPr>
        <w:pBdr>
          <w:bottom w:val="single" w:color="C9A961" w:sz="10" w:space="8"/>
        </w:pBdr>
        <w:spacing w:after="60" w:before="0" w:line="260"/>
        <w:jc w:val="center"/>
      </w:pPr>
      <w:r>
        <w:rPr>
          <w:rFonts w:ascii="Segoe UI" w:cs="Segoe UI" w:eastAsia="微软雅黑" w:hAnsi="Segoe UI"/>
          <w:color w:val="A8853C"/>
          <w:spacing w:val="90"/>
          <w:sz w:val="18"/>
          <w:szCs w:val="18"/>
        </w:rPr>
        <w:t xml:space="preserve">CONTENTS</w:t>
      </w:r>
    </w:p>
    <w:p>
      <w:pPr>
        <w:spacing w:after="220" w:before="0"/>
      </w:pP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FFFFFF" w:sz="4"/>
          <w:insideV w:val="none" w:color="auto" w:sz="0"/>
        </w:tblBorders>
      </w:tblPr>
      <w:tblGrid>
        <w:gridCol w:w="1100"/>
        <w:gridCol w:w="7600"/>
        <w:gridCol w:w="1766"/>
      </w:tblGrid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0A8D6"/>
                <w:sz w:val="24"/>
                <w:szCs w:val="24"/>
              </w:rPr>
              <w:t xml:space="preserve">01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方案总览与核心结论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00A8D6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本方案要回答的三个问题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核心主张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交付范围与报价摘要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D4AB6"/>
                <w:sz w:val="24"/>
                <w:szCs w:val="24"/>
              </w:rPr>
              <w:t xml:space="preserve">02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深度调研：TryQuant 全解剖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6D4AB6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2.1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调研方法与信息来源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2.2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TryQuant 全解剖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2.3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路演材料、产品文档与实测的三方核对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C9C86"/>
                <w:sz w:val="24"/>
                <w:szCs w:val="24"/>
              </w:rPr>
              <w:t xml:space="preserve">03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市场机会与能力缺口判断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0C9C86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3.1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我们对市场空白的判断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3.2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三个结构性空白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3.3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机会窗口判断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1D4ED8"/>
                <w:sz w:val="24"/>
                <w:szCs w:val="24"/>
              </w:rPr>
              <w:t xml:space="preserve">04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复刻路径：对标能力还原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1D4ED8"/>
                <w:sz w:val="22"/>
                <w:szCs w:val="22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4.1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复刻原则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4.2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能力还原清单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4.3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本次不纳入的能力范围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4.4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复刻的技术实现要点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4.5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复刻部分的工作量说明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C42E77"/>
                <w:sz w:val="24"/>
                <w:szCs w:val="24"/>
              </w:rPr>
              <w:t xml:space="preserve">05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超越方案：四大差异化引擎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C42E77"/>
                <w:sz w:val="22"/>
                <w:szCs w:val="22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总体思路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引擎一：对话式全流程投研闭环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引擎二：舆情情绪聚合引擎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引擎三：AI Agent 策略托管与自动化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5.5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引擎四：B端白标输出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5.6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超越后的能力对比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5.7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典型使用场景剧本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284C7"/>
                <w:sz w:val="24"/>
                <w:szCs w:val="24"/>
              </w:rPr>
              <w:t xml:space="preserve">06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技术架构与双版本设计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0284C7"/>
                <w:sz w:val="22"/>
                <w:szCs w:val="22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6.1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六层技术架构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6.2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双版本设计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6.3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技术栈选型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6.4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关键技术难点与对策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6.5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性能与容量目标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6.6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核心数据模型与接口设计要点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4"/>
                <w:szCs w:val="24"/>
              </w:rPr>
              <w:t xml:space="preserve">07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模块化报价方案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7.1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报价原则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7.2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模块报价明细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7.3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组合方案与推荐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7.4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付款节点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7.5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报价不含项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7.6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第三方成本参考清单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F8F68"/>
                <w:sz w:val="24"/>
                <w:szCs w:val="24"/>
              </w:rPr>
              <w:t xml:space="preserve">08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交付计划与里程碑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0F8F68"/>
                <w:sz w:val="22"/>
                <w:szCs w:val="22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8.1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总体交付计划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8.2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三期交付内容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8.3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验收标准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8.4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项目组织与甲方配合要求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8.5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工作分解与并行策略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B4780C"/>
                <w:sz w:val="24"/>
                <w:szCs w:val="24"/>
              </w:rPr>
              <w:t xml:space="preserve">09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风险控制与产品边界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B4780C"/>
                <w:sz w:val="22"/>
                <w:szCs w:val="22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9.1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产品边界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9.2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舆情采集的技术与法律边界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9.3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AI 输出的合规处理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9.4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风险登记表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100"/>
            <w:shd w:fill="F2F6FB" w:color="auto" w:val="clear"/>
            <w:tcMar>
              <w:top w:type="dxa" w:w="130"/>
              <w:left w:type="dxa" w:w="180"/>
              <w:bottom w:type="dxa" w:w="13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8B5CF6"/>
                <w:sz w:val="24"/>
                <w:szCs w:val="24"/>
              </w:rPr>
              <w:t xml:space="preserve">10</w:t>
            </w:r>
          </w:p>
        </w:tc>
        <w:tc>
          <w:tcPr>
            <w:tcW w:type="dxa" w:w="7600"/>
            <w:shd w:fill="F2F6FB" w:color="auto" w:val="clear"/>
            <w:tcMar>
              <w:top w:type="dxa" w:w="130"/>
              <w:left w:type="dxa" w:w="60"/>
              <w:bottom w:type="dxa" w:w="13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0A1F44"/>
                <w:sz w:val="23"/>
                <w:szCs w:val="23"/>
              </w:rPr>
              <w:t xml:space="preserve">附录与交付清单</w:t>
            </w:r>
          </w:p>
        </w:tc>
        <w:tc>
          <w:tcPr>
            <w:tcW w:type="dxa" w:w="1766"/>
            <w:shd w:fill="F2F6FB" w:color="auto" w:val="clear"/>
            <w:tcMar>
              <w:top w:type="dxa" w:w="130"/>
              <w:left w:type="dxa" w:w="60"/>
              <w:bottom w:type="dxa" w:w="13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color w:val="8B5CF6"/>
                <w:sz w:val="22"/>
                <w:szCs w:val="22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10.1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交付物清单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10.2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关键指标定义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10.3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术语表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10.4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商务条款要点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70"/>
              <w:left w:type="dxa" w:w="420"/>
              <w:bottom w:type="dxa" w:w="70"/>
              <w:right w:type="dxa" w:w="6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/>
                <w:bCs/>
                <w:color w:val="6B7B93"/>
                <w:sz w:val="19"/>
                <w:szCs w:val="19"/>
              </w:rPr>
              <w:t xml:space="preserve">10.5</w:t>
            </w:r>
          </w:p>
        </w:tc>
        <w:tc>
          <w:tcPr>
            <w:tcW w:type="dxa" w:w="7600"/>
            <w:shd w:fill="FFFFFF" w:color="auto" w:val="clear"/>
            <w:tcMar>
              <w:top w:type="dxa" w:w="70"/>
              <w:left w:type="dxa" w:w="6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2C3A50"/>
                <w:sz w:val="19"/>
                <w:szCs w:val="19"/>
              </w:rPr>
              <w:t xml:space="preserve">完整功能清单</w:t>
            </w:r>
          </w:p>
        </w:tc>
        <w:tc>
          <w:tcPr>
            <w:tcW w:type="dxa" w:w="1766"/>
            <w:shd w:fill="FFFFFF" w:color="auto" w:val="clear"/>
            <w:tcMar>
              <w:top w:type="dxa" w:w="70"/>
              <w:left w:type="dxa" w:w="60"/>
              <w:bottom w:type="dxa" w:w="70"/>
              <w:right w:type="dxa" w:w="18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6B7B93"/>
                <w:sz w:val="19"/>
                <w:szCs w:val="19"/>
              </w:rPr>
              <w:t xml:space="preserve">35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00" w:right="720" w:bottom="720" w:left="720" w:header="0" w:footer="0" w:gutter="0"/>
          <w:pgNumType/>
          <w:docGrid w:linePitch="360"/>
        </w:sectPr>
      </w:pPr>
    </w:p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00A8D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1.1  本方案要回答的三个问题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【甲方名称】希望明确三件事：TryQuant 究竟做了什么、我们能否把它复刻出来、以及复刻之后如何形成足以拉开差距的产品力。本方案分别对应给出调研结论、复刻路径与超越设计，并以模块化方式给出可直接进入商务谈判的报价。</w:t>
      </w:r>
    </w:p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single" w:color="FFFFFF" w:sz="8"/>
        </w:tblBorders>
      </w:tblPr>
      <w:tblGrid>
        <w:gridCol w:w="2476"/>
        <w:gridCol w:w="2476"/>
        <w:gridCol w:w="2476"/>
        <w:gridCol w:w="2478"/>
      </w:tblGrid>
      <w:tr>
        <w:trPr>
          <w:cantSplit/>
        </w:trPr>
        <w:tc>
          <w:tcPr>
            <w:tcW w:type="dxa" w:w="2476"/>
            <w:shd w:fill="F2F6FB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24 屏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产品实测拆解</w:t>
            </w:r>
          </w:p>
        </w:tc>
        <w:tc>
          <w:tcPr>
            <w:tcW w:type="dxa" w:w="2476"/>
            <w:shd w:fill="F2F6FB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2 个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交付版本（境内／境外）</w:t>
            </w:r>
          </w:p>
        </w:tc>
        <w:tc>
          <w:tcPr>
            <w:tcW w:type="dxa" w:w="2476"/>
            <w:shd w:fill="F2F6FB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4 大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差异化引擎</w:t>
            </w:r>
          </w:p>
        </w:tc>
        <w:tc>
          <w:tcPr>
            <w:tcW w:type="dxa" w:w="2478"/>
            <w:shd w:fill="F2F6FB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4–5 月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总交付周期</w:t>
            </w:r>
          </w:p>
        </w:tc>
      </w:tr>
    </w:tbl>
    <w:p>
      <w:pPr>
        <w:spacing w:after="12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2"/>
        <w:keepNext/>
        <w:pBdr>
          <w:left w:val="single" w:color="00A8D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1.2  核心主张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我们的判断是：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不做第二个 TryQuant。TryQuant 已经验证了一件事——对话式交互确实能大幅降低金融操作的门槛。但它的 AI 只完成了「解读」，没有完成「验证」：它能告诉用户「这条新闻利好某个板块」，却无法回答「这个判断在历史上的胜率是多少」。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情报与决策之间缺失的，是整个研究验证环节。我们认为真正的机会在于把这一段补上，让用户用一句自然语言跑完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1"/>
          <w:szCs w:val="21"/>
        </w:rPr>
        <w:t xml:space="preserve">「想法 → 因子 → 回测 → 组合 → 监控 → 归因」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的完整研究链路，并且每一步的产出都可审计、可复现、可导出。这是本方案与 TryQuant 最根本的分野，也是我们全部设计的出发点。</w:t>
      </w:r>
    </w:p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C9C86" w:sz="4"/>
          <w:left w:val="single" w:color="0C9C86" w:sz="24"/>
          <w:bottom w:val="single" w:color="0C9C86" w:sz="4"/>
          <w:right w:val="single" w:color="0C9C86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EAF7F1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C9C86"/>
                <w:sz w:val="22"/>
                <w:szCs w:val="22"/>
              </w:rPr>
              <w:t xml:space="preserve">一句话概括本方案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TryQuant 在用「更快地下单」解决问题；我们认为投资者真正稀缺的，是「该买什么、为什么买、风险多大、什么时候错了」。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C9C86"/>
                <w:sz w:val="21"/>
                <w:szCs w:val="21"/>
              </w:rPr>
              <w:t xml:space="preserve">因此本方案把全部资源投入研究与验证能力的建设，做一个能把专业量化研究能力用对话方式交付给普通用户的平台。</w:t>
            </w:r>
          </w:p>
        </w:tc>
      </w:tr>
    </w:tbl>
    <w:p>
      <w:pPr>
        <w:spacing w:after="12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2"/>
        <w:keepNext/>
        <w:pBdr>
          <w:left w:val="single" w:color="00A8D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1.3  交付范围与报价摘要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报价采用模块制，按能力域计价，不按人天计价。整体拆为「共用平台内核 + 超越模块 + 两个地区适配包 + B端白标 + 交付保障」六大块，甲方可按需组合。</w:t>
      </w:r>
    </w:p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869"/>
        <w:gridCol w:w="1912"/>
        <w:gridCol w:w="5561"/>
        <w:gridCol w:w="1564"/>
      </w:tblGrid>
      <w:tr>
        <w:trPr>
          <w:cantSplit/>
          <w:tblHeader/>
        </w:trPr>
        <w:tc>
          <w:tcPr>
            <w:tcW w:type="dxa" w:w="86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代号</w:t>
            </w:r>
          </w:p>
        </w:tc>
        <w:tc>
          <w:tcPr>
            <w:tcW w:type="dxa" w:w="191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模块群</w:t>
            </w:r>
          </w:p>
        </w:tc>
        <w:tc>
          <w:tcPr>
            <w:tcW w:type="dxa" w:w="556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内容概要</w:t>
            </w:r>
          </w:p>
        </w:tc>
        <w:tc>
          <w:tcPr>
            <w:tcW w:type="dxa" w:w="156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报价（万元）</w:t>
            </w:r>
          </w:p>
        </w:tc>
      </w:tr>
      <w:tr>
        <w:trPr>
          <w:cantSplit/>
        </w:trPr>
        <w:tc>
          <w:tcPr>
            <w:tcW w:type="dxa" w:w="8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</w:t>
            </w:r>
          </w:p>
        </w:tc>
        <w:tc>
          <w:tcPr>
            <w:tcW w:type="dxa" w:w="191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19"/>
                <w:szCs w:val="19"/>
              </w:rPr>
              <w:t xml:space="preserve">平台内核</w:t>
            </w:r>
          </w:p>
        </w:tc>
        <w:tc>
          <w:tcPr>
            <w:tcW w:type="dxa" w:w="55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账号、数据中台、AI 对话内核、RAG、图表引擎、基础设施</w:t>
            </w:r>
          </w:p>
        </w:tc>
        <w:tc>
          <w:tcPr>
            <w:tcW w:type="dxa" w:w="15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168</w:t>
            </w:r>
          </w:p>
        </w:tc>
      </w:tr>
      <w:tr>
        <w:trPr>
          <w:cantSplit/>
        </w:trPr>
        <w:tc>
          <w:tcPr>
            <w:tcW w:type="dxa" w:w="8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</w:t>
            </w:r>
          </w:p>
        </w:tc>
        <w:tc>
          <w:tcPr>
            <w:tcW w:type="dxa" w:w="191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19"/>
                <w:szCs w:val="19"/>
              </w:rPr>
              <w:t xml:space="preserve">超越模块</w:t>
            </w:r>
          </w:p>
        </w:tc>
        <w:tc>
          <w:tcPr>
            <w:tcW w:type="dxa" w:w="55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因子引擎、回测归因、舆情引擎、Agent 托管、组合风控</w:t>
            </w:r>
          </w:p>
        </w:tc>
        <w:tc>
          <w:tcPr>
            <w:tcW w:type="dxa" w:w="15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172</w:t>
            </w:r>
          </w:p>
        </w:tc>
      </w:tr>
      <w:tr>
        <w:trPr>
          <w:cantSplit/>
        </w:trPr>
        <w:tc>
          <w:tcPr>
            <w:tcW w:type="dxa" w:w="8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C</w:t>
            </w:r>
          </w:p>
        </w:tc>
        <w:tc>
          <w:tcPr>
            <w:tcW w:type="dxa" w:w="191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19"/>
                <w:szCs w:val="19"/>
              </w:rPr>
              <w:t xml:space="preserve">境内地区包</w:t>
            </w:r>
          </w:p>
        </w:tc>
        <w:tc>
          <w:tcPr>
            <w:tcW w:type="dxa" w:w="55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A股数据源、境内舆情源、境内合规适配</w:t>
            </w:r>
          </w:p>
        </w:tc>
        <w:tc>
          <w:tcPr>
            <w:tcW w:type="dxa" w:w="15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8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D</w:t>
            </w:r>
          </w:p>
        </w:tc>
        <w:tc>
          <w:tcPr>
            <w:tcW w:type="dxa" w:w="191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19"/>
                <w:szCs w:val="19"/>
              </w:rPr>
              <w:t xml:space="preserve">境外地区包</w:t>
            </w:r>
          </w:p>
        </w:tc>
        <w:tc>
          <w:tcPr>
            <w:tcW w:type="dxa" w:w="55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港美股／加密数据源、境外舆情源、境外合规适配</w:t>
            </w:r>
          </w:p>
        </w:tc>
        <w:tc>
          <w:tcPr>
            <w:tcW w:type="dxa" w:w="15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8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E</w:t>
            </w:r>
          </w:p>
        </w:tc>
        <w:tc>
          <w:tcPr>
            <w:tcW w:type="dxa" w:w="191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19"/>
                <w:szCs w:val="19"/>
              </w:rPr>
              <w:t xml:space="preserve">B端白标</w:t>
            </w:r>
          </w:p>
        </w:tc>
        <w:tc>
          <w:tcPr>
            <w:tcW w:type="dxa" w:w="55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多租户隔离、开放 API、白标组件、计量结算</w:t>
            </w:r>
          </w:p>
        </w:tc>
        <w:tc>
          <w:tcPr>
            <w:tcW w:type="dxa" w:w="15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8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</w:t>
            </w:r>
          </w:p>
        </w:tc>
        <w:tc>
          <w:tcPr>
            <w:tcW w:type="dxa" w:w="191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19"/>
                <w:szCs w:val="19"/>
              </w:rPr>
              <w:t xml:space="preserve">交付保障</w:t>
            </w:r>
          </w:p>
        </w:tc>
        <w:tc>
          <w:tcPr>
            <w:tcW w:type="dxa" w:w="55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测试验收、部署上线、文档培训</w:t>
            </w:r>
          </w:p>
        </w:tc>
        <w:tc>
          <w:tcPr>
            <w:tcW w:type="dxa" w:w="15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32</w:t>
            </w:r>
          </w:p>
        </w:tc>
      </w:tr>
    </w:tbl>
    <w:p>
      <w:pPr>
        <w:spacing w:after="10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single" w:color="FFFFFF" w:sz="8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shd w:fill="EAF7F1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32"/>
                <w:szCs w:val="32"/>
              </w:rPr>
              <w:t xml:space="preserve">418 万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组合一 · 境内单区</w:t>
            </w:r>
          </w:p>
        </w:tc>
        <w:tc>
          <w:tcPr>
            <w:tcW w:type="dxa" w:w="3302"/>
            <w:shd w:fill="EAF6FC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462 万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组合二 · 双区全量</w:t>
            </w:r>
          </w:p>
        </w:tc>
        <w:tc>
          <w:tcPr>
            <w:tcW w:type="dxa" w:w="3302"/>
            <w:shd w:fill="FBF4E3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32"/>
                <w:szCs w:val="32"/>
              </w:rPr>
              <w:t xml:space="preserve">500 万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组合三 · 全量含白标</w:t>
            </w:r>
          </w:p>
        </w:tc>
      </w:tr>
    </w:tbl>
    <w:p>
      <w:pPr>
        <w:spacing w:after="9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6B7B93"/>
          <w:sz w:val="19"/>
          <w:szCs w:val="19"/>
        </w:rPr>
        <w:t xml:space="preserve">上述价格为开发交付费用，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B3261E"/>
          <w:sz w:val="19"/>
          <w:szCs w:val="19"/>
        </w:rPr>
        <w:t xml:space="preserve">不含第三方数据源采购、大模型推理费与云资源费用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6B7B93"/>
          <w:sz w:val="19"/>
          <w:szCs w:val="19"/>
        </w:rPr>
        <w:t xml:space="preserve">，该部分由甲方自行采购，第 7.6 节附独立预算清单供参考。本次交付范围为投资研究与信息服务能力，不含交易执行模块。</w:t>
      </w:r>
    </w:p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6D4AB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2.1  调研方法与信息来源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本次调研以 TryQuant 为唯一深度拆解对象。我们据实说明调研口径，避免把推测当成结论。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783"/>
        <w:gridCol w:w="3566"/>
        <w:gridCol w:w="4557"/>
      </w:tblGrid>
      <w:tr>
        <w:trPr>
          <w:cantSplit/>
          <w:tblHeader/>
        </w:trPr>
        <w:tc>
          <w:tcPr>
            <w:tcW w:type="dxa" w:w="17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信息来源</w:t>
            </w:r>
          </w:p>
        </w:tc>
        <w:tc>
          <w:tcPr>
            <w:tcW w:type="dxa" w:w="356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455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7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投资人路演材料</w:t>
            </w:r>
          </w:p>
        </w:tc>
        <w:tc>
          <w:tcPr>
            <w:tcW w:type="dxa" w:w="356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25 页投资人演示文稿（2026 年 4 月）</w:t>
            </w:r>
          </w:p>
        </w:tc>
        <w:tc>
          <w:tcPr>
            <w:tcW w:type="dxa" w:w="455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了解其产品定位、商业模式与融资叙事</w:t>
            </w:r>
          </w:p>
        </w:tc>
      </w:tr>
      <w:tr>
        <w:trPr>
          <w:cantSplit/>
        </w:trPr>
        <w:tc>
          <w:tcPr>
            <w:tcW w:type="dxa" w:w="17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产品需求文档</w:t>
            </w:r>
          </w:p>
        </w:tc>
        <w:tc>
          <w:tcPr>
            <w:tcW w:type="dxa" w:w="356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内部 PRD V1.0（2026 年 7 月）</w:t>
            </w:r>
          </w:p>
        </w:tc>
        <w:tc>
          <w:tcPr>
            <w:tcW w:type="dxa" w:w="455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了解其真实功能优先级与内部风险认知</w:t>
            </w:r>
          </w:p>
        </w:tc>
      </w:tr>
      <w:tr>
        <w:trPr>
          <w:cantSplit/>
        </w:trPr>
        <w:tc>
          <w:tcPr>
            <w:tcW w:type="dxa" w:w="17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产品实测截图</w:t>
            </w:r>
          </w:p>
        </w:tc>
        <w:tc>
          <w:tcPr>
            <w:tcW w:type="dxa" w:w="356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24 屏真实运行界面</w:t>
            </w:r>
          </w:p>
        </w:tc>
        <w:tc>
          <w:tcPr>
            <w:tcW w:type="dxa" w:w="455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本次调研最有价值的部分，全部功能结论以此为准</w:t>
            </w:r>
          </w:p>
        </w:tc>
      </w:tr>
      <w:tr>
        <w:trPr>
          <w:cantSplit/>
        </w:trPr>
        <w:tc>
          <w:tcPr>
            <w:tcW w:type="dxa" w:w="17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公开新闻稿</w:t>
            </w:r>
          </w:p>
        </w:tc>
        <w:tc>
          <w:tcPr>
            <w:tcW w:type="dxa" w:w="356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2026 年 5–6 月对外发布的公开信息</w:t>
            </w:r>
          </w:p>
        </w:tc>
        <w:tc>
          <w:tcPr>
            <w:tcW w:type="dxa" w:w="455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交叉验证其对外口径与内部材料的一致性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4780C" w:sz="4"/>
          <w:left w:val="single" w:color="B4780C" w:sz="24"/>
          <w:bottom w:val="single" w:color="B4780C" w:sz="4"/>
          <w:right w:val="single" w:color="B4780C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FFBEB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22"/>
                <w:szCs w:val="22"/>
              </w:rPr>
              <w:t xml:space="preserve">关于调研边界的说明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TryQuant 官网与应用域名在本次调研环境中处于网络策略限制状态，无法直接访问其线上页面。所有产品能力结论，均基于上述材料交叉验证得出，未使用任何猜测性描述。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凡是材料中未覆盖的部分，本方案不做推断，也不作为设计依据。</w:t>
            </w:r>
          </w:p>
        </w:tc>
      </w:tr>
    </w:tbl>
    <w:p>
      <w:pPr>
        <w:pStyle w:val="Heading2"/>
        <w:keepNext/>
        <w:pBdr>
          <w:left w:val="single" w:color="6D4AB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2.2  TryQuant 全解剖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D4AB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2.2.1  产品定位与融资叙事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TryQuant 对外定位为「金融市场的 AI 界面」（The AI interface for financial markets），主张把金融操作压缩成一个交互模型：ask → confirm → execute。其融资材料显示为 1,000 万美元种子轮、1 亿美元投前估值，产品切入点是「用语音买加密／黄金」这一极易理解的楔子。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其分发设计有三条路径：原生协议直连、连接用户已有交易所账户、以及面向交易所与券商的白标 B2B 嵌入。这个三路径设计是合理的，我们在超越方案中保留并强化了其中的 B2B 路径（见 5.5 节）。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D4AB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2.2.2  实际产品能力：24 屏实测结论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这是本次调研最有价值的部分。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实测截图显示，TryQuant 的真实产品完成度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C9C86"/>
          <w:sz w:val="21"/>
          <w:szCs w:val="21"/>
        </w:rPr>
        <w:t xml:space="preserve">显著高于其路演材料的描述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，但同时也比路演材料激进得多。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754"/>
        <w:gridCol w:w="6191"/>
        <w:gridCol w:w="1961"/>
      </w:tblGrid>
      <w:tr>
        <w:trPr>
          <w:cantSplit/>
          <w:tblHeader/>
        </w:trPr>
        <w:tc>
          <w:tcPr>
            <w:tcW w:type="dxa" w:w="175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能力域</w:t>
            </w:r>
          </w:p>
        </w:tc>
        <w:tc>
          <w:tcPr>
            <w:tcW w:type="dxa" w:w="619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实测所见</w:t>
            </w:r>
          </w:p>
        </w:tc>
        <w:tc>
          <w:tcPr>
            <w:tcW w:type="dxa" w:w="196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评价</w:t>
            </w:r>
          </w:p>
        </w:tc>
      </w:tr>
      <w:tr>
        <w:trPr>
          <w:cantSplit/>
        </w:trPr>
        <w:tc>
          <w:tcPr>
            <w:tcW w:type="dxa" w:w="175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信号聚合</w:t>
            </w:r>
          </w:p>
        </w:tc>
        <w:tc>
          <w:tcPr>
            <w:tcW w:type="dxa" w:w="61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X/Twitter 六大 KOL 信号流 + 7 家以上新闻源 + Trading Groups + AI Radar + Whale Tracker 五个标签页</w:t>
            </w:r>
          </w:p>
        </w:tc>
        <w:tc>
          <w:tcPr>
            <w:tcW w:type="dxa" w:w="19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完成度高</w:t>
            </w:r>
          </w:p>
        </w:tc>
      </w:tr>
      <w:tr>
        <w:trPr>
          <w:cantSplit/>
        </w:trPr>
        <w:tc>
          <w:tcPr>
            <w:tcW w:type="dxa" w:w="175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情报到执行</w:t>
            </w:r>
          </w:p>
        </w:tc>
        <w:tc>
          <w:tcPr>
            <w:tcW w:type="dxa" w:w="61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每条推文／新闻下同时挂载「Ask Quant」（AI 解读）与「Buy XXX」（直接下单）双按钮</w:t>
            </w:r>
          </w:p>
        </w:tc>
        <w:tc>
          <w:tcPr>
            <w:tcW w:type="dxa" w:w="19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闭环设计巧妙</w:t>
            </w:r>
          </w:p>
        </w:tc>
      </w:tr>
      <w:tr>
        <w:trPr>
          <w:cantSplit/>
        </w:trPr>
        <w:tc>
          <w:tcPr>
            <w:tcW w:type="dxa" w:w="175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永续合约</w:t>
            </w:r>
          </w:p>
        </w:tc>
        <w:tc>
          <w:tcPr>
            <w:tcW w:type="dxa" w:w="61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自有品牌 Q-Perps，K线／订单簿／成交明细齐全，最高 40 倍杠杆，全仓逐仓可选，支持市价限价与止盈止损</w:t>
            </w:r>
          </w:p>
        </w:tc>
        <w:tc>
          <w:tcPr>
            <w:tcW w:type="dxa" w:w="19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远超路演描述</w:t>
            </w:r>
          </w:p>
        </w:tc>
      </w:tr>
      <w:tr>
        <w:trPr>
          <w:cantSplit/>
        </w:trPr>
        <w:tc>
          <w:tcPr>
            <w:tcW w:type="dxa" w:w="175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跨资产持仓</w:t>
            </w:r>
          </w:p>
        </w:tc>
        <w:tc>
          <w:tcPr>
            <w:tcW w:type="dxa" w:w="61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同一持仓页同时出现 BTC 与 TSLA、NVDA 的 20 倍全仓杠杆多头</w:t>
            </w:r>
          </w:p>
        </w:tc>
        <w:tc>
          <w:tcPr>
            <w:tcW w:type="dxa" w:w="19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牌照门槛高</w:t>
            </w:r>
          </w:p>
        </w:tc>
      </w:tr>
      <w:tr>
        <w:trPr>
          <w:cantSplit/>
        </w:trPr>
        <w:tc>
          <w:tcPr>
            <w:tcW w:type="dxa" w:w="175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行情发现</w:t>
            </w:r>
          </w:p>
        </w:tc>
        <w:tc>
          <w:tcPr>
            <w:tcW w:type="dxa" w:w="61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Fear &amp; Greed、Altcoin Season、BTC Dominance 指数 + Trending／Tokens／Meme／Stocks／Commodities 五板块</w:t>
            </w:r>
          </w:p>
        </w:tc>
        <w:tc>
          <w:tcPr>
            <w:tcW w:type="dxa" w:w="19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完成度高</w:t>
            </w:r>
          </w:p>
        </w:tc>
      </w:tr>
      <w:tr>
        <w:trPr>
          <w:cantSplit/>
        </w:trPr>
        <w:tc>
          <w:tcPr>
            <w:tcW w:type="dxa" w:w="175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聪明钱追踪</w:t>
            </w:r>
          </w:p>
        </w:tc>
        <w:tc>
          <w:tcPr>
            <w:tcW w:type="dxa" w:w="61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可穿透到具体钱包地址，展示该地址权益规模、24h 盈亏、多空比与开平仓明细</w:t>
            </w:r>
          </w:p>
        </w:tc>
        <w:tc>
          <w:tcPr>
            <w:tcW w:type="dxa" w:w="19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差异化亮点</w:t>
            </w:r>
          </w:p>
        </w:tc>
      </w:tr>
      <w:tr>
        <w:trPr>
          <w:cantSplit/>
        </w:trPr>
        <w:tc>
          <w:tcPr>
            <w:tcW w:type="dxa" w:w="175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自然语言执行</w:t>
            </w:r>
          </w:p>
        </w:tc>
        <w:tc>
          <w:tcPr>
            <w:tcW w:type="dxa" w:w="61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输入 buy BTC → 展示思考过程 → 给出 Spot／Perps 可选路由 → 追问金额与模式 → 结构化确认页</w:t>
            </w:r>
          </w:p>
        </w:tc>
        <w:tc>
          <w:tcPr>
            <w:tcW w:type="dxa" w:w="19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交互值得借鉴</w:t>
            </w:r>
          </w:p>
        </w:tc>
      </w:tr>
      <w:tr>
        <w:trPr>
          <w:cantSplit/>
        </w:trPr>
        <w:tc>
          <w:tcPr>
            <w:tcW w:type="dxa" w:w="175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研究深度</w:t>
            </w:r>
          </w:p>
        </w:tc>
        <w:tc>
          <w:tcPr>
            <w:tcW w:type="dxa" w:w="61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全程未见任何因子构建、策略回测、绩效归因能力</w:t>
            </w:r>
          </w:p>
        </w:tc>
        <w:tc>
          <w:tcPr>
            <w:tcW w:type="dxa" w:w="19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结构性缺失</w:t>
            </w:r>
          </w:p>
        </w:tc>
      </w:tr>
    </w:tbl>
    <w:p>
      <w:pPr>
        <w:spacing w:after="9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3261E" w:sz="4"/>
          <w:left w:val="single" w:color="B3261E" w:sz="24"/>
          <w:bottom w:val="single" w:color="B3261E" w:sz="4"/>
          <w:right w:val="single" w:color="B3261E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EF3F2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2"/>
                <w:szCs w:val="22"/>
              </w:rPr>
              <w:t xml:space="preserve">实测得出的关键结论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TryQuant 的 AI 只做了「解读」，没有做「验证」。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它能告诉用户「这条新闻利好 SOL」，但无法回答「这个判断在历史上胜率是多少」。情报与执行之间缺失了整个研究验证环节——而这恰恰是投资决策中最关键的一环，也是我们超越方案的主攻方向。</w:t>
            </w:r>
          </w:p>
        </w:tc>
      </w:tr>
    </w:tbl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D4AB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2.2.3  商业模式与财务模型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TryQuant 的变现设计为五层：原生协议交易费 35%、B2B 授权 20%、订阅 20%、绩效与数据 15%、出入金 10%。订阅分三档：免费／19.99 美元／49.99 美元每月，用户结构假设为 65%／30%／5%。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其基准财务模型给出 2028 年 2.045 亿美元、2029 年 6.294 亿美元收入，对应用户数 65 万与 200 万，人均年收入 314.68 美元。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3261E" w:sz="4"/>
          <w:left w:val="single" w:color="B3261E" w:sz="24"/>
          <w:bottom w:val="single" w:color="B3261E" w:sz="4"/>
          <w:right w:val="single" w:color="B3261E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EF3F2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2"/>
                <w:szCs w:val="22"/>
              </w:rPr>
              <w:t xml:space="preserve">财务模型的三处内部矛盾（重要）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① 模型是线性外推，没有留存假设。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650,000 × 314.68 = 2.045 亿，2,000,000 × 314.68 = 6.294 亿，两年 ARPU 完全恒定，无流失、无队列衰减、无分层。这不是运营模型，是一个乘法。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② ARPU 口径自相矛盾，偏差 62%。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按其订阅结构测算，订阅年化 ARPU ＝ 0.30×19.99×12 ＋ 0.05×49.99×12 ＝ 101.95 美元；若订阅占收入 20%，隐含总 ARPU 应为 509.75 美元，与模型的 314.68 美元对不上。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③ 战略目标与基准模型相差 6 倍。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战略页称第 12 个月达 100 万 MAU，基准模型同期仅 16 万用户；隐含 ARPU 一个是 60 美元、一个是 314.68 美元，相差 5.2 倍，且未做任何桥接说明。</w:t>
            </w:r>
          </w:p>
        </w:tc>
      </w:tr>
    </w:tbl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这三处矛盾对我们的意义是：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在为【甲方名称】设计商业模型时，必须建立统一的指标口径与队列留存模型，避免重蹈覆辙。我们在第 10.2 节给出了完整的指标定义表，作为交付物的一部分。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D4AB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2.2.4  牵引数据与真实性核验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路演材料（2026 年 4 月）披露：约 6,000 名候补用户、150 名 beta 激活用户、98% 完成至少一次操作、48% 完成钱包充值、48% 完成首笔交易。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需要注意两点。第一，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B3261E"/>
          <w:sz w:val="21"/>
          <w:szCs w:val="21"/>
        </w:rPr>
        <w:t xml:space="preserve">样本仅 150 人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，48% 对应约 72 人，且充值率与首次交易率完全相同（意味着充值用户 100% 交易），数据过于干净，统计噪音极大。第二，其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B4780C"/>
          <w:sz w:val="21"/>
          <w:szCs w:val="21"/>
        </w:rPr>
        <w:t xml:space="preserve">对外新闻稿在 2026 年 5–6 月宣称候补用户已超过 100,000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，与路演材料的 6,000 相差 16 倍，来源与有效性均未披露。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0A8D6" w:sz="4"/>
          <w:left w:val="single" w:color="00A8D6" w:sz="24"/>
          <w:bottom w:val="single" w:color="00A8D6" w:sz="4"/>
          <w:right w:val="single" w:color="00A8D6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4FAFF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22"/>
                <w:szCs w:val="22"/>
              </w:rPr>
              <w:t xml:space="preserve">给【甲方名称】的直接提示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如果本次合作涉及对 TryQuant 的投资、并购或深度绑定，上述数据落差应作为尽调必查项。但若合作目标是自建对标产品（本方案的假设），则该落差只需作为参考，不影响本方案的技术与产品设计。</w:t>
            </w:r>
          </w:p>
        </w:tc>
      </w:tr>
    </w:tbl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D4AB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2.2.5  产品扩张节奏观察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实测发现，TryQuant 的产品扩张速度明显快于其内部文档的规划节奏。这一点值得【甲方名称】在制定自身节奏时参考。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585"/>
        <w:gridCol w:w="4359"/>
        <w:gridCol w:w="3962"/>
      </w:tblGrid>
      <w:tr>
        <w:trPr>
          <w:cantSplit/>
          <w:tblHeader/>
        </w:trPr>
        <w:tc>
          <w:tcPr>
            <w:tcW w:type="dxa" w:w="158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观察项</w:t>
            </w:r>
          </w:p>
        </w:tc>
        <w:tc>
          <w:tcPr>
            <w:tcW w:type="dxa" w:w="435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实测所见</w:t>
            </w:r>
          </w:p>
        </w:tc>
        <w:tc>
          <w:tcPr>
            <w:tcW w:type="dxa" w:w="396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对我们的启发</w:t>
            </w:r>
          </w:p>
        </w:tc>
      </w:tr>
      <w:tr>
        <w:trPr>
          <w:cantSplit/>
        </w:trPr>
        <w:tc>
          <w:tcPr>
            <w:tcW w:type="dxa" w:w="15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杠杆产品</w:t>
            </w:r>
          </w:p>
        </w:tc>
        <w:tc>
          <w:tcPr>
            <w:tcW w:type="dxa" w:w="435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已上线最高 40 倍杠杆的永续合约</w:t>
            </w:r>
          </w:p>
        </w:tc>
        <w:tc>
          <w:tcPr>
            <w:tcW w:type="dxa" w:w="39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此类产品牌照门槛高、用户风险大，本方案不纳入</w:t>
            </w:r>
          </w:p>
        </w:tc>
      </w:tr>
      <w:tr>
        <w:trPr>
          <w:cantSplit/>
        </w:trPr>
        <w:tc>
          <w:tcPr>
            <w:tcW w:type="dxa" w:w="15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代币化股票</w:t>
            </w:r>
          </w:p>
        </w:tc>
        <w:tc>
          <w:tcPr>
            <w:tcW w:type="dxa" w:w="435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对话内可直接完成 USDC 与代币化股票敞口的兑换</w:t>
            </w:r>
          </w:p>
        </w:tc>
        <w:tc>
          <w:tcPr>
            <w:tcW w:type="dxa" w:w="39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涉及证券代币化，监管确定性低，本方案不纳入</w:t>
            </w:r>
          </w:p>
        </w:tc>
      </w:tr>
      <w:tr>
        <w:trPr>
          <w:cantSplit/>
        </w:trPr>
        <w:tc>
          <w:tcPr>
            <w:tcW w:type="dxa" w:w="15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信号与操作的距离</w:t>
            </w:r>
          </w:p>
        </w:tc>
        <w:tc>
          <w:tcPr>
            <w:tcW w:type="dxa" w:w="435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KOL 价格预测展示位下方紧挨买入按钮</w:t>
            </w:r>
          </w:p>
        </w:tc>
        <w:tc>
          <w:tcPr>
            <w:tcW w:type="dxa" w:w="39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内容与操作的边界需要在产品层面明确设计，见第 9.3 节</w:t>
            </w:r>
          </w:p>
        </w:tc>
      </w:tr>
      <w:tr>
        <w:trPr>
          <w:cantSplit/>
        </w:trPr>
        <w:tc>
          <w:tcPr>
            <w:tcW w:type="dxa" w:w="15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安全审计节奏</w:t>
            </w:r>
          </w:p>
        </w:tc>
        <w:tc>
          <w:tcPr>
            <w:tcW w:type="dxa" w:w="435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其文档将外部审计列为发布前置条件，但产品已在处理真实资金</w:t>
            </w:r>
          </w:p>
        </w:tc>
        <w:tc>
          <w:tcPr>
            <w:tcW w:type="dxa" w:w="39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本方案将安全审计设为终验前置条件，见第 8.3 节</w:t>
            </w:r>
          </w:p>
        </w:tc>
      </w:tr>
    </w:tbl>
    <w:p>
      <w:pPr>
        <w:pStyle w:val="Heading2"/>
        <w:keepNext/>
        <w:pBdr>
          <w:left w:val="single" w:color="6D4AB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2.3  路演材料、产品文档与实测的三方核对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我们把 TryQuant 的三份材料逐项对照后发现，三者对同一件事的描述存在系统性差异。这个发现对【甲方名称】有直接价值：它说明在评估任何同类产品时，路演材料的可信度最低。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308"/>
        <w:gridCol w:w="1869"/>
        <w:gridCol w:w="2430"/>
        <w:gridCol w:w="2617"/>
        <w:gridCol w:w="1682"/>
      </w:tblGrid>
      <w:tr>
        <w:trPr>
          <w:cantSplit/>
          <w:tblHeader/>
        </w:trPr>
        <w:tc>
          <w:tcPr>
            <w:tcW w:type="dxa" w:w="130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事项</w:t>
            </w:r>
          </w:p>
        </w:tc>
        <w:tc>
          <w:tcPr>
            <w:tcW w:type="dxa" w:w="186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路演材料（4月）</w:t>
            </w:r>
          </w:p>
        </w:tc>
        <w:tc>
          <w:tcPr>
            <w:tcW w:type="dxa" w:w="243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产品需求文档（7月）</w:t>
            </w:r>
          </w:p>
        </w:tc>
        <w:tc>
          <w:tcPr>
            <w:tcW w:type="dxa" w:w="261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实测截图</w:t>
            </w:r>
          </w:p>
        </w:tc>
        <w:tc>
          <w:tcPr>
            <w:tcW w:type="dxa" w:w="168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判断</w:t>
            </w:r>
          </w:p>
        </w:tc>
      </w:tr>
      <w:tr>
        <w:trPr>
          <w:cantSplit/>
        </w:trPr>
        <w:tc>
          <w:tcPr>
            <w:tcW w:type="dxa" w:w="130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永续合约</w:t>
            </w:r>
          </w:p>
        </w:tc>
        <w:tc>
          <w:tcPr>
            <w:tcW w:type="dxa" w:w="18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in testing</w:t>
            </w:r>
          </w:p>
        </w:tc>
        <w:tc>
          <w:tcPr>
            <w:tcW w:type="dxa" w:w="24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P1 · 测试中</w:t>
            </w:r>
          </w:p>
        </w:tc>
        <w:tc>
          <w:tcPr>
            <w:tcW w:type="dxa" w:w="261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已上线 40 倍杠杆</w:t>
            </w:r>
          </w:p>
        </w:tc>
        <w:tc>
          <w:tcPr>
            <w:tcW w:type="dxa" w:w="16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实测最激进</w:t>
            </w:r>
          </w:p>
        </w:tc>
      </w:tr>
      <w:tr>
        <w:trPr>
          <w:cantSplit/>
        </w:trPr>
        <w:tc>
          <w:tcPr>
            <w:tcW w:type="dxa" w:w="130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代币化股票</w:t>
            </w:r>
          </w:p>
        </w:tc>
        <w:tc>
          <w:tcPr>
            <w:tcW w:type="dxa" w:w="18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列在资产表中</w:t>
            </w:r>
          </w:p>
        </w:tc>
        <w:tc>
          <w:tcPr>
            <w:tcW w:type="dxa" w:w="24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列为待确认事项</w:t>
            </w:r>
          </w:p>
        </w:tc>
        <w:tc>
          <w:tcPr>
            <w:tcW w:type="dxa" w:w="261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已可兑换，相关标的可 20 倍杠杆</w:t>
            </w:r>
          </w:p>
        </w:tc>
        <w:tc>
          <w:tcPr>
            <w:tcW w:type="dxa" w:w="16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文档与实际脱节</w:t>
            </w:r>
          </w:p>
        </w:tc>
      </w:tr>
      <w:tr>
        <w:trPr>
          <w:cantSplit/>
        </w:trPr>
        <w:tc>
          <w:tcPr>
            <w:tcW w:type="dxa" w:w="130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安全审计</w:t>
            </w:r>
          </w:p>
        </w:tc>
        <w:tc>
          <w:tcPr>
            <w:tcW w:type="dxa" w:w="18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计划中</w:t>
            </w:r>
          </w:p>
        </w:tc>
        <w:tc>
          <w:tcPr>
            <w:tcW w:type="dxa" w:w="24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上线前必须完成</w:t>
            </w:r>
          </w:p>
        </w:tc>
        <w:tc>
          <w:tcPr>
            <w:tcW w:type="dxa" w:w="261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明显未完成，但已处理真实资金</w:t>
            </w:r>
          </w:p>
        </w:tc>
        <w:tc>
          <w:tcPr>
            <w:tcW w:type="dxa" w:w="16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重大隐患</w:t>
            </w:r>
          </w:p>
        </w:tc>
      </w:tr>
      <w:tr>
        <w:trPr>
          <w:cantSplit/>
        </w:trPr>
        <w:tc>
          <w:tcPr>
            <w:tcW w:type="dxa" w:w="130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服务地区</w:t>
            </w:r>
          </w:p>
        </w:tc>
        <w:tc>
          <w:tcPr>
            <w:tcW w:type="dxa" w:w="18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未提及</w:t>
            </w:r>
          </w:p>
        </w:tc>
        <w:tc>
          <w:tcPr>
            <w:tcW w:type="dxa" w:w="24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首批服务国家仍待定</w:t>
            </w:r>
          </w:p>
        </w:tc>
        <w:tc>
          <w:tcPr>
            <w:tcW w:type="dxa" w:w="261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已出现中文用户会话</w:t>
            </w:r>
          </w:p>
        </w:tc>
        <w:tc>
          <w:tcPr>
            <w:tcW w:type="dxa" w:w="16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边界不清</w:t>
            </w:r>
          </w:p>
        </w:tc>
      </w:tr>
      <w:tr>
        <w:trPr>
          <w:cantSplit/>
        </w:trPr>
        <w:tc>
          <w:tcPr>
            <w:tcW w:type="dxa" w:w="130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候补用户数</w:t>
            </w:r>
          </w:p>
        </w:tc>
        <w:tc>
          <w:tcPr>
            <w:tcW w:type="dxa" w:w="18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约 6,000</w:t>
            </w:r>
          </w:p>
        </w:tc>
        <w:tc>
          <w:tcPr>
            <w:tcW w:type="dxa" w:w="24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标注为「待核验」</w:t>
            </w:r>
          </w:p>
        </w:tc>
        <w:tc>
          <w:tcPr>
            <w:tcW w:type="dxa" w:w="261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—</w:t>
            </w:r>
          </w:p>
        </w:tc>
        <w:tc>
          <w:tcPr>
            <w:tcW w:type="dxa" w:w="16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文档最诚实</w:t>
            </w:r>
          </w:p>
        </w:tc>
      </w:tr>
      <w:tr>
        <w:trPr>
          <w:cantSplit/>
        </w:trPr>
        <w:tc>
          <w:tcPr>
            <w:tcW w:type="dxa" w:w="130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用户目标</w:t>
            </w:r>
          </w:p>
        </w:tc>
        <w:tc>
          <w:tcPr>
            <w:tcW w:type="dxa" w:w="18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12 个月 100 万 MAU</w:t>
            </w:r>
          </w:p>
        </w:tc>
        <w:tc>
          <w:tcPr>
            <w:tcW w:type="dxa" w:w="24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明确拒绝作为验收指标</w:t>
            </w:r>
          </w:p>
        </w:tc>
        <w:tc>
          <w:tcPr>
            <w:tcW w:type="dxa" w:w="261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—</w:t>
            </w:r>
          </w:p>
        </w:tc>
        <w:tc>
          <w:tcPr>
            <w:tcW w:type="dxa" w:w="16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文档最诚实</w:t>
            </w:r>
          </w:p>
        </w:tc>
      </w:tr>
    </w:tbl>
    <w:p>
      <w:pPr>
        <w:spacing w:after="8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6D4AB6" w:sz="4"/>
          <w:left w:val="single" w:color="6D4AB6" w:sz="24"/>
          <w:bottom w:val="single" w:color="6D4AB6" w:sz="4"/>
          <w:right w:val="single" w:color="6D4AB6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3EEFB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D4AB6"/>
                <w:sz w:val="22"/>
                <w:szCs w:val="22"/>
              </w:rPr>
              <w:t xml:space="preserve">这个核对给我们的三条经验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21"/>
                <w:szCs w:val="21"/>
              </w:rPr>
              <w:t xml:space="preserve">① 产品需求文档比路演材料可信得多。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其内部 PRD 明确写出「未被数据支持的增长目标不作为验收条件」，并把全部牵引数据标为待核验——这是专业的做法，我们在本方案第 10.2 节同样固定了指标定义。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21"/>
                <w:szCs w:val="21"/>
              </w:rPr>
              <w:t xml:space="preserve">② 产品扩张速度可能远超基础建设速度。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三个月内从「测试中」跳到「40 倍杠杆上线」，而安全审计仍未完成。本方案通过分期验收与终验前置条件来控制这类风险累积。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21"/>
                <w:szCs w:val="21"/>
              </w:rPr>
              <w:t xml:space="preserve">③ 内部有人说真话，是产品能活下去的关键。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其 PRD 列出了 10 条「阻止发布」的待确认事项。我们建议【甲方名称】在本项目中同样建立这样的机制，本方案第 8.4 节的甲方配合事项即为此设计。</w:t>
            </w:r>
          </w:p>
        </w:tc>
      </w:tr>
    </w:tbl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0C9C8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3.1  我们对市场空白的判断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把市场上的产品放到「研究深度 × 交互易用性」的二维坐标上，会发现一个明显的空白区。这是我们独立分析后的判断，也是本方案全部设计的立足点。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3-1　能力缺口矩阵：右上象限为尚无成熟产品占领的高价值区域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右上象限——同时具备高研究深度与高交互易用性——目前没有成熟产品占领。这不是因为没人想做，而是因为它同时要求两种通常互斥的能力：足够专业的量化引擎，以及足够低门槛的交互设计。多数产品只能选一边：要么做得专业但只有专业人士会用，要么做得好用但深度不足。</w:t>
      </w:r>
    </w:p>
    <w:p>
      <w:pPr>
        <w:pStyle w:val="Heading2"/>
        <w:keepNext/>
        <w:pBdr>
          <w:left w:val="single" w:color="0C9C8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3.2  三个结构性空白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C9C8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空白一：情报与验证之间的断层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这是 TryQuant 最典型的问题，也是整个品类的通病。产品能聚合海量 KOL 信号与新闻，也能用 AI 解读单条信息，但无法回答「这类信号历史上的胜率是多少」「按这个信号交易的回撤有多大」。信息越多，用户越焦虑，因为没有任何工具帮他判断哪些信息值得行动。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F8F68"/>
          <w:sz w:val="21"/>
          <w:szCs w:val="21"/>
        </w:rPr>
        <w:t xml:space="preserve">我们的填补方式：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把舆情信号直接因子化，纳入回测引擎。用户看到一条信号时，可以一键查看「同类信号过去 24 个月的表现回测」。这是第 5.3 节的核心设计。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C9C8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空白二：专业能力与大众用户之间的断层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专业量化工具的因子库、回测引擎、归因分析在专业性上无可指摘，但普遍要求用户理解 IC、IR、夏普比率、最大回撤、样本外检验等概念，很多还需要编写代码。这把绝大多数投资者挡在门外。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F8F68"/>
          <w:sz w:val="21"/>
          <w:szCs w:val="21"/>
        </w:rPr>
        <w:t xml:space="preserve">我们的填补方式：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用对话把专业能力包起来。用户不需要知道什么是 IC，系统会说「这个因子在过去两年的选股有效性中等偏上，但今年以来明显减弱」。专业结果，白话表达。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C9C8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空白三：筛选与决策之间的断层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条件筛选类工具能在一秒内从数千只股票里筛出符合条件的二十只，但接下来呢？这二十只怎么配权重？组合的风险敞口集中在哪里？如果条件放宽一点结果会怎样？这些问题它们通常都不回答。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F8F68"/>
          <w:sz w:val="21"/>
          <w:szCs w:val="21"/>
        </w:rPr>
        <w:t xml:space="preserve">我们的填补方式：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把筛选结果直接接入组合构建与风险分析。筛选不是终点，而是研究链路的第二步。</w:t>
      </w:r>
    </w:p>
    <w:p>
      <w:pPr>
        <w:pStyle w:val="Heading2"/>
        <w:keepNext/>
        <w:pBdr>
          <w:left w:val="single" w:color="0C9C8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3.3  机会窗口判断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445"/>
        <w:gridCol w:w="1857"/>
        <w:gridCol w:w="6604"/>
      </w:tblGrid>
      <w:tr>
        <w:trPr>
          <w:cantSplit/>
          <w:tblHeader/>
        </w:trPr>
        <w:tc>
          <w:tcPr>
            <w:tcW w:type="dxa" w:w="144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维度</w:t>
            </w:r>
          </w:p>
        </w:tc>
        <w:tc>
          <w:tcPr>
            <w:tcW w:type="dxa" w:w="185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判断</w:t>
            </w:r>
          </w:p>
        </w:tc>
        <w:tc>
          <w:tcPr>
            <w:tcW w:type="dxa" w:w="660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44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技术窗口</w:t>
            </w:r>
          </w:p>
        </w:tc>
        <w:tc>
          <w:tcPr>
            <w:tcW w:type="dxa" w:w="185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已经打开</w:t>
            </w:r>
          </w:p>
        </w:tc>
        <w:tc>
          <w:tcPr>
            <w:tcW w:type="dxa" w:w="660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大模型的金融语义理解与 Function Call 能力在 2025–2026 年已达到可商用水平，两年前做不了这件事</w:t>
            </w:r>
          </w:p>
        </w:tc>
      </w:tr>
      <w:tr>
        <w:trPr>
          <w:cantSplit/>
        </w:trPr>
        <w:tc>
          <w:tcPr>
            <w:tcW w:type="dxa" w:w="144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竞争窗口</w:t>
            </w:r>
          </w:p>
        </w:tc>
        <w:tc>
          <w:tcPr>
            <w:tcW w:type="dxa" w:w="185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尚未关闭</w:t>
            </w:r>
          </w:p>
        </w:tc>
        <w:tc>
          <w:tcPr>
            <w:tcW w:type="dxa" w:w="660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对话式产品普遍缺少量化研究基因，而专业量化平台普遍缺少消费级产品基因，两边都不容易跨过去</w:t>
            </w:r>
          </w:p>
        </w:tc>
      </w:tr>
      <w:tr>
        <w:trPr>
          <w:cantSplit/>
        </w:trPr>
        <w:tc>
          <w:tcPr>
            <w:tcW w:type="dxa" w:w="144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监管窗口</w:t>
            </w:r>
          </w:p>
        </w:tc>
        <w:tc>
          <w:tcPr>
            <w:tcW w:type="dxa" w:w="185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需要谨慎</w:t>
            </w:r>
          </w:p>
        </w:tc>
        <w:tc>
          <w:tcPr>
            <w:tcW w:type="dxa" w:w="660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投研信息服务的监管确定性较高，但 AI 生成内容的标识与投资建议边界仍在收紧</w:t>
            </w:r>
          </w:p>
        </w:tc>
      </w:tr>
      <w:tr>
        <w:trPr>
          <w:cantSplit/>
        </w:trPr>
        <w:tc>
          <w:tcPr>
            <w:tcW w:type="dxa" w:w="144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时间窗口</w:t>
            </w:r>
          </w:p>
        </w:tc>
        <w:tc>
          <w:tcPr>
            <w:tcW w:type="dxa" w:w="185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约 12–18 个月</w:t>
            </w:r>
          </w:p>
        </w:tc>
        <w:tc>
          <w:tcPr>
            <w:tcW w:type="dxa" w:w="660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一旦对话式产品补齐研究层，或专业平台补齐对话层，窗口即关闭。4–5 个月的交付周期正是为此设定</w:t>
            </w:r>
          </w:p>
        </w:tc>
      </w:tr>
    </w:tbl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1D4ED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4.1  复刻原则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复刻不等于全盘照搬。我们对 TryQuant 的每一项能力都做了明确的取舍判断，原则有三条：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1D4ED8"/>
          <w:sz w:val="21"/>
          <w:szCs w:val="21"/>
        </w:rPr>
        <w:t xml:space="preserve">①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凡是提升用户体验、且不涉及金融牌照的能力，完整还原。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1D4ED8"/>
          <w:sz w:val="21"/>
          <w:szCs w:val="21"/>
        </w:rPr>
        <w:t xml:space="preserve">②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凡是 TryQuant 做了但做得浅的能力，还原并做深。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典型如 AI 情报解读——它只解读，我们要做到可回测。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1D4ED8"/>
          <w:sz w:val="21"/>
          <w:szCs w:val="21"/>
        </w:rPr>
        <w:t xml:space="preserve">③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凡是需要交易类牌照才能开展的能力，本次不纳入范围。</w:t>
      </w:r>
    </w:p>
    <w:p>
      <w:pPr>
        <w:pStyle w:val="Heading2"/>
        <w:keepNext/>
        <w:pBdr>
          <w:left w:val="single" w:color="1D4ED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4.2  能力还原清单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4-1　TryQuant 能力还原与取舍对照表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上图中绿色为完整还原、金色为还原并升级、灰色为本次不纳入。可以看到，我们升级的两项恰恰是 TryQuant 最薄弱的两项，而不纳入的两项则是牌照门槛最高的两项。</w:t>
      </w:r>
    </w:p>
    <w:p>
      <w:pPr>
        <w:pStyle w:val="Heading2"/>
        <w:keepNext/>
        <w:pBdr>
          <w:left w:val="single" w:color="1D4ED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4.3  本次不纳入的能力范围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本次交付范围聚焦投资研究与信息服务能力。以下四项属于交易执行类能力，需要相应金融牌照方可开展，因此不在本次范围内，我们为每一项都给出了替代设计。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604"/>
        <w:gridCol w:w="2453"/>
        <w:gridCol w:w="2830"/>
        <w:gridCol w:w="3019"/>
      </w:tblGrid>
      <w:tr>
        <w:trPr>
          <w:cantSplit/>
          <w:tblHeader/>
        </w:trPr>
        <w:tc>
          <w:tcPr>
            <w:tcW w:type="dxa" w:w="160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不纳入的能力</w:t>
            </w:r>
          </w:p>
        </w:tc>
        <w:tc>
          <w:tcPr>
            <w:tcW w:type="dxa" w:w="245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TryQuant 的做法</w:t>
            </w:r>
          </w:p>
        </w:tc>
        <w:tc>
          <w:tcPr>
            <w:tcW w:type="dxa" w:w="283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原因</w:t>
            </w:r>
          </w:p>
        </w:tc>
        <w:tc>
          <w:tcPr>
            <w:tcW w:type="dxa" w:w="301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本方案的替代设计</w:t>
            </w:r>
          </w:p>
        </w:tc>
      </w:tr>
      <w:tr>
        <w:trPr>
          <w:cantSplit/>
        </w:trPr>
        <w:tc>
          <w:tcPr>
            <w:tcW w:type="dxa" w:w="160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永续合约交易</w:t>
            </w:r>
          </w:p>
        </w:tc>
        <w:tc>
          <w:tcPr>
            <w:tcW w:type="dxa" w:w="24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自营 Q-Perps，最高 40 倍杠杆</w:t>
            </w:r>
          </w:p>
        </w:tc>
        <w:tc>
          <w:tcPr>
            <w:tcW w:type="dxa" w:w="28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需衍生品牌照，且杠杆产品对大众用户风险偏高</w:t>
            </w:r>
          </w:p>
        </w:tc>
        <w:tc>
          <w:tcPr>
            <w:tcW w:type="dxa" w:w="3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提供永续合约行情与资金费率数据展示</w:t>
            </w:r>
          </w:p>
        </w:tc>
      </w:tr>
      <w:tr>
        <w:trPr>
          <w:cantSplit/>
        </w:trPr>
        <w:tc>
          <w:tcPr>
            <w:tcW w:type="dxa" w:w="160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一键下单执行</w:t>
            </w:r>
          </w:p>
        </w:tc>
        <w:tc>
          <w:tcPr>
            <w:tcW w:type="dxa" w:w="24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信号／新闻下直接挂 Buy 按钮</w:t>
            </w:r>
          </w:p>
        </w:tc>
        <w:tc>
          <w:tcPr>
            <w:tcW w:type="dxa" w:w="28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构成交易撮合或经纪业务，需相应牌照</w:t>
            </w:r>
          </w:p>
        </w:tc>
        <w:tc>
          <w:tcPr>
            <w:tcW w:type="dxa" w:w="3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提供「加入观察」「加入模拟组合」「导出到券商」三种替代动作</w:t>
            </w:r>
          </w:p>
        </w:tc>
      </w:tr>
      <w:tr>
        <w:trPr>
          <w:cantSplit/>
        </w:trPr>
        <w:tc>
          <w:tcPr>
            <w:tcW w:type="dxa" w:w="160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代币化股票兑换</w:t>
            </w:r>
          </w:p>
        </w:tc>
        <w:tc>
          <w:tcPr>
            <w:tcW w:type="dxa" w:w="24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对话内完成稳定币与代币化股票敞口兑换</w:t>
            </w:r>
          </w:p>
        </w:tc>
        <w:tc>
          <w:tcPr>
            <w:tcW w:type="dxa" w:w="28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涉及证券代币化，多数辖区监管确定性低</w:t>
            </w:r>
          </w:p>
        </w:tc>
        <w:tc>
          <w:tcPr>
            <w:tcW w:type="dxa" w:w="3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境外版提供港美股与加密行情数据分析</w:t>
            </w:r>
          </w:p>
        </w:tc>
      </w:tr>
      <w:tr>
        <w:trPr>
          <w:cantSplit/>
        </w:trPr>
        <w:tc>
          <w:tcPr>
            <w:tcW w:type="dxa" w:w="160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资金托管与钱包</w:t>
            </w:r>
          </w:p>
        </w:tc>
        <w:tc>
          <w:tcPr>
            <w:tcW w:type="dxa" w:w="24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内置钱包、法币入金、余额管理</w:t>
            </w:r>
          </w:p>
        </w:tc>
        <w:tc>
          <w:tcPr>
            <w:tcW w:type="dxa" w:w="28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涉及支付与资金存管资质</w:t>
            </w:r>
          </w:p>
        </w:tc>
        <w:tc>
          <w:tcPr>
            <w:tcW w:type="dxa" w:w="3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支持只读方式接入用户已有账户数据用于组合分析</w:t>
            </w:r>
          </w:p>
        </w:tc>
      </w:tr>
    </w:tbl>
    <w:p>
      <w:pPr>
        <w:spacing w:after="8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需要说明的是，这个取舍对产品定位是有利的。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TryQuant 之所以必须做执行，是因为它的收入结构中交易手续费占 35%。而本方案的商业模式建立在订阅、数据与 B端授权之上，不依赖交易佣金，因此可以把全部资源投入到研究与验证能力上，产品定位反而更聚焦。架构上预留了标准化的持牌机构对接位，后续如需扩展，不需要重构。</w:t>
      </w:r>
    </w:p>
    <w:p>
      <w:pPr>
        <w:pStyle w:val="Heading2"/>
        <w:keepNext/>
        <w:pBdr>
          <w:left w:val="single" w:color="1D4ED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4.4  复刻的技术实现要点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1D4ED8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4.4.1  信号聚合与情报流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TryQuant 的信号页由五个数据通道构成：X/Twitter KOL 流、新闻源、交易群组、AI 雷达、鲸鱼追踪。我们的实现方式是统一抽象为「信号源适配器」模式，每个源实现相同接口（拉取、清洗、去重、打标、入库），新增数据源只需实现适配器而不改动上层。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这个设计在双版本场景下尤为关键：境内版接雪球、东方财富股吧、同花顺社区，境外版接 Reddit、X、StockTwits、Seeking Alpha，上层的信号流展示、筛选、AI 解读逻辑完全复用。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1D4ED8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4.4.2  自然语言到结构化意图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实测截图显示 TryQuant 的处理链路为：用户输入 → 展示思考过程 → 给出可选路由 → 追问缺失参数 → 结构化确认页。这个链路设计是正确的，我们完整保留，但把终点从「下单确认」改为「研究任务确认」。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技术实现采用「金融语义解析层 + Function Call 编排层」双层结构：前者负责把中文金融表达（如「连续三天放量上涨」）映射为可计算的指标组合，后者负责把解析结果编排为对具体引擎（因子、回测、组合）的调用序列。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1D4ED8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4.4.3  行情发现与可视化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Discover 页的市场情绪指标（恐惧贪婪指数、板块轮动、市值占比）与多板块切换是低技术难度、高体验价值的模块，完整还原。境内版替换为 A股适用的情绪指标体系（涨跌停家数、北向资金、两融余额、板块热度等）。</w:t>
      </w:r>
    </w:p>
    <w:p>
      <w:pPr>
        <w:pStyle w:val="Heading2"/>
        <w:keepNext/>
        <w:pBdr>
          <w:left w:val="single" w:color="1D4ED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4.5  复刻部分的工作量说明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复刻部分的能力主要落在报价模块 A（平台内核）与 C／D（地区包）中，不单独计价。这样设计的原因是：复刻能力与超越能力在代码层面高度耦合——例如信号流的适配器框架既服务于复刻的情报聚合，也服务于超越的舆情因子化——强行拆开计价会导致重复报价或口径混乱。</w:t>
      </w:r>
    </w:p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5.1  总体思路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超越不是在功能数量上超过对手，而是在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1"/>
          <w:szCs w:val="21"/>
        </w:rPr>
        <w:t xml:space="preserve">用户完成一件事所需的成本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上形成数量级差距。我们设计了四个相互咬合的差异化引擎，其中引擎一是主轴，其余三个分别放大它在深度、自动化与商业化三个方向上的价值。</w:t>
      </w:r>
    </w:p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2972"/>
        <w:gridCol w:w="2972"/>
        <w:gridCol w:w="2774"/>
        <w:gridCol w:w="1188"/>
      </w:tblGrid>
      <w:tr>
        <w:trPr>
          <w:cantSplit/>
          <w:tblHeader/>
        </w:trPr>
        <w:tc>
          <w:tcPr>
            <w:tcW w:type="dxa" w:w="29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引擎</w:t>
            </w:r>
          </w:p>
        </w:tc>
        <w:tc>
          <w:tcPr>
            <w:tcW w:type="dxa" w:w="29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解决什么问题</w:t>
            </w:r>
          </w:p>
        </w:tc>
        <w:tc>
          <w:tcPr>
            <w:tcW w:type="dxa" w:w="277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现有产品的普遍短板</w:t>
            </w:r>
          </w:p>
        </w:tc>
        <w:tc>
          <w:tcPr>
            <w:tcW w:type="dxa" w:w="118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引擎一　对话式全流程投研闭环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让不懂量化的人也能完成专业级研究</w:t>
            </w:r>
          </w:p>
        </w:tc>
        <w:tc>
          <w:tcPr>
            <w:tcW w:type="dxa" w:w="277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研究链路断裂，无法一站走完</w:t>
            </w:r>
          </w:p>
        </w:tc>
        <w:tc>
          <w:tcPr>
            <w:tcW w:type="dxa" w:w="11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最高</w:t>
            </w:r>
          </w:p>
        </w:tc>
      </w:tr>
      <w:tr>
        <w:trPr>
          <w:cantSplit/>
        </w:trPr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引擎二　舆情情绪聚合引擎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把噪音变成可验证的量化信号</w:t>
            </w:r>
          </w:p>
        </w:tc>
        <w:tc>
          <w:tcPr>
            <w:tcW w:type="dxa" w:w="277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舆情只做展示，不做验证</w:t>
            </w:r>
          </w:p>
        </w:tc>
        <w:tc>
          <w:tcPr>
            <w:tcW w:type="dxa" w:w="118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引擎三　AI Agent 策略托管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把一次性研究变成持续服务</w:t>
            </w:r>
          </w:p>
        </w:tc>
        <w:tc>
          <w:tcPr>
            <w:tcW w:type="dxa" w:w="277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缺少真正的长周期托管能力</w:t>
            </w:r>
          </w:p>
        </w:tc>
        <w:tc>
          <w:tcPr>
            <w:tcW w:type="dxa" w:w="11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中高</w:t>
            </w:r>
          </w:p>
        </w:tc>
      </w:tr>
      <w:tr>
        <w:trPr>
          <w:cantSplit/>
        </w:trPr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引擎四　B端白标输出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打开机构收入曲线</w:t>
            </w:r>
          </w:p>
        </w:tc>
        <w:tc>
          <w:tcPr>
            <w:tcW w:type="dxa" w:w="277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多停留在数据类 API，缺完整能力输出</w:t>
            </w:r>
          </w:p>
        </w:tc>
        <w:tc>
          <w:tcPr>
            <w:tcW w:type="dxa" w:w="118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C9C86"/>
                <w:sz w:val="19"/>
                <w:szCs w:val="19"/>
              </w:rPr>
              <w:t xml:space="preserve">中</w:t>
            </w:r>
          </w:p>
        </w:tc>
      </w:tr>
    </w:tbl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5.2  引擎一：对话式全流程投研闭环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5-1　六步研究链路：全程对话驱动，每步可复核可导出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这是本方案的灵魂。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用户输入一句话——比如「我觉得最近北向资金流入的消费股会跑赢大盘，帮我验证一下」——系统自动完成六步：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991"/>
        <w:gridCol w:w="2972"/>
        <w:gridCol w:w="3962"/>
        <w:gridCol w:w="1981"/>
      </w:tblGrid>
      <w:tr>
        <w:trPr>
          <w:cantSplit/>
          <w:tblHeader/>
        </w:trPr>
        <w:tc>
          <w:tcPr>
            <w:tcW w:type="dxa" w:w="99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29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系统动作</w:t>
            </w:r>
          </w:p>
        </w:tc>
        <w:tc>
          <w:tcPr>
            <w:tcW w:type="dxa" w:w="396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用户看到什么</w:t>
            </w:r>
          </w:p>
        </w:tc>
        <w:tc>
          <w:tcPr>
            <w:tcW w:type="dxa" w:w="198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可审计产出</w:t>
            </w:r>
          </w:p>
        </w:tc>
      </w:tr>
      <w:tr>
        <w:trPr>
          <w:cantSplit/>
        </w:trPr>
        <w:tc>
          <w:tcPr>
            <w:tcW w:type="dxa" w:w="9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① 想法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解析投资假设，识别标的域、时间窗、验证目标</w:t>
            </w:r>
          </w:p>
        </w:tc>
        <w:tc>
          <w:tcPr>
            <w:tcW w:type="dxa" w:w="39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「我理解你想验证：北向资金流入 × 消费板块 × 相对大盘超额收益」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结构化假设卡</w:t>
            </w:r>
          </w:p>
        </w:tc>
      </w:tr>
      <w:tr>
        <w:trPr>
          <w:cantSplit/>
        </w:trPr>
        <w:tc>
          <w:tcPr>
            <w:tcW w:type="dxa" w:w="9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② 因子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从因子库匹配或自动构建因子表达式</w:t>
            </w:r>
          </w:p>
        </w:tc>
        <w:tc>
          <w:tcPr>
            <w:tcW w:type="dxa" w:w="39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「已构建两个因子：北向持股比例变动率、板块相对强度」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因子定义与计算公式</w:t>
            </w:r>
          </w:p>
        </w:tc>
      </w:tr>
      <w:tr>
        <w:trPr>
          <w:cantSplit/>
        </w:trPr>
        <w:tc>
          <w:tcPr>
            <w:tcW w:type="dxa" w:w="9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③ 回测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样本内外分段检验，计算绩效与风险指标</w:t>
            </w:r>
          </w:p>
        </w:tc>
        <w:tc>
          <w:tcPr>
            <w:tcW w:type="dxa" w:w="39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「过去 24 个月年化超额 8.3%，最大回撤 12.1%，今年以来失效」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完整回测报告</w:t>
            </w:r>
          </w:p>
        </w:tc>
      </w:tr>
      <w:tr>
        <w:trPr>
          <w:cantSplit/>
        </w:trPr>
        <w:tc>
          <w:tcPr>
            <w:tcW w:type="dxa" w:w="9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④ 组合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在风险约束下优化权重，给出持仓建议</w:t>
            </w:r>
          </w:p>
        </w:tc>
        <w:tc>
          <w:tcPr>
            <w:tcW w:type="dxa" w:w="39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「按等风险贡献配置，建议 12 只，单票上限 15%」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组合权重表</w:t>
            </w:r>
          </w:p>
        </w:tc>
      </w:tr>
      <w:tr>
        <w:trPr>
          <w:cantSplit/>
        </w:trPr>
        <w:tc>
          <w:tcPr>
            <w:tcW w:type="dxa" w:w="9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⑤ 监控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设定跟踪规则，持续观察信号与风险变化</w:t>
            </w:r>
          </w:p>
        </w:tc>
        <w:tc>
          <w:tcPr>
            <w:tcW w:type="dxa" w:w="39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「已建立监控，触发条件变化时提醒你」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监控规则配置</w:t>
            </w:r>
          </w:p>
        </w:tc>
      </w:tr>
      <w:tr>
        <w:trPr>
          <w:cantSplit/>
        </w:trPr>
        <w:tc>
          <w:tcPr>
            <w:tcW w:type="dxa" w:w="9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⑥ 归因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拆解收益来源，定位有效与失效部分</w:t>
            </w:r>
          </w:p>
        </w:tc>
        <w:tc>
          <w:tcPr>
            <w:tcW w:type="dxa" w:w="39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「超额收益 62% 来自选股、38% 来自行业配置」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归因分析报告</w:t>
            </w:r>
          </w:p>
        </w:tc>
      </w:tr>
    </w:tbl>
    <w:p>
      <w:pPr>
        <w:spacing w:after="9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C42E77" w:sz="4"/>
          <w:left w:val="single" w:color="C42E77" w:sz="24"/>
          <w:bottom w:val="single" w:color="C42E77" w:sz="4"/>
          <w:right w:val="single" w:color="C42E77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DF2F8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22"/>
                <w:szCs w:val="22"/>
              </w:rPr>
              <w:t xml:space="preserve">为什么这一条就足以拉开差距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A1F44"/>
                <w:sz w:val="21"/>
                <w:szCs w:val="21"/>
              </w:rPr>
              <w:t xml:space="preserve">关键在于「一句话」与「90 秒」这两个约束。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同样一个想法，在情报解读类产品上只能得到一段文字说明；在条件筛选类工具上只能得到一份股票名单；在专业量化平台上则需要用户自行定义因子、编写回测代码、调整参数、解读报告，通常要花上数天，而且必须具备量化知识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1"/>
                <w:szCs w:val="21"/>
              </w:rPr>
              <w:t xml:space="preserve">本方案的目标是：90 秒内给出完整的六步结论，且每一步都能追问「为什么」并展开细节。这不是功能多少的差别，是用户能否完成这件事的差别。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5.2.1  关键技术设计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事实与解释严格分离：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所有数值（行情、指标、回测结果）必须来自确定性计算服务，大模型只负责解释，不生成任何数字。这是防止幻觉污染投资决策的根本机制。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每步可复现：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每个研究步骤都记录输入参数、数据版本、计算逻辑与输出结果，用户与监管方都可以完整回溯。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渐进式披露：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默认给白话结论，用户想深入时可逐层展开到因子公式、回测参数、原始数据，专业用户与新手共用一套系统。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三模式互通：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对话模式、可视化模式、代码模式共享同一套引擎与数据模型，用户可在任意环节切换，对话生成的策略可导出为代码继续编辑。</w:t>
      </w:r>
    </w:p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5.3  引擎二：舆情情绪聚合引擎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5-2　四类数据源统一治理，最终沉淀为可回测的情绪因子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按【甲方名称】确认的范围，舆情引擎覆盖四类数据源：境内论坛（雪球、东方财富股吧、同花顺社区）、境外社媒（Reddit、X、StockTwits、Seeking Alpha）、加密原生渠道（KOL 列表、Telegram、Discord）、官方信息源（交易所公告、券商研报、财经媒体）。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5.3.1  与 TryQuant 的本质区别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541"/>
        <w:gridCol w:w="3522"/>
        <w:gridCol w:w="4843"/>
      </w:tblGrid>
      <w:tr>
        <w:trPr>
          <w:cantSplit/>
          <w:tblHeader/>
        </w:trPr>
        <w:tc>
          <w:tcPr>
            <w:tcW w:type="dxa" w:w="154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环节</w:t>
            </w:r>
          </w:p>
        </w:tc>
        <w:tc>
          <w:tcPr>
            <w:tcW w:type="dxa" w:w="352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TryQuant 的做法</w:t>
            </w:r>
          </w:p>
        </w:tc>
        <w:tc>
          <w:tcPr>
            <w:tcW w:type="dxa" w:w="484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本方案的做法</w:t>
            </w:r>
          </w:p>
        </w:tc>
      </w:tr>
      <w:tr>
        <w:trPr>
          <w:cantSplit/>
        </w:trPr>
        <w:tc>
          <w:tcPr>
            <w:tcW w:type="dxa" w:w="154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采集</w:t>
            </w:r>
          </w:p>
        </w:tc>
        <w:tc>
          <w:tcPr>
            <w:tcW w:type="dxa" w:w="35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抓取 KOL 与新闻源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四类源统一适配器，含官方权威源</w:t>
            </w:r>
          </w:p>
        </w:tc>
      </w:tr>
      <w:tr>
        <w:trPr>
          <w:cantSplit/>
        </w:trPr>
        <w:tc>
          <w:tcPr>
            <w:tcW w:type="dxa" w:w="154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处理</w:t>
            </w:r>
          </w:p>
        </w:tc>
        <w:tc>
          <w:tcPr>
            <w:tcW w:type="dxa" w:w="35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去重、展示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情感极性打分 + 实体识别 + 热度聚合 + 可信度加权</w:t>
            </w:r>
          </w:p>
        </w:tc>
      </w:tr>
      <w:tr>
        <w:trPr>
          <w:cantSplit/>
        </w:trPr>
        <w:tc>
          <w:tcPr>
            <w:tcW w:type="dxa" w:w="154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呈现</w:t>
            </w:r>
          </w:p>
        </w:tc>
        <w:tc>
          <w:tcPr>
            <w:tcW w:type="dxa" w:w="35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信号卡片流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信号流 + 热点榜 + 异动预警</w:t>
            </w:r>
          </w:p>
        </w:tc>
      </w:tr>
      <w:tr>
        <w:trPr>
          <w:cantSplit/>
        </w:trPr>
        <w:tc>
          <w:tcPr>
            <w:tcW w:type="dxa" w:w="154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价值转化</w:t>
            </w:r>
          </w:p>
        </w:tc>
        <w:tc>
          <w:tcPr>
            <w:tcW w:type="dxa" w:w="35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止步于「Ask AI 解读单条」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沉淀为情绪因子，直接进入回测引擎验证</w:t>
            </w:r>
          </w:p>
        </w:tc>
      </w:tr>
      <w:tr>
        <w:trPr>
          <w:cantSplit/>
        </w:trPr>
        <w:tc>
          <w:tcPr>
            <w:tcW w:type="dxa" w:w="154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用户收益</w:t>
            </w:r>
          </w:p>
        </w:tc>
        <w:tc>
          <w:tcPr>
            <w:tcW w:type="dxa" w:w="35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知道市场在说什么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知道市场在说的话历史上值不值得信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5.3.2  情绪因子化：本引擎的核心价值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把舆情转化为因子后，用户可以直接问出这类问题并得到有回测支撑的答案：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「雪球上讨论热度突然翻倍的股票，后续一周表现如何？」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「某个 KOL 推荐过的标的，历史胜率是多少？」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「研报密集上调评级后买入，过去三年这个策略赚钱吗？」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C42E7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「Reddit 情绪极端乐观时，是否应该反向操作？」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A8853C" w:sz="4"/>
          <w:left w:val="single" w:color="A8853C" w:sz="24"/>
          <w:bottom w:val="single" w:color="A8853C" w:sz="4"/>
          <w:right w:val="single" w:color="A8853C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BF4E3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2"/>
                <w:szCs w:val="22"/>
              </w:rPr>
              <w:t xml:space="preserve">这是整个方案中商业价值最高的部分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情绪因子是极少数「越用越值钱」的数据资产：平台运行时间越长，积累的舆情历史越厚，因子的统计显著性越强，而这份历史数据是竞争对手无法追溯补齐的。它构成本方案中唯一真正随时间自我加固的护城河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这也是舆情模块在报价中占比最高（52 万，模块 B 中最大单项）的原因——它的工程量确实最大，但它的战略价值同样最高。</w:t>
            </w:r>
          </w:p>
        </w:tc>
      </w:tr>
    </w:tbl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3261E" w:sz="4"/>
          <w:left w:val="single" w:color="B3261E" w:sz="24"/>
          <w:bottom w:val="single" w:color="B3261E" w:sz="4"/>
          <w:right w:val="single" w:color="B3261E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EF3F2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2"/>
                <w:szCs w:val="22"/>
              </w:rPr>
              <w:t xml:space="preserve">重要：采集合规边界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境内主流论坛多数不提供开放 API，数据获取需采用合规采集策略。本方案在第 9.2 节明确了技术实现方式与法律边界，包括 robots 协议遵循、频率控制、内容审核、来源留痕与版权处理，并建议甲方在项目启动前取得法律意见。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该部分的法律风险不由技术方案单方消化，需要甲方法务共同确认采集范围。我们在第 9 章将其列为需甲方决策的前置事项。</w:t>
            </w:r>
          </w:p>
        </w:tc>
      </w:tr>
    </w:tbl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5.4  引擎三：AI Agent 策略托管与自动化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前两个引擎解决的是「一次研究做得好」，这个引擎解决的是「研究持续产生价值」。用户完成一次研究后，可以把结论交给 Agent 托管，Agent 会持续监控、定期复核、主动提醒。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761"/>
        <w:gridCol w:w="5723"/>
        <w:gridCol w:w="2422"/>
      </w:tblGrid>
      <w:tr>
        <w:trPr>
          <w:cantSplit/>
          <w:tblHeader/>
        </w:trPr>
        <w:tc>
          <w:tcPr>
            <w:tcW w:type="dxa" w:w="176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Agent 能力</w:t>
            </w:r>
          </w:p>
        </w:tc>
        <w:tc>
          <w:tcPr>
            <w:tcW w:type="dxa" w:w="572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具体行为</w:t>
            </w:r>
          </w:p>
        </w:tc>
        <w:tc>
          <w:tcPr>
            <w:tcW w:type="dxa" w:w="242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触发方式</w:t>
            </w:r>
          </w:p>
        </w:tc>
      </w:tr>
      <w:tr>
        <w:trPr>
          <w:cantSplit/>
        </w:trPr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持续监控</w:t>
            </w:r>
          </w:p>
        </w:tc>
        <w:tc>
          <w:tcPr>
            <w:tcW w:type="dxa" w:w="57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跟踪已建立的因子、组合与观察池，检测信号强度变化</w:t>
            </w:r>
          </w:p>
        </w:tc>
        <w:tc>
          <w:tcPr>
            <w:tcW w:type="dxa" w:w="24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定时 + 事件驱动</w:t>
            </w:r>
          </w:p>
        </w:tc>
      </w:tr>
      <w:tr>
        <w:trPr>
          <w:cantSplit/>
        </w:trPr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失效预警</w:t>
            </w:r>
          </w:p>
        </w:tc>
        <w:tc>
          <w:tcPr>
            <w:tcW w:type="dxa" w:w="57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当策略在样本外表现显著偏离历史时主动告警</w:t>
            </w:r>
          </w:p>
        </w:tc>
        <w:tc>
          <w:tcPr>
            <w:tcW w:type="dxa" w:w="24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统计显著性阈值</w:t>
            </w:r>
          </w:p>
        </w:tc>
      </w:tr>
      <w:tr>
        <w:trPr>
          <w:cantSplit/>
        </w:trPr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定期复核</w:t>
            </w:r>
          </w:p>
        </w:tc>
        <w:tc>
          <w:tcPr>
            <w:tcW w:type="dxa" w:w="57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按周／月自动重跑回测，输出策略健康度报告</w:t>
            </w:r>
          </w:p>
        </w:tc>
        <w:tc>
          <w:tcPr>
            <w:tcW w:type="dxa" w:w="24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定时任务</w:t>
            </w:r>
          </w:p>
        </w:tc>
      </w:tr>
      <w:tr>
        <w:trPr>
          <w:cantSplit/>
        </w:trPr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调仓建议</w:t>
            </w:r>
          </w:p>
        </w:tc>
        <w:tc>
          <w:tcPr>
            <w:tcW w:type="dxa" w:w="57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在风险约束变化时给出再平衡建议</w:t>
            </w:r>
          </w:p>
        </w:tc>
        <w:tc>
          <w:tcPr>
            <w:tcW w:type="dxa" w:w="24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偏离度阈值</w:t>
            </w:r>
          </w:p>
        </w:tc>
      </w:tr>
      <w:tr>
        <w:trPr>
          <w:cantSplit/>
        </w:trPr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异动捕捉</w:t>
            </w:r>
          </w:p>
        </w:tc>
        <w:tc>
          <w:tcPr>
            <w:tcW w:type="dxa" w:w="57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舆情热度、资金流、公告出现异常时定向推送</w:t>
            </w:r>
          </w:p>
        </w:tc>
        <w:tc>
          <w:tcPr>
            <w:tcW w:type="dxa" w:w="24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多源联合触发</w:t>
            </w:r>
          </w:p>
        </w:tc>
      </w:tr>
      <w:tr>
        <w:trPr>
          <w:cantSplit/>
        </w:trPr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任务编排</w:t>
            </w:r>
          </w:p>
        </w:tc>
        <w:tc>
          <w:tcPr>
            <w:tcW w:type="dxa" w:w="57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用户可用自然语言定义复合监控规则</w:t>
            </w:r>
          </w:p>
        </w:tc>
        <w:tc>
          <w:tcPr>
            <w:tcW w:type="dxa" w:w="24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对话配置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Agent 的输出均为信息型产出：报告、提醒、建议。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任何涉及资金的动作都由用户自行到其券商账户完成，这一点在系统架构层面即已确定。</w:t>
      </w:r>
    </w:p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5.5  引擎四：B端白标输出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前三个引擎构建的能力，本身就是可以对外授权的产品。B端白标把 C端产品力直接转化为机构收入，且估值倍数显著高于 C端订阅收入。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761"/>
        <w:gridCol w:w="3302"/>
        <w:gridCol w:w="2862"/>
        <w:gridCol w:w="1981"/>
      </w:tblGrid>
      <w:tr>
        <w:trPr>
          <w:cantSplit/>
          <w:tblHeader/>
        </w:trPr>
        <w:tc>
          <w:tcPr>
            <w:tcW w:type="dxa" w:w="176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交付形态</w:t>
            </w:r>
          </w:p>
        </w:tc>
        <w:tc>
          <w:tcPr>
            <w:tcW w:type="dxa" w:w="330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适用客户</w:t>
            </w:r>
          </w:p>
        </w:tc>
        <w:tc>
          <w:tcPr>
            <w:tcW w:type="dxa" w:w="286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集成方式</w:t>
            </w:r>
          </w:p>
        </w:tc>
        <w:tc>
          <w:tcPr>
            <w:tcW w:type="dxa" w:w="198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商业模式</w:t>
            </w:r>
          </w:p>
        </w:tc>
      </w:tr>
      <w:tr>
        <w:trPr>
          <w:cantSplit/>
        </w:trPr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开放 API</w:t>
            </w:r>
          </w:p>
        </w:tc>
        <w:tc>
          <w:tcPr>
            <w:tcW w:type="dxa" w:w="33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量化团队、资管机构、金融科技公司</w:t>
            </w:r>
          </w:p>
        </w:tc>
        <w:tc>
          <w:tcPr>
            <w:tcW w:type="dxa" w:w="28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REST／WebSocket 接口调用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按调用量计费</w:t>
            </w:r>
          </w:p>
        </w:tc>
      </w:tr>
      <w:tr>
        <w:trPr>
          <w:cantSplit/>
        </w:trPr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嵌入式组件</w:t>
            </w:r>
          </w:p>
        </w:tc>
        <w:tc>
          <w:tcPr>
            <w:tcW w:type="dxa" w:w="33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券商 App、财富管理平台</w:t>
            </w:r>
          </w:p>
        </w:tc>
        <w:tc>
          <w:tcPr>
            <w:tcW w:type="dxa" w:w="28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iframe／SDK 嵌入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年度授权费</w:t>
            </w:r>
          </w:p>
        </w:tc>
      </w:tr>
      <w:tr>
        <w:trPr>
          <w:cantSplit/>
        </w:trPr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完整白标</w:t>
            </w:r>
          </w:p>
        </w:tc>
        <w:tc>
          <w:tcPr>
            <w:tcW w:type="dxa" w:w="33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中小券商、财富管理机构</w:t>
            </w:r>
          </w:p>
        </w:tc>
        <w:tc>
          <w:tcPr>
            <w:tcW w:type="dxa" w:w="286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独立部署 + 品牌定制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授权费 + 分成</w:t>
            </w:r>
          </w:p>
        </w:tc>
      </w:tr>
      <w:tr>
        <w:trPr>
          <w:cantSplit/>
        </w:trPr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数据服务</w:t>
            </w:r>
          </w:p>
        </w:tc>
        <w:tc>
          <w:tcPr>
            <w:tcW w:type="dxa" w:w="33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研究机构、媒体</w:t>
            </w:r>
          </w:p>
        </w:tc>
        <w:tc>
          <w:tcPr>
            <w:tcW w:type="dxa" w:w="286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情绪因子与热点数据订阅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数据订阅费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技术上通过多租户架构实现：租户数据、密钥、费率、日志完全隔离，任一租户无法访问其他租户数据；同时提供用量计量、服务状态查询与结算数据导出能力，供合作方核对计费依据。</w:t>
      </w:r>
    </w:p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5.6  超越后的能力对比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四大引擎全部落地后，本方案与 TryQuant 的能力对比如下。这张表可以直接用于对外的产品定位说明。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2201"/>
        <w:gridCol w:w="1871"/>
        <w:gridCol w:w="1981"/>
        <w:gridCol w:w="3853"/>
      </w:tblGrid>
      <w:tr>
        <w:trPr>
          <w:cantSplit/>
          <w:tblHeader/>
        </w:trPr>
        <w:tc>
          <w:tcPr>
            <w:tcW w:type="dxa" w:w="22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能力项</w:t>
            </w:r>
          </w:p>
        </w:tc>
        <w:tc>
          <w:tcPr>
            <w:tcW w:type="dxa" w:w="187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TryQuant</w:t>
            </w:r>
          </w:p>
        </w:tc>
        <w:tc>
          <w:tcPr>
            <w:tcW w:type="dxa" w:w="198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本方案</w:t>
            </w:r>
          </w:p>
        </w:tc>
        <w:tc>
          <w:tcPr>
            <w:tcW w:type="dxa" w:w="385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差异说明</w:t>
            </w:r>
          </w:p>
        </w:tc>
      </w:tr>
      <w:tr>
        <w:trPr>
          <w:cantSplit/>
        </w:trPr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自然语言交互</w:t>
            </w:r>
          </w:p>
        </w:tc>
        <w:tc>
          <w:tcPr>
            <w:tcW w:type="dxa" w:w="187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 强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 强</w:t>
            </w:r>
          </w:p>
        </w:tc>
        <w:tc>
          <w:tcPr>
            <w:tcW w:type="dxa" w:w="38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同等水平，交互链路完整保留</w:t>
            </w:r>
          </w:p>
        </w:tc>
      </w:tr>
      <w:tr>
        <w:trPr>
          <w:cantSplit/>
        </w:trPr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语音输入</w:t>
            </w:r>
          </w:p>
        </w:tc>
        <w:tc>
          <w:tcPr>
            <w:tcW w:type="dxa" w:w="187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</w:t>
            </w:r>
          </w:p>
        </w:tc>
        <w:tc>
          <w:tcPr>
            <w:tcW w:type="dxa" w:w="38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完整还原</w:t>
            </w:r>
          </w:p>
        </w:tc>
      </w:tr>
      <w:tr>
        <w:trPr>
          <w:cantSplit/>
        </w:trPr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情报聚合</w:t>
            </w:r>
          </w:p>
        </w:tc>
        <w:tc>
          <w:tcPr>
            <w:tcW w:type="dxa" w:w="187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 强</w:t>
            </w:r>
          </w:p>
        </w:tc>
        <w:tc>
          <w:tcPr>
            <w:tcW w:type="dxa" w:w="38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由两类源扩展为四类源</w:t>
            </w:r>
          </w:p>
        </w:tc>
      </w:tr>
      <w:tr>
        <w:trPr>
          <w:cantSplit/>
        </w:trPr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因子构建</w:t>
            </w:r>
          </w:p>
        </w:tc>
        <w:tc>
          <w:tcPr>
            <w:tcW w:type="dxa" w:w="187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✘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 强</w:t>
            </w:r>
          </w:p>
        </w:tc>
        <w:tc>
          <w:tcPr>
            <w:tcW w:type="dxa" w:w="38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本方案新增能力</w:t>
            </w:r>
          </w:p>
        </w:tc>
      </w:tr>
      <w:tr>
        <w:trPr>
          <w:cantSplit/>
        </w:trPr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策略回测</w:t>
            </w:r>
          </w:p>
        </w:tc>
        <w:tc>
          <w:tcPr>
            <w:tcW w:type="dxa" w:w="187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✘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 强</w:t>
            </w:r>
          </w:p>
        </w:tc>
        <w:tc>
          <w:tcPr>
            <w:tcW w:type="dxa" w:w="38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本方案新增能力</w:t>
            </w:r>
          </w:p>
        </w:tc>
      </w:tr>
      <w:tr>
        <w:trPr>
          <w:cantSplit/>
        </w:trPr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绩效归因</w:t>
            </w:r>
          </w:p>
        </w:tc>
        <w:tc>
          <w:tcPr>
            <w:tcW w:type="dxa" w:w="187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✘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</w:t>
            </w:r>
          </w:p>
        </w:tc>
        <w:tc>
          <w:tcPr>
            <w:tcW w:type="dxa" w:w="38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本方案新增能力</w:t>
            </w:r>
          </w:p>
        </w:tc>
      </w:tr>
      <w:tr>
        <w:trPr>
          <w:cantSplit/>
        </w:trPr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舆情因子化</w:t>
            </w:r>
          </w:p>
        </w:tc>
        <w:tc>
          <w:tcPr>
            <w:tcW w:type="dxa" w:w="187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✘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✔ 独有</w:t>
            </w:r>
          </w:p>
        </w:tc>
        <w:tc>
          <w:tcPr>
            <w:tcW w:type="dxa" w:w="38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核心差异化，可自我加固的数据资产</w:t>
            </w:r>
          </w:p>
        </w:tc>
      </w:tr>
      <w:tr>
        <w:trPr>
          <w:cantSplit/>
        </w:trPr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 托管</w:t>
            </w:r>
          </w:p>
        </w:tc>
        <w:tc>
          <w:tcPr>
            <w:tcW w:type="dxa" w:w="187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✘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✔ 独有</w:t>
            </w:r>
          </w:p>
        </w:tc>
        <w:tc>
          <w:tcPr>
            <w:tcW w:type="dxa" w:w="38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从一次性研究升级为持续服务</w:t>
            </w:r>
          </w:p>
        </w:tc>
      </w:tr>
      <w:tr>
        <w:trPr>
          <w:cantSplit/>
        </w:trPr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组合与风控</w:t>
            </w:r>
          </w:p>
        </w:tc>
        <w:tc>
          <w:tcPr>
            <w:tcW w:type="dxa" w:w="187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△ 弱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✔</w:t>
            </w:r>
          </w:p>
        </w:tc>
        <w:tc>
          <w:tcPr>
            <w:tcW w:type="dxa" w:w="38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含权重优化与风险敞口分析</w:t>
            </w:r>
          </w:p>
        </w:tc>
      </w:tr>
      <w:tr>
        <w:trPr>
          <w:cantSplit/>
        </w:trPr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B端白标</w:t>
            </w:r>
          </w:p>
        </w:tc>
        <w:tc>
          <w:tcPr>
            <w:tcW w:type="dxa" w:w="187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△ 规划中</w:t>
            </w:r>
          </w:p>
        </w:tc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C42E77"/>
                <w:sz w:val="19"/>
                <w:szCs w:val="19"/>
              </w:rPr>
              <w:t xml:space="preserve">✔ 完整</w:t>
            </w:r>
          </w:p>
        </w:tc>
        <w:tc>
          <w:tcPr>
            <w:tcW w:type="dxa" w:w="38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多租户 + API + 可嵌入组件</w:t>
            </w:r>
          </w:p>
        </w:tc>
      </w:tr>
      <w:tr>
        <w:trPr>
          <w:cantSplit/>
        </w:trPr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上手门槛</w:t>
            </w:r>
          </w:p>
        </w:tc>
        <w:tc>
          <w:tcPr>
            <w:tcW w:type="dxa" w:w="187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低</w:t>
            </w:r>
          </w:p>
        </w:tc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低</w:t>
            </w:r>
          </w:p>
        </w:tc>
        <w:tc>
          <w:tcPr>
            <w:tcW w:type="dxa" w:w="38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专业能力用对话包装，门槛不上升</w:t>
            </w:r>
          </w:p>
        </w:tc>
      </w:tr>
    </w:tbl>
    <w:p>
      <w:pPr>
        <w:pStyle w:val="Heading2"/>
        <w:keepNext/>
        <w:pBdr>
          <w:left w:val="single" w:color="C42E7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5.7  典型使用场景剧本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以下三个场景覆盖三类核心用户。每个场景都标注了在对标产品上会发生什么，用于直观说明差距。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场景一：入门投资者 —— 「我听说新能源要涨，是真的吗？」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715"/>
        <w:gridCol w:w="3064"/>
        <w:gridCol w:w="6127"/>
      </w:tblGrid>
      <w:tr>
        <w:trPr>
          <w:cantSplit/>
          <w:tblHeader/>
        </w:trPr>
        <w:tc>
          <w:tcPr>
            <w:tcW w:type="dxa" w:w="71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306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用户操作</w:t>
            </w:r>
          </w:p>
        </w:tc>
        <w:tc>
          <w:tcPr>
            <w:tcW w:type="dxa" w:w="612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系统响应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</w:t>
            </w:r>
          </w:p>
        </w:tc>
        <w:tc>
          <w:tcPr>
            <w:tcW w:type="dxa" w:w="30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输入「我听说新能源要涨，是真的吗」</w:t>
            </w:r>
          </w:p>
        </w:tc>
        <w:tc>
          <w:tcPr>
            <w:tcW w:type="dxa" w:w="61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识别为「板块景气度验证」意图，确认标的范围与时间窗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</w:t>
            </w:r>
          </w:p>
        </w:tc>
        <w:tc>
          <w:tcPr>
            <w:tcW w:type="dxa" w:w="30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确认「近三个月，A股新能源板块」</w:t>
            </w:r>
          </w:p>
        </w:tc>
        <w:tc>
          <w:tcPr>
            <w:tcW w:type="dxa" w:w="61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调取板块行情、资金流、舆情热度、研报评级变化四类数据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</w:t>
            </w:r>
          </w:p>
        </w:tc>
        <w:tc>
          <w:tcPr>
            <w:tcW w:type="dxa" w:w="30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查看结论</w:t>
            </w:r>
          </w:p>
        </w:tc>
        <w:tc>
          <w:tcPr>
            <w:tcW w:type="dxa" w:w="61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「过去三个月板块上涨 12%，但主要由三只权重股贡献；散户舆情热度已达近一年高位，历史上该指标见顶后 20 个交易日平均回撤 6.4%」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</w:t>
            </w:r>
          </w:p>
        </w:tc>
        <w:tc>
          <w:tcPr>
            <w:tcW w:type="dxa" w:w="30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追问「那我该怎么办」</w:t>
            </w:r>
          </w:p>
        </w:tc>
        <w:tc>
          <w:tcPr>
            <w:tcW w:type="dxa" w:w="61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给出信息型分析：估值分位、拥挤度指标、历史类似情形的分布，并明确提示不构成投资建议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</w:t>
            </w:r>
          </w:p>
        </w:tc>
        <w:tc>
          <w:tcPr>
            <w:tcW w:type="dxa" w:w="30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点击「加入观察」</w:t>
            </w:r>
          </w:p>
        </w:tc>
        <w:tc>
          <w:tcPr>
            <w:tcW w:type="dxa" w:w="61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建立监控，舆情热度或资金流出现拐点时提醒</w:t>
            </w:r>
          </w:p>
        </w:tc>
      </w:tr>
    </w:tbl>
    <w:p>
      <w:pPr>
        <w:spacing w:after="5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B7B93"/>
          <w:sz w:val="19"/>
          <w:szCs w:val="19"/>
        </w:rPr>
        <w:t xml:space="preserve">对标产品会怎样：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6B7B93"/>
          <w:sz w:val="19"/>
          <w:szCs w:val="19"/>
        </w:rPr>
        <w:t xml:space="preserve">情报解读类产品会给一段新闻分析，条件筛选类工具会给一批新能源股名单，专业量化平台则需要用户自行编写代码。它们都无法回答「这个热度历史上意味着什么」。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场景二：进阶投资者 —— 「帮我验证一个策略想法」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715"/>
        <w:gridCol w:w="3472"/>
        <w:gridCol w:w="5719"/>
      </w:tblGrid>
      <w:tr>
        <w:trPr>
          <w:cantSplit/>
          <w:tblHeader/>
        </w:trPr>
        <w:tc>
          <w:tcPr>
            <w:tcW w:type="dxa" w:w="71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34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用户操作</w:t>
            </w:r>
          </w:p>
        </w:tc>
        <w:tc>
          <w:tcPr>
            <w:tcW w:type="dxa" w:w="571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系统响应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</w:t>
            </w:r>
          </w:p>
        </w:tc>
        <w:tc>
          <w:tcPr>
            <w:tcW w:type="dxa" w:w="34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「北向资金连续五日净流入且换手率低于板块中位数的股票，买入持有 20 天」</w:t>
            </w:r>
          </w:p>
        </w:tc>
        <w:tc>
          <w:tcPr>
            <w:tcW w:type="dxa" w:w="57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解析为可执行的因子组合与调仓规则，回显确认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</w:t>
            </w:r>
          </w:p>
        </w:tc>
        <w:tc>
          <w:tcPr>
            <w:tcW w:type="dxa" w:w="34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确认参数</w:t>
            </w:r>
          </w:p>
        </w:tc>
        <w:tc>
          <w:tcPr>
            <w:tcW w:type="dxa" w:w="57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构建因子、拉取时点数据、执行样本内外分段回测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</w:t>
            </w:r>
          </w:p>
        </w:tc>
        <w:tc>
          <w:tcPr>
            <w:tcW w:type="dxa" w:w="34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查看回测报告</w:t>
            </w:r>
          </w:p>
        </w:tc>
        <w:tc>
          <w:tcPr>
            <w:tcW w:type="dxa" w:w="57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年化收益、超额收益、最大回撤、夏普、胜率、换手率、分年度表现、与基准对比曲线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</w:t>
            </w:r>
          </w:p>
        </w:tc>
        <w:tc>
          <w:tcPr>
            <w:tcW w:type="dxa" w:w="34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追问「为什么今年失效了」</w:t>
            </w:r>
          </w:p>
        </w:tc>
        <w:tc>
          <w:tcPr>
            <w:tcW w:type="dxa" w:w="57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归因分析：拆解到行业配置与个股选择贡献，指出失效的具体来源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</w:t>
            </w:r>
          </w:p>
        </w:tc>
        <w:tc>
          <w:tcPr>
            <w:tcW w:type="dxa" w:w="34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「把换手率条件放宽到 60 分位再看」</w:t>
            </w:r>
          </w:p>
        </w:tc>
        <w:tc>
          <w:tcPr>
            <w:tcW w:type="dxa" w:w="57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参数调整后重跑，并列展示两版结果差异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6</w:t>
            </w:r>
          </w:p>
        </w:tc>
        <w:tc>
          <w:tcPr>
            <w:tcW w:type="dxa" w:w="34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「交给 Agent 持续跟踪」</w:t>
            </w:r>
          </w:p>
        </w:tc>
        <w:tc>
          <w:tcPr>
            <w:tcW w:type="dxa" w:w="57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建立监控任务，策略表现显著偏离历史时告警</w:t>
            </w:r>
          </w:p>
        </w:tc>
      </w:tr>
    </w:tbl>
    <w:p>
      <w:pPr>
        <w:spacing w:after="5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B7B93"/>
          <w:sz w:val="19"/>
          <w:szCs w:val="19"/>
        </w:rPr>
        <w:t xml:space="preserve">对标产品会怎样：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6B7B93"/>
          <w:sz w:val="19"/>
          <w:szCs w:val="19"/>
        </w:rPr>
        <w:t xml:space="preserve">这套流程目前只有专业量化平台能够完成，但需要用户具备量化知识并花费数日；对话式与筛选类产品则完全无法完成。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C42E7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场景三：机构用户 —— 「把你们的能力嵌进我们的 App」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715"/>
        <w:gridCol w:w="3064"/>
        <w:gridCol w:w="6127"/>
      </w:tblGrid>
      <w:tr>
        <w:trPr>
          <w:cantSplit/>
          <w:tblHeader/>
        </w:trPr>
        <w:tc>
          <w:tcPr>
            <w:tcW w:type="dxa" w:w="71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306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机构操作</w:t>
            </w:r>
          </w:p>
        </w:tc>
        <w:tc>
          <w:tcPr>
            <w:tcW w:type="dxa" w:w="612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系统响应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</w:t>
            </w:r>
          </w:p>
        </w:tc>
        <w:tc>
          <w:tcPr>
            <w:tcW w:type="dxa" w:w="30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申请开通租户</w:t>
            </w:r>
          </w:p>
        </w:tc>
        <w:tc>
          <w:tcPr>
            <w:tcW w:type="dxa" w:w="61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创建独立租户，分配密钥，配置可用能力范围与调用配额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</w:t>
            </w:r>
          </w:p>
        </w:tc>
        <w:tc>
          <w:tcPr>
            <w:tcW w:type="dxa" w:w="30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调用意图解析 API</w:t>
            </w:r>
          </w:p>
        </w:tc>
        <w:tc>
          <w:tcPr>
            <w:tcW w:type="dxa" w:w="61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返回结构化研究意图，机构自行决定后续展示方式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</w:t>
            </w:r>
          </w:p>
        </w:tc>
        <w:tc>
          <w:tcPr>
            <w:tcW w:type="dxa" w:w="30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嵌入研究对话组件</w:t>
            </w:r>
          </w:p>
        </w:tc>
        <w:tc>
          <w:tcPr>
            <w:tcW w:type="dxa" w:w="61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以 SDK／iframe 方式嵌入，支持品牌色、Logo、字体定制</w:t>
            </w:r>
          </w:p>
        </w:tc>
      </w:tr>
      <w:tr>
        <w:trPr>
          <w:cantSplit/>
        </w:trPr>
        <w:tc>
          <w:tcPr>
            <w:tcW w:type="dxa" w:w="7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</w:t>
            </w:r>
          </w:p>
        </w:tc>
        <w:tc>
          <w:tcPr>
            <w:tcW w:type="dxa" w:w="30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查看用量与账单</w:t>
            </w:r>
          </w:p>
        </w:tc>
        <w:tc>
          <w:tcPr>
            <w:tcW w:type="dxa" w:w="61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调用量看板、错误率统计、账单明细与结算数据导出</w:t>
            </w:r>
          </w:p>
        </w:tc>
      </w:tr>
      <w:tr>
        <w:trPr>
          <w:cantSplit/>
        </w:trPr>
        <w:tc>
          <w:tcPr>
            <w:tcW w:type="dxa" w:w="7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</w:t>
            </w:r>
          </w:p>
        </w:tc>
        <w:tc>
          <w:tcPr>
            <w:tcW w:type="dxa" w:w="30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接入自有数据源</w:t>
            </w:r>
          </w:p>
        </w:tc>
        <w:tc>
          <w:tcPr>
            <w:tcW w:type="dxa" w:w="61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通过适配器扩展机制接入机构私有数据，与平台能力联合使用</w:t>
            </w:r>
          </w:p>
        </w:tc>
      </w:tr>
    </w:tbl>
    <w:p>
      <w:pPr>
        <w:spacing w:after="5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6B7B93"/>
          <w:sz w:val="19"/>
          <w:szCs w:val="19"/>
        </w:rPr>
        <w:t xml:space="preserve">对标产品会怎样：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6B7B93"/>
          <w:sz w:val="19"/>
          <w:szCs w:val="19"/>
        </w:rPr>
        <w:t xml:space="preserve">TryQuant 在路演中规划了白标但尚未落地；市面上多数平台仅提供数据类 API，不提供完整的对话式研究能力嵌入。</w:t>
      </w:r>
    </w:p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0284C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6.1  六层技术架构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6-1　六层分层架构：共用内核与地区适配包的关系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981"/>
        <w:gridCol w:w="2972"/>
        <w:gridCol w:w="4953"/>
      </w:tblGrid>
      <w:tr>
        <w:trPr>
          <w:cantSplit/>
          <w:tblHeader/>
        </w:trPr>
        <w:tc>
          <w:tcPr>
            <w:tcW w:type="dxa" w:w="198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层级</w:t>
            </w:r>
          </w:p>
        </w:tc>
        <w:tc>
          <w:tcPr>
            <w:tcW w:type="dxa" w:w="29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职责</w:t>
            </w:r>
          </w:p>
        </w:tc>
        <w:tc>
          <w:tcPr>
            <w:tcW w:type="dxa" w:w="495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关键组件</w:t>
            </w:r>
          </w:p>
        </w:tc>
      </w:tr>
      <w:tr>
        <w:trPr>
          <w:cantSplit/>
        </w:trPr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D4AB6"/>
                <w:sz w:val="19"/>
                <w:szCs w:val="19"/>
              </w:rPr>
              <w:t xml:space="preserve">L6 应用与交付层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面向最终用户与合作方的所有交付形态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Web／PWA、移动端适配、B端白标组件、开放 API</w:t>
            </w:r>
          </w:p>
        </w:tc>
      </w:tr>
      <w:tr>
        <w:trPr>
          <w:cantSplit/>
        </w:trPr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8B5CF6"/>
                <w:sz w:val="19"/>
                <w:szCs w:val="19"/>
              </w:rPr>
              <w:t xml:space="preserve">L5 智能体层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长周期任务的自主编排与持续执行</w:t>
            </w:r>
          </w:p>
        </w:tc>
        <w:tc>
          <w:tcPr>
            <w:tcW w:type="dxa" w:w="49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任务调度器、监控引擎、告警中心、Agent 编排框架</w:t>
            </w:r>
          </w:p>
        </w:tc>
      </w:tr>
      <w:tr>
        <w:trPr>
          <w:cantSplit/>
        </w:trPr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19"/>
                <w:szCs w:val="19"/>
              </w:rPr>
              <w:t xml:space="preserve">L4 AI 内核层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自然语言到系统能力的翻译层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金融语义解析、Function Call 编排、RAG 检索、多轮上下文管理</w:t>
            </w:r>
          </w:p>
        </w:tc>
      </w:tr>
      <w:tr>
        <w:trPr>
          <w:cantSplit/>
        </w:trPr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C9C86"/>
                <w:sz w:val="19"/>
                <w:szCs w:val="19"/>
              </w:rPr>
              <w:t xml:space="preserve">L3 研究引擎层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所有确定性计算，不含任何模型生成内容</w:t>
            </w:r>
          </w:p>
        </w:tc>
        <w:tc>
          <w:tcPr>
            <w:tcW w:type="dxa" w:w="49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因子引擎、回测引擎、归因引擎、组合优化器、风险计算</w:t>
            </w:r>
          </w:p>
        </w:tc>
      </w:tr>
      <w:tr>
        <w:trPr>
          <w:cantSplit/>
        </w:trPr>
        <w:tc>
          <w:tcPr>
            <w:tcW w:type="dxa" w:w="198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1D4ED8"/>
                <w:sz w:val="19"/>
                <w:szCs w:val="19"/>
              </w:rPr>
              <w:t xml:space="preserve">L2 数据中台层</w:t>
            </w:r>
          </w:p>
        </w:tc>
        <w:tc>
          <w:tcPr>
            <w:tcW w:type="dxa" w:w="29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多源数据的统一接入、治理与服务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行情服务、财报库、舆情管道、特征存储、数据质量监控</w:t>
            </w:r>
          </w:p>
        </w:tc>
      </w:tr>
      <w:tr>
        <w:trPr>
          <w:cantSplit/>
        </w:trPr>
        <w:tc>
          <w:tcPr>
            <w:tcW w:type="dxa" w:w="198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L1 基础设施层</w:t>
            </w:r>
          </w:p>
        </w:tc>
        <w:tc>
          <w:tcPr>
            <w:tcW w:type="dxa" w:w="29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运行时与存储底座</w:t>
            </w:r>
          </w:p>
        </w:tc>
        <w:tc>
          <w:tcPr>
            <w:tcW w:type="dxa" w:w="49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K8s、PostgreSQL／TimescaleDB、Redis、向量库、可观测体系</w:t>
            </w:r>
          </w:p>
        </w:tc>
      </w:tr>
      <w:tr>
        <w:trPr>
          <w:cantSplit/>
        </w:trPr>
        <w:tc>
          <w:tcPr>
            <w:tcW w:type="dxa" w:w="1981"/>
            <w:shd w:fill="F5F7FA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L0 交易执行层</w:t>
            </w:r>
          </w:p>
        </w:tc>
        <w:tc>
          <w:tcPr>
            <w:tcW w:type="dxa" w:w="2972"/>
            <w:shd w:fill="F5F7FA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本次不含，预留标准对接位</w:t>
            </w:r>
          </w:p>
        </w:tc>
        <w:tc>
          <w:tcPr>
            <w:tcW w:type="dxa" w:w="4953"/>
            <w:shd w:fill="F5F7FA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接口规范随交付文档提供，后续如需接入由甲方自行选择通道</w:t>
            </w:r>
          </w:p>
        </w:tc>
      </w:tr>
    </w:tbl>
    <w:p>
      <w:pPr>
        <w:spacing w:after="8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3261E" w:sz="4"/>
          <w:left w:val="single" w:color="B3261E" w:sz="24"/>
          <w:bottom w:val="single" w:color="B3261E" w:sz="4"/>
          <w:right w:val="single" w:color="B3261E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EF3F2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2"/>
                <w:szCs w:val="22"/>
              </w:rPr>
              <w:t xml:space="preserve">架构上的一条硬约束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L4（AI 内核）不得直接产出任何数值，L3（研究引擎）不得调用大模型。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这条约束在架构层面强制隔离：所有行情、指标、回测结果、组合权重都由 L3 的确定性代码计算，L4 只能读取 L3 的输出并组织成自然语言。这样即使模型出现幻觉，也无法污染任何一个投资相关的数字。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这是本方案与「直接让大模型分析股票」类产品的根本区别，也是能够通过机构技术审查的前提。</w:t>
            </w:r>
          </w:p>
        </w:tc>
      </w:tr>
    </w:tbl>
    <w:p>
      <w:pPr>
        <w:pStyle w:val="Heading2"/>
        <w:keepNext/>
        <w:pBdr>
          <w:left w:val="single" w:color="0284C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6.2  双版本设计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6-2　一套内核，两个地区包：内核复用率约 78%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境内版与境外版共用 L1–L6 的全部内核代码，差异集中在两处：数据源适配层与合规适配层。这是本方案能在 4–5 个月内交付双版本的关键。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2026"/>
        <w:gridCol w:w="3602"/>
        <w:gridCol w:w="4278"/>
      </w:tblGrid>
      <w:tr>
        <w:trPr>
          <w:cantSplit/>
          <w:tblHeader/>
        </w:trPr>
        <w:tc>
          <w:tcPr>
            <w:tcW w:type="dxa" w:w="202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差异维度</w:t>
            </w:r>
          </w:p>
        </w:tc>
        <w:tc>
          <w:tcPr>
            <w:tcW w:type="dxa" w:w="360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境内版（A股）</w:t>
            </w:r>
          </w:p>
        </w:tc>
        <w:tc>
          <w:tcPr>
            <w:tcW w:type="dxa" w:w="427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境外版（港美股／加密）</w:t>
            </w:r>
          </w:p>
        </w:tc>
      </w:tr>
      <w:tr>
        <w:trPr>
          <w:cantSplit/>
        </w:trPr>
        <w:tc>
          <w:tcPr>
            <w:tcW w:type="dxa" w:w="202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行情数据源</w:t>
            </w:r>
          </w:p>
        </w:tc>
        <w:tc>
          <w:tcPr>
            <w:tcW w:type="dxa" w:w="36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Tushare Pro、AKShare、万得</w:t>
            </w:r>
          </w:p>
        </w:tc>
        <w:tc>
          <w:tcPr>
            <w:tcW w:type="dxa" w:w="427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港美股行情商、加密交易所行情、链上数据</w:t>
            </w:r>
          </w:p>
        </w:tc>
      </w:tr>
      <w:tr>
        <w:trPr>
          <w:cantSplit/>
        </w:trPr>
        <w:tc>
          <w:tcPr>
            <w:tcW w:type="dxa" w:w="202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基本面数据</w:t>
            </w:r>
          </w:p>
        </w:tc>
        <w:tc>
          <w:tcPr>
            <w:tcW w:type="dxa" w:w="36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A股财报、公告、研报</w:t>
            </w:r>
          </w:p>
        </w:tc>
        <w:tc>
          <w:tcPr>
            <w:tcW w:type="dxa" w:w="427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美股财报、SEC 文件、港交所披露易</w:t>
            </w:r>
          </w:p>
        </w:tc>
      </w:tr>
      <w:tr>
        <w:trPr>
          <w:cantSplit/>
        </w:trPr>
        <w:tc>
          <w:tcPr>
            <w:tcW w:type="dxa" w:w="202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舆情数据源</w:t>
            </w:r>
          </w:p>
        </w:tc>
        <w:tc>
          <w:tcPr>
            <w:tcW w:type="dxa" w:w="36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雪球、东方财富股吧、同花顺社区</w:t>
            </w:r>
          </w:p>
        </w:tc>
        <w:tc>
          <w:tcPr>
            <w:tcW w:type="dxa" w:w="427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Reddit、X、StockTwits、Seeking Alpha、Telegram／Discord</w:t>
            </w:r>
          </w:p>
        </w:tc>
      </w:tr>
      <w:tr>
        <w:trPr>
          <w:cantSplit/>
        </w:trPr>
        <w:tc>
          <w:tcPr>
            <w:tcW w:type="dxa" w:w="202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市场情绪指标</w:t>
            </w:r>
          </w:p>
        </w:tc>
        <w:tc>
          <w:tcPr>
            <w:tcW w:type="dxa" w:w="36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涨跌停家数、北向资金、两融余额、板块热度</w:t>
            </w:r>
          </w:p>
        </w:tc>
        <w:tc>
          <w:tcPr>
            <w:tcW w:type="dxa" w:w="427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恐惧贪婪指数、板块轮动、期权 PCR、加密市场指标</w:t>
            </w:r>
          </w:p>
        </w:tc>
      </w:tr>
      <w:tr>
        <w:trPr>
          <w:cantSplit/>
        </w:trPr>
        <w:tc>
          <w:tcPr>
            <w:tcW w:type="dxa" w:w="202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交易日历</w:t>
            </w:r>
          </w:p>
        </w:tc>
        <w:tc>
          <w:tcPr>
            <w:tcW w:type="dxa" w:w="36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沪深交易所日历、涨跌停制度、T+1</w:t>
            </w:r>
          </w:p>
        </w:tc>
        <w:tc>
          <w:tcPr>
            <w:tcW w:type="dxa" w:w="427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美股／港股日历、无涨跌幅限制、T+0</w:t>
            </w:r>
          </w:p>
        </w:tc>
      </w:tr>
      <w:tr>
        <w:trPr>
          <w:cantSplit/>
        </w:trPr>
        <w:tc>
          <w:tcPr>
            <w:tcW w:type="dxa" w:w="202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合规适配</w:t>
            </w:r>
          </w:p>
        </w:tc>
        <w:tc>
          <w:tcPr>
            <w:tcW w:type="dxa" w:w="36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投资者适当性、AI 内容标识、留痕审计、敏感词过滤</w:t>
            </w:r>
          </w:p>
        </w:tc>
        <w:tc>
          <w:tcPr>
            <w:tcW w:type="dxa" w:w="427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地域准入判定、风险披露、隐私合规、免责声明</w:t>
            </w:r>
          </w:p>
        </w:tc>
      </w:tr>
      <w:tr>
        <w:trPr>
          <w:cantSplit/>
        </w:trPr>
        <w:tc>
          <w:tcPr>
            <w:tcW w:type="dxa" w:w="202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语言与本地化</w:t>
            </w:r>
          </w:p>
        </w:tc>
        <w:tc>
          <w:tcPr>
            <w:tcW w:type="dxa" w:w="36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简体中文为主</w:t>
            </w:r>
          </w:p>
        </w:tc>
        <w:tc>
          <w:tcPr>
            <w:tcW w:type="dxa" w:w="427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英文为主，繁中／简中可选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single" w:color="FFFFFF" w:sz="8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shd w:fill="EAF6FC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78%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内核代码复用率</w:t>
            </w:r>
          </w:p>
        </w:tc>
        <w:tc>
          <w:tcPr>
            <w:tcW w:type="dxa" w:w="3302"/>
            <w:shd w:fill="FBF4E3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32"/>
                <w:szCs w:val="32"/>
              </w:rPr>
              <w:t xml:space="preserve">22%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地区差异化代码</w:t>
            </w:r>
          </w:p>
        </w:tc>
        <w:tc>
          <w:tcPr>
            <w:tcW w:type="dxa" w:w="3302"/>
            <w:shd w:fill="EAF7F1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32"/>
                <w:szCs w:val="32"/>
              </w:rPr>
              <w:t xml:space="preserve">2 套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独立合规适配层</w:t>
            </w:r>
          </w:p>
        </w:tc>
      </w:tr>
    </w:tbl>
    <w:p>
      <w:pPr>
        <w:pStyle w:val="Heading2"/>
        <w:keepNext/>
        <w:pBdr>
          <w:left w:val="single" w:color="0284C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6.3  技术栈选型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387"/>
        <w:gridCol w:w="3764"/>
        <w:gridCol w:w="4755"/>
      </w:tblGrid>
      <w:tr>
        <w:trPr>
          <w:cantSplit/>
          <w:tblHeader/>
        </w:trPr>
        <w:tc>
          <w:tcPr>
            <w:tcW w:type="dxa" w:w="138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层次</w:t>
            </w:r>
          </w:p>
        </w:tc>
        <w:tc>
          <w:tcPr>
            <w:tcW w:type="dxa" w:w="376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选型</w:t>
            </w:r>
          </w:p>
        </w:tc>
        <w:tc>
          <w:tcPr>
            <w:tcW w:type="dxa" w:w="475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选型理由</w:t>
            </w:r>
          </w:p>
        </w:tc>
      </w:tr>
      <w:tr>
        <w:trPr>
          <w:cantSplit/>
        </w:trPr>
        <w:tc>
          <w:tcPr>
            <w:tcW w:type="dxa" w:w="13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前端</w:t>
            </w:r>
          </w:p>
        </w:tc>
        <w:tc>
          <w:tcPr>
            <w:tcW w:type="dxa" w:w="3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React + TypeScript + ECharts／TradingView 图表库</w:t>
            </w:r>
          </w:p>
        </w:tc>
        <w:tc>
          <w:tcPr>
            <w:tcW w:type="dxa" w:w="475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生态成熟、金融图表组件完备、便于封装为 B端可嵌入组件</w:t>
            </w:r>
          </w:p>
        </w:tc>
      </w:tr>
      <w:tr>
        <w:trPr>
          <w:cantSplit/>
        </w:trPr>
        <w:tc>
          <w:tcPr>
            <w:tcW w:type="dxa" w:w="13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后端</w:t>
            </w:r>
          </w:p>
        </w:tc>
        <w:tc>
          <w:tcPr>
            <w:tcW w:type="dxa" w:w="3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Python FastAPI（AI 与研究引擎）+ Node.js（网关与实时推送）</w:t>
            </w:r>
          </w:p>
        </w:tc>
        <w:tc>
          <w:tcPr>
            <w:tcW w:type="dxa" w:w="475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Python 生态是量化与 AI 的事实标准，Node 处理高并发实时推送更优</w:t>
            </w:r>
          </w:p>
        </w:tc>
      </w:tr>
      <w:tr>
        <w:trPr>
          <w:cantSplit/>
        </w:trPr>
        <w:tc>
          <w:tcPr>
            <w:tcW w:type="dxa" w:w="13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层</w:t>
            </w:r>
          </w:p>
        </w:tc>
        <w:tc>
          <w:tcPr>
            <w:tcW w:type="dxa" w:w="3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大模型 API + RAG + 向量数据库 + Function Call 编排</w:t>
            </w:r>
          </w:p>
        </w:tc>
        <w:tc>
          <w:tcPr>
            <w:tcW w:type="dxa" w:w="475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遵循甲方自采模型的前提，架构上做模型无关设计，可随时切换供应商</w:t>
            </w:r>
          </w:p>
        </w:tc>
      </w:tr>
      <w:tr>
        <w:trPr>
          <w:cantSplit/>
        </w:trPr>
        <w:tc>
          <w:tcPr>
            <w:tcW w:type="dxa" w:w="13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数据层</w:t>
            </w:r>
          </w:p>
        </w:tc>
        <w:tc>
          <w:tcPr>
            <w:tcW w:type="dxa" w:w="3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PostgreSQL + TimescaleDB（时序）+ Redis（缓存）+ 对象存储</w:t>
            </w:r>
          </w:p>
        </w:tc>
        <w:tc>
          <w:tcPr>
            <w:tcW w:type="dxa" w:w="475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TimescaleDB 对行情类时序数据的压缩与查询性能显著优于通用关系库</w:t>
            </w:r>
          </w:p>
        </w:tc>
      </w:tr>
      <w:tr>
        <w:trPr>
          <w:cantSplit/>
        </w:trPr>
        <w:tc>
          <w:tcPr>
            <w:tcW w:type="dxa" w:w="13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计算层</w:t>
            </w:r>
          </w:p>
        </w:tc>
        <w:tc>
          <w:tcPr>
            <w:tcW w:type="dxa" w:w="3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Pandas／Polars + NumPy，回测引擎自研</w:t>
            </w:r>
          </w:p>
        </w:tc>
        <w:tc>
          <w:tcPr>
            <w:tcW w:type="dxa" w:w="475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自研回测引擎是必要的：开源方案难以同时满足 A股制度约束与对话式调用需求</w:t>
            </w:r>
          </w:p>
        </w:tc>
      </w:tr>
      <w:tr>
        <w:trPr>
          <w:cantSplit/>
        </w:trPr>
        <w:tc>
          <w:tcPr>
            <w:tcW w:type="dxa" w:w="13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部署</w:t>
            </w:r>
          </w:p>
        </w:tc>
        <w:tc>
          <w:tcPr>
            <w:tcW w:type="dxa" w:w="3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Docker + Kubernetes + CI／CD + Prometheus／Grafana</w:t>
            </w:r>
          </w:p>
        </w:tc>
        <w:tc>
          <w:tcPr>
            <w:tcW w:type="dxa" w:w="475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支持境内境外双环境独立部署，满足数据不出境等合规要求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0A8D6" w:sz="4"/>
          <w:left w:val="single" w:color="00A8D6" w:sz="24"/>
          <w:bottom w:val="single" w:color="00A8D6" w:sz="4"/>
          <w:right w:val="single" w:color="00A8D6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4FAFF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22"/>
                <w:szCs w:val="22"/>
              </w:rPr>
              <w:t xml:space="preserve">关于大模型选型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本方案在架构上做模型无关设计：AI 内核层通过统一抽象接口调用模型，更换供应商不影响上层业务代码。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境内版建议采用境内合规大模型服务（需完成算法备案），境外版可采用国际主流模型。具体选型由甲方根据合规要求与成本预算决定，模型推理费用不含在本报价内。</w:t>
            </w:r>
          </w:p>
        </w:tc>
      </w:tr>
    </w:tbl>
    <w:p>
      <w:pPr>
        <w:pStyle w:val="Heading2"/>
        <w:keepNext/>
        <w:pBdr>
          <w:left w:val="single" w:color="0284C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6.4  关键技术难点与对策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660"/>
        <w:gridCol w:w="1887"/>
        <w:gridCol w:w="3774"/>
        <w:gridCol w:w="3585"/>
      </w:tblGrid>
      <w:tr>
        <w:trPr>
          <w:cantSplit/>
          <w:tblHeader/>
        </w:trPr>
        <w:tc>
          <w:tcPr>
            <w:tcW w:type="dxa" w:w="66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8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技术难点</w:t>
            </w:r>
          </w:p>
        </w:tc>
        <w:tc>
          <w:tcPr>
            <w:tcW w:type="dxa" w:w="377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难在哪里</w:t>
            </w:r>
          </w:p>
        </w:tc>
        <w:tc>
          <w:tcPr>
            <w:tcW w:type="dxa" w:w="358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对策</w:t>
            </w:r>
          </w:p>
        </w:tc>
      </w:tr>
      <w:tr>
        <w:trPr>
          <w:cantSplit/>
        </w:trPr>
        <w:tc>
          <w:tcPr>
            <w:tcW w:type="dxa" w:w="66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</w:t>
            </w:r>
          </w:p>
        </w:tc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中文金融语义解析</w:t>
            </w:r>
          </w:p>
        </w:tc>
        <w:tc>
          <w:tcPr>
            <w:tcW w:type="dxa" w:w="377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「连续三天放量上涨」「主力资金净流入」等表达需映射为可计算规则，通用大模型直接解析准确率不足</w:t>
            </w:r>
          </w:p>
        </w:tc>
        <w:tc>
          <w:tcPr>
            <w:tcW w:type="dxa" w:w="35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构建金融语义词典 + 指标规则库 + 时序语义模板，模型负责语义匹配而非规则生成，准确率目标 ≥ 92%</w:t>
            </w:r>
          </w:p>
        </w:tc>
      </w:tr>
      <w:tr>
        <w:trPr>
          <w:cantSplit/>
        </w:trPr>
        <w:tc>
          <w:tcPr>
            <w:tcW w:type="dxa" w:w="66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</w:t>
            </w:r>
          </w:p>
        </w:tc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回测引擎的正确性</w:t>
            </w:r>
          </w:p>
        </w:tc>
        <w:tc>
          <w:tcPr>
            <w:tcW w:type="dxa" w:w="377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未来函数、幸存者偏差、涨跌停不可成交、停牌处理等陷阱极易导致回测结果虚高</w:t>
            </w:r>
          </w:p>
        </w:tc>
        <w:tc>
          <w:tcPr>
            <w:tcW w:type="dxa" w:w="35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严格的时点数据管理（PIT）、交易制度约束内置、样本内外强制分割、与已知基准做交叉验证</w:t>
            </w:r>
          </w:p>
        </w:tc>
      </w:tr>
      <w:tr>
        <w:trPr>
          <w:cantSplit/>
        </w:trPr>
        <w:tc>
          <w:tcPr>
            <w:tcW w:type="dxa" w:w="66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</w:t>
            </w:r>
          </w:p>
        </w:tc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舆情采集稳定性</w:t>
            </w:r>
          </w:p>
        </w:tc>
        <w:tc>
          <w:tcPr>
            <w:tcW w:type="dxa" w:w="377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境内论坛无开放 API，反爬机制持续变化，采集链路易断</w:t>
            </w:r>
          </w:p>
        </w:tc>
        <w:tc>
          <w:tcPr>
            <w:tcW w:type="dxa" w:w="35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适配器模式 + 多通道冗余 + 断点续采 + 采集健康度监控告警；单源失效不影响整体</w:t>
            </w:r>
          </w:p>
        </w:tc>
      </w:tr>
      <w:tr>
        <w:trPr>
          <w:cantSplit/>
        </w:trPr>
        <w:tc>
          <w:tcPr>
            <w:tcW w:type="dxa" w:w="66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</w:t>
            </w:r>
          </w:p>
        </w:tc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大模型幻觉控制</w:t>
            </w:r>
          </w:p>
        </w:tc>
        <w:tc>
          <w:tcPr>
            <w:tcW w:type="dxa" w:w="377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投研场景中任何编造的数字都可能造成实际损失</w:t>
            </w:r>
          </w:p>
        </w:tc>
        <w:tc>
          <w:tcPr>
            <w:tcW w:type="dxa" w:w="35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L3／L4 强制隔离（见 6.1）+ 数值溯源标注 + 关键结论二次校验 + 置信度提示</w:t>
            </w:r>
          </w:p>
        </w:tc>
      </w:tr>
      <w:tr>
        <w:trPr>
          <w:cantSplit/>
        </w:trPr>
        <w:tc>
          <w:tcPr>
            <w:tcW w:type="dxa" w:w="66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</w:t>
            </w:r>
          </w:p>
        </w:tc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实时性与成本平衡</w:t>
            </w:r>
          </w:p>
        </w:tc>
        <w:tc>
          <w:tcPr>
            <w:tcW w:type="dxa" w:w="377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全量实时行情与全量模型推理的成本极高</w:t>
            </w:r>
          </w:p>
        </w:tc>
        <w:tc>
          <w:tcPr>
            <w:tcW w:type="dxa" w:w="35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分层缓存策略、热点数据预计算、模型调用分级（简单意图走小模型）、结果复用</w:t>
            </w:r>
          </w:p>
        </w:tc>
      </w:tr>
      <w:tr>
        <w:trPr>
          <w:cantSplit/>
        </w:trPr>
        <w:tc>
          <w:tcPr>
            <w:tcW w:type="dxa" w:w="66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6</w:t>
            </w:r>
          </w:p>
        </w:tc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双版本一致性</w:t>
            </w:r>
          </w:p>
        </w:tc>
        <w:tc>
          <w:tcPr>
            <w:tcW w:type="dxa" w:w="377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两套数据源、两套合规规则，易产生行为不一致与维护分裂</w:t>
            </w:r>
          </w:p>
        </w:tc>
        <w:tc>
          <w:tcPr>
            <w:tcW w:type="dxa" w:w="35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地区差异全部收敛到适配层配置，内核代码严禁出现地区判断分支；建立双版本自动化回归测试</w:t>
            </w:r>
          </w:p>
        </w:tc>
      </w:tr>
    </w:tbl>
    <w:p>
      <w:pPr>
        <w:pStyle w:val="Heading2"/>
        <w:keepNext/>
        <w:pBdr>
          <w:left w:val="single" w:color="0284C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6.5  性能与容量目标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2642"/>
        <w:gridCol w:w="2201"/>
        <w:gridCol w:w="5063"/>
      </w:tblGrid>
      <w:tr>
        <w:trPr>
          <w:cantSplit/>
          <w:tblHeader/>
        </w:trPr>
        <w:tc>
          <w:tcPr>
            <w:tcW w:type="dxa" w:w="264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22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目标值</w:t>
            </w:r>
          </w:p>
        </w:tc>
        <w:tc>
          <w:tcPr>
            <w:tcW w:type="dxa" w:w="506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6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普通行情查询响应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≤ 2 秒（P95）</w:t>
            </w:r>
          </w:p>
        </w:tc>
        <w:tc>
          <w:tcPr>
            <w:tcW w:type="dxa" w:w="506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首屏数据加载完成时间</w:t>
            </w:r>
          </w:p>
        </w:tc>
      </w:tr>
      <w:tr>
        <w:trPr>
          <w:cantSplit/>
        </w:trPr>
        <w:tc>
          <w:tcPr>
            <w:tcW w:type="dxa" w:w="26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自然语言意图解析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≤ 3 秒（P95）</w:t>
            </w:r>
          </w:p>
        </w:tc>
        <w:tc>
          <w:tcPr>
            <w:tcW w:type="dxa" w:w="506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从提交到返回结构化意图</w:t>
            </w:r>
          </w:p>
        </w:tc>
      </w:tr>
      <w:tr>
        <w:trPr>
          <w:cantSplit/>
        </w:trPr>
        <w:tc>
          <w:tcPr>
            <w:tcW w:type="dxa" w:w="26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简单策略回测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≤ 30 秒</w:t>
            </w:r>
          </w:p>
        </w:tc>
        <w:tc>
          <w:tcPr>
            <w:tcW w:type="dxa" w:w="506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单因子、全市场、3 年周期</w:t>
            </w:r>
          </w:p>
        </w:tc>
      </w:tr>
      <w:tr>
        <w:trPr>
          <w:cantSplit/>
        </w:trPr>
        <w:tc>
          <w:tcPr>
            <w:tcW w:type="dxa" w:w="26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复杂策略回测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≤ 3 分钟</w:t>
            </w:r>
          </w:p>
        </w:tc>
        <w:tc>
          <w:tcPr>
            <w:tcW w:type="dxa" w:w="506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多因子组合、全市场、5 年周期</w:t>
            </w:r>
          </w:p>
        </w:tc>
      </w:tr>
      <w:tr>
        <w:trPr>
          <w:cantSplit/>
        </w:trPr>
        <w:tc>
          <w:tcPr>
            <w:tcW w:type="dxa" w:w="26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舆情数据延迟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≤ 15 分钟</w:t>
            </w:r>
          </w:p>
        </w:tc>
        <w:tc>
          <w:tcPr>
            <w:tcW w:type="dxa" w:w="506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从源站发布到平台可见</w:t>
            </w:r>
          </w:p>
        </w:tc>
      </w:tr>
      <w:tr>
        <w:trPr>
          <w:cantSplit/>
        </w:trPr>
        <w:tc>
          <w:tcPr>
            <w:tcW w:type="dxa" w:w="26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并发在线用户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≥ 5,000</w:t>
            </w:r>
          </w:p>
        </w:tc>
        <w:tc>
          <w:tcPr>
            <w:tcW w:type="dxa" w:w="506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初期容量设计目标，架构支持横向扩展</w:t>
            </w:r>
          </w:p>
        </w:tc>
      </w:tr>
      <w:tr>
        <w:trPr>
          <w:cantSplit/>
        </w:trPr>
        <w:tc>
          <w:tcPr>
            <w:tcW w:type="dxa" w:w="26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系统可用性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≥ 99.5%</w:t>
            </w:r>
          </w:p>
        </w:tc>
        <w:tc>
          <w:tcPr>
            <w:tcW w:type="dxa" w:w="506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交易时段内，不含第三方数据源故障</w:t>
            </w:r>
          </w:p>
        </w:tc>
      </w:tr>
    </w:tbl>
    <w:p>
      <w:pPr>
        <w:pStyle w:val="Heading2"/>
        <w:keepNext/>
        <w:pBdr>
          <w:left w:val="single" w:color="0284C7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6.6  核心数据模型与接口设计要点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284C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6.6.1  核心数据域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475"/>
        <w:gridCol w:w="4637"/>
        <w:gridCol w:w="1897"/>
        <w:gridCol w:w="1897"/>
      </w:tblGrid>
      <w:tr>
        <w:trPr>
          <w:cantSplit/>
          <w:tblHeader/>
        </w:trPr>
        <w:tc>
          <w:tcPr>
            <w:tcW w:type="dxa" w:w="147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数据域</w:t>
            </w:r>
          </w:p>
        </w:tc>
        <w:tc>
          <w:tcPr>
            <w:tcW w:type="dxa" w:w="463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主要实体</w:t>
            </w:r>
          </w:p>
        </w:tc>
        <w:tc>
          <w:tcPr>
            <w:tcW w:type="dxa" w:w="189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更新频率</w:t>
            </w:r>
          </w:p>
        </w:tc>
        <w:tc>
          <w:tcPr>
            <w:tcW w:type="dxa" w:w="189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存储选型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行情域</w:t>
            </w:r>
          </w:p>
        </w:tc>
        <w:tc>
          <w:tcPr>
            <w:tcW w:type="dxa" w:w="46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标的基础信息、日线／分钟线、复权因子、交易日历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实时／日终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TimescaleDB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基本面域</w:t>
            </w:r>
          </w:p>
        </w:tc>
        <w:tc>
          <w:tcPr>
            <w:tcW w:type="dxa" w:w="46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财务报表、财务指标、股本结构、分红送配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季度／事件驱动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PostgreSQL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资金域</w:t>
            </w:r>
          </w:p>
        </w:tc>
        <w:tc>
          <w:tcPr>
            <w:tcW w:type="dxa" w:w="46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资金流向、融资融券、北向持股、大宗交易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日终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TimescaleDB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舆情域</w:t>
            </w:r>
          </w:p>
        </w:tc>
        <w:tc>
          <w:tcPr>
            <w:tcW w:type="dxa" w:w="46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原始信号、情感标签、实体关联、热度时序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近实时（≤15 分钟）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PostgreSQL + 向量库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因子域</w:t>
            </w:r>
          </w:p>
        </w:tc>
        <w:tc>
          <w:tcPr>
            <w:tcW w:type="dxa" w:w="46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因子定义、因子值时序、因子绩效指标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日终批量计算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TimescaleDB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研究域</w:t>
            </w:r>
          </w:p>
        </w:tc>
        <w:tc>
          <w:tcPr>
            <w:tcW w:type="dxa" w:w="46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研究任务、回测记录、组合定义、归因结果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用户触发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PostgreSQL + 对象存储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用户域</w:t>
            </w:r>
          </w:p>
        </w:tc>
        <w:tc>
          <w:tcPr>
            <w:tcW w:type="dxa" w:w="46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账户、权限、订阅、适当性评级、操作审计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实时</w:t>
            </w:r>
          </w:p>
        </w:tc>
        <w:tc>
          <w:tcPr>
            <w:tcW w:type="dxa" w:w="189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PostgreSQL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租户域</w:t>
            </w:r>
          </w:p>
        </w:tc>
        <w:tc>
          <w:tcPr>
            <w:tcW w:type="dxa" w:w="46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租户配置、密钥、配额、用量计量、账单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实时</w:t>
            </w:r>
          </w:p>
        </w:tc>
        <w:tc>
          <w:tcPr>
            <w:tcW w:type="dxa" w:w="189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PostgreSQL</w:t>
            </w:r>
          </w:p>
        </w:tc>
      </w:tr>
    </w:tbl>
    <w:p>
      <w:pPr>
        <w:spacing w:after="7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284C7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6.6.2  接口设计原则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0284C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研究任务异步化：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回测等耗时操作采用任务提交 + 状态轮询／推送模式，避免长连接阻塞，同时支持任务取消与优先级调度。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0284C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结果可寻址：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每个研究产出（因子、回测、组合、归因）都有稳定 ID，可被引用、分享、二次加工与导出。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0284C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数据版本化：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每次计算记录所用数据的版本快照，保证同一任务在任何时间重跑都能得到相同结果。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0284C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幂等与重试：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所有写操作支持幂等键，网络抖动或客户端重试不会产生重复记录。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0284C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租户强隔离：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租户 ID 作为强制查询条件在数据访问层统一注入，杜绝越权访问的可能。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0284C7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向前兼容：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接口采用版本化路径，新增字段不破坏既有调用方，废弃字段保留至少两个版本周期。</w:t>
      </w:r>
    </w:p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A8853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7.1  报价原则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1"/>
          <w:szCs w:val="21"/>
        </w:rPr>
        <w:t xml:space="preserve">①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按模块计价，不按人天计价。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交付的是可验收的能力，不是工时。每个模块都有明确的功能边界与验收标准，甲方为结果付费。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1"/>
          <w:szCs w:val="21"/>
        </w:rPr>
        <w:t xml:space="preserve">②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模块可拆可组。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甲方可只购买境内版，后续再追加境外包或 B端白标，价格不变，不因分期采购而加价。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1"/>
          <w:szCs w:val="21"/>
        </w:rPr>
        <w:t xml:space="preserve">③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本次范围为投资研究与信息服务能力。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交易执行类能力不在交付与报价范围内，详见 7.5 节。</w:t>
      </w:r>
    </w:p>
    <w:p>
      <w:pPr>
        <w:spacing w:after="70" w:before="30" w:line="300"/>
        <w:ind w:left="400" w:hanging="260"/>
        <w:jc w:val="both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1"/>
          <w:szCs w:val="21"/>
        </w:rPr>
        <w:t xml:space="preserve">④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第三方成本不含在内。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数据源采购、大模型推理、云资源由甲方自行采购，我方提供预算清单与选型建议，详见 7.6 节。</w:t>
      </w:r>
    </w:p>
    <w:p>
      <w:pPr>
        <w:pStyle w:val="Heading2"/>
        <w:keepNext/>
        <w:pBdr>
          <w:left w:val="single" w:color="A8853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7.2  模块报价明细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A　平台内核（共用，一次性投入）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800"/>
        <w:gridCol w:w="2201"/>
        <w:gridCol w:w="5403"/>
        <w:gridCol w:w="1502"/>
      </w:tblGrid>
      <w:tr>
        <w:trPr>
          <w:cantSplit/>
          <w:tblHeader/>
        </w:trPr>
        <w:tc>
          <w:tcPr>
            <w:tcW w:type="dxa" w:w="80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代号</w:t>
            </w:r>
          </w:p>
        </w:tc>
        <w:tc>
          <w:tcPr>
            <w:tcW w:type="dxa" w:w="22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540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核心交付内容</w:t>
            </w:r>
          </w:p>
        </w:tc>
        <w:tc>
          <w:tcPr>
            <w:tcW w:type="dxa" w:w="150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报价（万元）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A1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账号与权限中台</w:t>
            </w:r>
          </w:p>
        </w:tc>
        <w:tc>
          <w:tcPr>
            <w:tcW w:type="dxa" w:w="54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多方式登录、会话管理、角色权限、密钥隔离、操作审计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A2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数据中台与行情引擎</w:t>
            </w:r>
          </w:p>
        </w:tc>
        <w:tc>
          <w:tcPr>
            <w:tcW w:type="dxa" w:w="54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多源接入框架、实时行情订阅、历史数据存储、数据质量监控、特征存储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A3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对话式 AI 内核</w:t>
            </w:r>
          </w:p>
        </w:tc>
        <w:tc>
          <w:tcPr>
            <w:tcW w:type="dxa" w:w="54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金融语义解析、意图识别、Function Call 编排、多轮上下文、语音输入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A4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推理与 RAG 底座</w:t>
            </w:r>
          </w:p>
        </w:tc>
        <w:tc>
          <w:tcPr>
            <w:tcW w:type="dxa" w:w="54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知识库构建、向量检索、提示词工程与管理、模型抽象层、幻觉控制机制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A5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图表与 Dashboard 引擎</w:t>
            </w:r>
          </w:p>
        </w:tc>
        <w:tc>
          <w:tcPr>
            <w:tcW w:type="dxa" w:w="54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K线组件、指标图表、自定义看板、响应式布局、导出能力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A6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基础设施与安全底座</w:t>
            </w:r>
          </w:p>
        </w:tc>
        <w:tc>
          <w:tcPr>
            <w:tcW w:type="dxa" w:w="54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容器化部署、CI／CD、监控告警、日志审计、安全加固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800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2201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19"/>
                <w:szCs w:val="19"/>
              </w:rPr>
              <w:t xml:space="preserve">A 小计</w:t>
            </w:r>
          </w:p>
        </w:tc>
        <w:tc>
          <w:tcPr>
            <w:tcW w:type="dxa" w:w="5403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502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2"/>
                <w:szCs w:val="22"/>
              </w:rPr>
              <w:t xml:space="preserve">168</w:t>
            </w:r>
          </w:p>
        </w:tc>
      </w:tr>
    </w:tbl>
    <w:p>
      <w:pPr>
        <w:spacing w:after="10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B　超越模块（四大差异化引擎）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800"/>
        <w:gridCol w:w="2201"/>
        <w:gridCol w:w="5403"/>
        <w:gridCol w:w="1502"/>
      </w:tblGrid>
      <w:tr>
        <w:trPr>
          <w:cantSplit/>
          <w:tblHeader/>
        </w:trPr>
        <w:tc>
          <w:tcPr>
            <w:tcW w:type="dxa" w:w="80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代号</w:t>
            </w:r>
          </w:p>
        </w:tc>
        <w:tc>
          <w:tcPr>
            <w:tcW w:type="dxa" w:w="22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540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核心交付内容</w:t>
            </w:r>
          </w:p>
        </w:tc>
        <w:tc>
          <w:tcPr>
            <w:tcW w:type="dxa" w:w="150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报价（万元）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B1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因子研究引擎</w:t>
            </w:r>
          </w:p>
        </w:tc>
        <w:tc>
          <w:tcPr>
            <w:tcW w:type="dxa" w:w="54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因子库、表达式引擎、对话式因子构建、因子有效性分析（IC／IR／分层收益）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B2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回测与归因引擎</w:t>
            </w:r>
          </w:p>
        </w:tc>
        <w:tc>
          <w:tcPr>
            <w:tcW w:type="dxa" w:w="54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事件驱动回测、时点数据管理、交易制度约束、绩效指标、Brinson 归因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B3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舆情情绪聚合引擎</w:t>
            </w:r>
          </w:p>
        </w:tc>
        <w:tc>
          <w:tcPr>
            <w:tcW w:type="dxa" w:w="54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四类数据源适配框架、清洗去重、情感分析、实体识别、热点聚合、情绪因子化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52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B4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Agent 策略托管</w:t>
            </w:r>
          </w:p>
        </w:tc>
        <w:tc>
          <w:tcPr>
            <w:tcW w:type="dxa" w:w="54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任务编排、持续监控、失效预警、定期复核、调仓建议、异动捕捉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B5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组合管理与风险监控</w:t>
            </w:r>
          </w:p>
        </w:tc>
        <w:tc>
          <w:tcPr>
            <w:tcW w:type="dxa" w:w="54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组合构建、权重优化、风险敞口分析、集中度与相关性监控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800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2201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19"/>
                <w:szCs w:val="19"/>
              </w:rPr>
              <w:t xml:space="preserve">B 小计</w:t>
            </w:r>
          </w:p>
        </w:tc>
        <w:tc>
          <w:tcPr>
            <w:tcW w:type="dxa" w:w="5403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502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2"/>
                <w:szCs w:val="22"/>
              </w:rPr>
              <w:t xml:space="preserve">172</w:t>
            </w:r>
          </w:p>
        </w:tc>
      </w:tr>
    </w:tbl>
    <w:p>
      <w:pPr>
        <w:spacing w:after="10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C　境内地区包（A股）　／　D　境外地区包（港美股·加密）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800"/>
        <w:gridCol w:w="2401"/>
        <w:gridCol w:w="5203"/>
        <w:gridCol w:w="1502"/>
      </w:tblGrid>
      <w:tr>
        <w:trPr>
          <w:cantSplit/>
          <w:tblHeader/>
        </w:trPr>
        <w:tc>
          <w:tcPr>
            <w:tcW w:type="dxa" w:w="80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代号</w:t>
            </w:r>
          </w:p>
        </w:tc>
        <w:tc>
          <w:tcPr>
            <w:tcW w:type="dxa" w:w="24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520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核心交付内容</w:t>
            </w:r>
          </w:p>
        </w:tc>
        <w:tc>
          <w:tcPr>
            <w:tcW w:type="dxa" w:w="150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报价（万元）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C1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A股数据源适配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Tushare Pro／AKShare／万得接入、A股交易日历、涨跌停与停牌处理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C2</w:t>
            </w:r>
          </w:p>
        </w:tc>
        <w:tc>
          <w:tcPr>
            <w:tcW w:type="dxa" w:w="24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境内舆情源适配</w:t>
            </w:r>
          </w:p>
        </w:tc>
        <w:tc>
          <w:tcPr>
            <w:tcW w:type="dxa" w:w="52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雪球、东方财富股吧、同花顺社区采集适配与内容治理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C3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境内合规适配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投资者适当性、AI 内容标识、留痕审计、敏感词库、隐私协议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800"/>
            <w:shd w:fill="EAF7F1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2401"/>
            <w:shd w:fill="EAF7F1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C 小计</w:t>
            </w:r>
          </w:p>
        </w:tc>
        <w:tc>
          <w:tcPr>
            <w:tcW w:type="dxa" w:w="5203"/>
            <w:shd w:fill="EAF7F1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502"/>
            <w:shd w:fill="EAF7F1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2"/>
                <w:szCs w:val="22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D1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港美股／加密数据源适配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港美股行情与财报接入、加密行情、链上数据、跨市场交易日历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D2</w:t>
            </w:r>
          </w:p>
        </w:tc>
        <w:tc>
          <w:tcPr>
            <w:tcW w:type="dxa" w:w="24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境外舆情源适配</w:t>
            </w:r>
          </w:p>
        </w:tc>
        <w:tc>
          <w:tcPr>
            <w:tcW w:type="dxa" w:w="52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Reddit／X／StockTwits／Seeking Alpha、Telegram／Discord KOL 通道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D3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境外合规适配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地域准入判定、风险披露、隐私合规、多语言免责声明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800"/>
            <w:shd w:fill="F3EE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2401"/>
            <w:shd w:fill="F3EE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D4AB6"/>
                <w:sz w:val="19"/>
                <w:szCs w:val="19"/>
              </w:rPr>
              <w:t xml:space="preserve">D 小计</w:t>
            </w:r>
          </w:p>
        </w:tc>
        <w:tc>
          <w:tcPr>
            <w:tcW w:type="dxa" w:w="5203"/>
            <w:shd w:fill="F3EE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502"/>
            <w:shd w:fill="F3EE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D4AB6"/>
                <w:sz w:val="22"/>
                <w:szCs w:val="22"/>
              </w:rPr>
              <w:t xml:space="preserve">44</w:t>
            </w:r>
          </w:p>
        </w:tc>
      </w:tr>
    </w:tbl>
    <w:p>
      <w:pPr>
        <w:spacing w:after="10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A8853C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E　B端白标　／　F　交付保障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800"/>
        <w:gridCol w:w="2401"/>
        <w:gridCol w:w="5203"/>
        <w:gridCol w:w="1502"/>
      </w:tblGrid>
      <w:tr>
        <w:trPr>
          <w:cantSplit/>
          <w:tblHeader/>
        </w:trPr>
        <w:tc>
          <w:tcPr>
            <w:tcW w:type="dxa" w:w="80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代号</w:t>
            </w:r>
          </w:p>
        </w:tc>
        <w:tc>
          <w:tcPr>
            <w:tcW w:type="dxa" w:w="24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520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核心交付内容</w:t>
            </w:r>
          </w:p>
        </w:tc>
        <w:tc>
          <w:tcPr>
            <w:tcW w:type="dxa" w:w="150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报价（万元）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E1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多租户与权限隔离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租户体系、数据隔离、密钥管理、租户级配置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E2</w:t>
            </w:r>
          </w:p>
        </w:tc>
        <w:tc>
          <w:tcPr>
            <w:tcW w:type="dxa" w:w="24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开放 API 与白标组件</w:t>
            </w:r>
          </w:p>
        </w:tc>
        <w:tc>
          <w:tcPr>
            <w:tcW w:type="dxa" w:w="52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REST／WebSocket 接口、SDK、可嵌入组件、品牌定制能力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E3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用量计量与结算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调用计量、用量看板、账单生成、结算数据导出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800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2401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19"/>
                <w:szCs w:val="19"/>
              </w:rPr>
              <w:t xml:space="preserve">E 小计</w:t>
            </w:r>
          </w:p>
        </w:tc>
        <w:tc>
          <w:tcPr>
            <w:tcW w:type="dxa" w:w="5203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502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2"/>
                <w:szCs w:val="22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F1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测试与验收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单元／集成／端到端测试、性能测试、UAT 支持、缺陷修复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80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F2</w:t>
            </w:r>
          </w:p>
        </w:tc>
        <w:tc>
          <w:tcPr>
            <w:tcW w:type="dxa" w:w="24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部署上线与运维交接</w:t>
            </w:r>
          </w:p>
        </w:tc>
        <w:tc>
          <w:tcPr>
            <w:tcW w:type="dxa" w:w="52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环境搭建、上线实施、灾备方案、Runbook、运维交接</w:t>
            </w:r>
          </w:p>
        </w:tc>
        <w:tc>
          <w:tcPr>
            <w:tcW w:type="dxa" w:w="150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F3</w:t>
            </w:r>
          </w:p>
        </w:tc>
        <w:tc>
          <w:tcPr>
            <w:tcW w:type="dxa" w:w="24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文档与培训</w:t>
            </w:r>
          </w:p>
        </w:tc>
        <w:tc>
          <w:tcPr>
            <w:tcW w:type="dxa" w:w="52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架构文档、接口文档、运维手册、用户手册、两轮培训</w:t>
            </w:r>
          </w:p>
        </w:tc>
        <w:tc>
          <w:tcPr>
            <w:tcW w:type="dxa" w:w="150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800"/>
            <w:shd w:fill="EAF6FC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2401"/>
            <w:shd w:fill="EAF6FC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19"/>
                <w:szCs w:val="19"/>
              </w:rPr>
              <w:t xml:space="preserve">F 小计</w:t>
            </w:r>
          </w:p>
        </w:tc>
        <w:tc>
          <w:tcPr>
            <w:tcW w:type="dxa" w:w="5203"/>
            <w:shd w:fill="EAF6FC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502"/>
            <w:shd w:fill="EAF6FC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22"/>
                <w:szCs w:val="22"/>
              </w:rPr>
              <w:t xml:space="preserve">32</w:t>
            </w:r>
          </w:p>
        </w:tc>
      </w:tr>
    </w:tbl>
    <w:p>
      <w:pPr>
        <w:pStyle w:val="Heading2"/>
        <w:keepNext/>
        <w:pBdr>
          <w:left w:val="single" w:color="A8853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7.3  组合方案与推荐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7-1　模块报价结构与三种推荐组合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177"/>
        <w:gridCol w:w="2158"/>
        <w:gridCol w:w="4904"/>
        <w:gridCol w:w="1667"/>
      </w:tblGrid>
      <w:tr>
        <w:trPr>
          <w:cantSplit/>
          <w:tblHeader/>
        </w:trPr>
        <w:tc>
          <w:tcPr>
            <w:tcW w:type="dxa" w:w="117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组合</w:t>
            </w:r>
          </w:p>
        </w:tc>
        <w:tc>
          <w:tcPr>
            <w:tcW w:type="dxa" w:w="215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包含模块</w:t>
            </w:r>
          </w:p>
        </w:tc>
        <w:tc>
          <w:tcPr>
            <w:tcW w:type="dxa" w:w="490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适用场景</w:t>
            </w:r>
          </w:p>
        </w:tc>
        <w:tc>
          <w:tcPr>
            <w:tcW w:type="dxa" w:w="166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总价（万元）</w:t>
            </w:r>
          </w:p>
        </w:tc>
      </w:tr>
      <w:tr>
        <w:trPr>
          <w:cantSplit/>
        </w:trPr>
        <w:tc>
          <w:tcPr>
            <w:tcW w:type="dxa" w:w="117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组合一</w:t>
            </w:r>
          </w:p>
        </w:tc>
        <w:tc>
          <w:tcPr>
            <w:tcW w:type="dxa" w:w="215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 + B + C + F</w:t>
            </w:r>
          </w:p>
        </w:tc>
        <w:tc>
          <w:tcPr>
            <w:tcW w:type="dxa" w:w="490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先做境内 A股市场验证产品力，境外版留待二期</w:t>
            </w:r>
          </w:p>
        </w:tc>
        <w:tc>
          <w:tcPr>
            <w:tcW w:type="dxa" w:w="166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3"/>
                <w:szCs w:val="23"/>
              </w:rPr>
              <w:t xml:space="preserve">418</w:t>
            </w:r>
          </w:p>
        </w:tc>
      </w:tr>
      <w:tr>
        <w:trPr>
          <w:cantSplit/>
        </w:trPr>
        <w:tc>
          <w:tcPr>
            <w:tcW w:type="dxa" w:w="117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19"/>
                <w:szCs w:val="19"/>
              </w:rPr>
              <w:t xml:space="preserve">组合二</w:t>
            </w:r>
          </w:p>
        </w:tc>
        <w:tc>
          <w:tcPr>
            <w:tcW w:type="dxa" w:w="215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 + B + C + D + F</w:t>
            </w:r>
          </w:p>
        </w:tc>
        <w:tc>
          <w:tcPr>
            <w:tcW w:type="dxa" w:w="490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境内境外同步上线，覆盖全部目标用户群</w:t>
            </w:r>
          </w:p>
        </w:tc>
        <w:tc>
          <w:tcPr>
            <w:tcW w:type="dxa" w:w="166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23"/>
                <w:szCs w:val="23"/>
              </w:rPr>
              <w:t xml:space="preserve">462</w:t>
            </w:r>
          </w:p>
        </w:tc>
      </w:tr>
      <w:tr>
        <w:trPr>
          <w:cantSplit/>
        </w:trPr>
        <w:tc>
          <w:tcPr>
            <w:tcW w:type="dxa" w:w="117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19"/>
                <w:szCs w:val="19"/>
              </w:rPr>
              <w:t xml:space="preserve">组合三</w:t>
            </w:r>
          </w:p>
        </w:tc>
        <w:tc>
          <w:tcPr>
            <w:tcW w:type="dxa" w:w="215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 + B + C + D + E + F</w:t>
            </w:r>
          </w:p>
        </w:tc>
        <w:tc>
          <w:tcPr>
            <w:tcW w:type="dxa" w:w="490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全量交付，同时打开 C端与 B端两条收入曲线（推荐）</w:t>
            </w:r>
          </w:p>
        </w:tc>
        <w:tc>
          <w:tcPr>
            <w:tcW w:type="dxa" w:w="166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3"/>
                <w:szCs w:val="23"/>
              </w:rPr>
              <w:t xml:space="preserve">500</w:t>
            </w:r>
          </w:p>
        </w:tc>
      </w:tr>
    </w:tbl>
    <w:p>
      <w:pPr>
        <w:spacing w:after="8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A8853C" w:sz="4"/>
          <w:left w:val="single" w:color="A8853C" w:sz="24"/>
          <w:bottom w:val="single" w:color="A8853C" w:sz="4"/>
          <w:right w:val="single" w:color="A8853C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BF4E3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2"/>
                <w:szCs w:val="22"/>
              </w:rPr>
              <w:t xml:space="preserve">我们的推荐：组合三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1"/>
                <w:szCs w:val="21"/>
              </w:rPr>
              <w:t xml:space="preserve">理由一：B端白标只需 38 万增量，却打开了完全不同量级的收入曲线。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C端订阅的天花板受用户规模限制，而单个券商或资管机构的年度授权费往往就是七位数。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1"/>
                <w:szCs w:val="21"/>
              </w:rPr>
              <w:t xml:space="preserve">理由二：多租户架构必须在早期做进去。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后期改造成本远高于 38 万，且会带来数据隔离的历史遗留风险。这是典型的「现在做便宜、以后做昂贵」的架构决策。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1"/>
                <w:szCs w:val="21"/>
              </w:rPr>
              <w:t xml:space="preserve">理由三：双版本同步交付比分期做更省。</w:t>
            </w: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境外包 44 万是在内核已完成的前提下的增量成本；若拆到二期单独立项，需要重新组队与重新熟悉代码，实际成本会明显上升。</w:t>
            </w:r>
          </w:p>
        </w:tc>
      </w:tr>
    </w:tbl>
    <w:p>
      <w:pPr>
        <w:pStyle w:val="Heading2"/>
        <w:keepNext/>
        <w:pBdr>
          <w:left w:val="single" w:color="A8853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7.4  付款节点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以组合三（500 万元）为例，付款按里程碑分五期。若甲方选择其他组合，比例不变，金额按比例调整。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541"/>
        <w:gridCol w:w="5283"/>
        <w:gridCol w:w="1321"/>
        <w:gridCol w:w="1761"/>
      </w:tblGrid>
      <w:tr>
        <w:trPr>
          <w:cantSplit/>
          <w:tblHeader/>
        </w:trPr>
        <w:tc>
          <w:tcPr>
            <w:tcW w:type="dxa" w:w="154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节点</w:t>
            </w:r>
          </w:p>
        </w:tc>
        <w:tc>
          <w:tcPr>
            <w:tcW w:type="dxa" w:w="52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触发条件</w:t>
            </w:r>
          </w:p>
        </w:tc>
        <w:tc>
          <w:tcPr>
            <w:tcW w:type="dxa" w:w="132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比例</w:t>
            </w:r>
          </w:p>
        </w:tc>
        <w:tc>
          <w:tcPr>
            <w:tcW w:type="dxa" w:w="176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金额（万元）</w:t>
            </w:r>
          </w:p>
        </w:tc>
      </w:tr>
      <w:tr>
        <w:trPr>
          <w:cantSplit/>
        </w:trPr>
        <w:tc>
          <w:tcPr>
            <w:tcW w:type="dxa" w:w="154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首付款</w:t>
            </w:r>
          </w:p>
        </w:tc>
        <w:tc>
          <w:tcPr>
            <w:tcW w:type="dxa" w:w="52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合同签订并生效后 5 个工作日内</w:t>
            </w:r>
          </w:p>
        </w:tc>
        <w:tc>
          <w:tcPr>
            <w:tcW w:type="dxa" w:w="132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30%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150</w:t>
            </w:r>
          </w:p>
        </w:tc>
      </w:tr>
      <w:tr>
        <w:trPr>
          <w:cantSplit/>
        </w:trPr>
        <w:tc>
          <w:tcPr>
            <w:tcW w:type="dxa" w:w="154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期一款</w:t>
            </w:r>
          </w:p>
        </w:tc>
        <w:tc>
          <w:tcPr>
            <w:tcW w:type="dxa" w:w="52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期一验收通过（内核 + 境内数据打通）</w:t>
            </w:r>
          </w:p>
        </w:tc>
        <w:tc>
          <w:tcPr>
            <w:tcW w:type="dxa" w:w="132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25%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125</w:t>
            </w:r>
          </w:p>
        </w:tc>
      </w:tr>
      <w:tr>
        <w:trPr>
          <w:cantSplit/>
        </w:trPr>
        <w:tc>
          <w:tcPr>
            <w:tcW w:type="dxa" w:w="154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期二款</w:t>
            </w:r>
          </w:p>
        </w:tc>
        <w:tc>
          <w:tcPr>
            <w:tcW w:type="dxa" w:w="52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期二验收通过（因子回测 + 舆情引擎上线）</w:t>
            </w:r>
          </w:p>
        </w:tc>
        <w:tc>
          <w:tcPr>
            <w:tcW w:type="dxa" w:w="132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25%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125</w:t>
            </w:r>
          </w:p>
        </w:tc>
      </w:tr>
      <w:tr>
        <w:trPr>
          <w:cantSplit/>
        </w:trPr>
        <w:tc>
          <w:tcPr>
            <w:tcW w:type="dxa" w:w="154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终验款</w:t>
            </w:r>
          </w:p>
        </w:tc>
        <w:tc>
          <w:tcPr>
            <w:tcW w:type="dxa" w:w="52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系统终验通过并完成部署交接</w:t>
            </w:r>
          </w:p>
        </w:tc>
        <w:tc>
          <w:tcPr>
            <w:tcW w:type="dxa" w:w="132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15%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154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质保金</w:t>
            </w:r>
          </w:p>
        </w:tc>
        <w:tc>
          <w:tcPr>
            <w:tcW w:type="dxa" w:w="52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质保期（12 个月）届满且无未决严重缺陷</w:t>
            </w:r>
          </w:p>
        </w:tc>
        <w:tc>
          <w:tcPr>
            <w:tcW w:type="dxa" w:w="132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5%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41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19"/>
                <w:szCs w:val="19"/>
              </w:rPr>
              <w:t xml:space="preserve">合计</w:t>
            </w:r>
          </w:p>
        </w:tc>
        <w:tc>
          <w:tcPr>
            <w:tcW w:type="dxa" w:w="5283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/>
            </w:r>
          </w:p>
        </w:tc>
        <w:tc>
          <w:tcPr>
            <w:tcW w:type="dxa" w:w="1321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19"/>
                <w:szCs w:val="19"/>
              </w:rPr>
              <w:t xml:space="preserve">100%</w:t>
            </w:r>
          </w:p>
        </w:tc>
        <w:tc>
          <w:tcPr>
            <w:tcW w:type="dxa" w:w="1761"/>
            <w:shd w:fill="FBF4E3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22"/>
                <w:szCs w:val="22"/>
              </w:rPr>
              <w:t xml:space="preserve">500</w:t>
            </w:r>
          </w:p>
        </w:tc>
      </w:tr>
    </w:tbl>
    <w:p>
      <w:pPr>
        <w:pStyle w:val="Heading2"/>
        <w:keepNext/>
        <w:pBdr>
          <w:left w:val="single" w:color="A8853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7.5  报价不含项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以下内容不含在本次报价中：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交易执行类能力（下单撮合、杠杆与保证金、资金托管、出入金等），架构上预留标准对接位，接口规范随交付文档提供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第三方数据源采购费用（详见 7.6 节清单）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大模型 API 推理费用与算力成本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云服务器、带宽、存储、CDN 等基础资源费用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各类金融牌照的申请、代办与法律顾问费用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第三方安全审计与等保测评费用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交付范围外的定制化需求（按变更流程另行评估）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A8853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质保期结束后的运维与迭代服务（可另签服务协议）</w:t>
      </w:r>
    </w:p>
    <w:p>
      <w:pPr>
        <w:pStyle w:val="Heading2"/>
        <w:keepNext/>
        <w:pBdr>
          <w:left w:val="single" w:color="A8853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7.6  第三方成本参考清单（甲方自采）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以下为甲方需自行采购的第三方资源，金额为市场公开价格的量级参考，仅供预算编制使用，不构成我方报价，实际以供应商合同为准。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948"/>
        <w:gridCol w:w="3372"/>
        <w:gridCol w:w="3583"/>
        <w:gridCol w:w="2003"/>
      </w:tblGrid>
      <w:tr>
        <w:trPr>
          <w:cantSplit/>
          <w:tblHeader/>
        </w:trPr>
        <w:tc>
          <w:tcPr>
            <w:tcW w:type="dxa" w:w="94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类别</w:t>
            </w:r>
          </w:p>
        </w:tc>
        <w:tc>
          <w:tcPr>
            <w:tcW w:type="dxa" w:w="33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项目</w:t>
            </w:r>
          </w:p>
        </w:tc>
        <w:tc>
          <w:tcPr>
            <w:tcW w:type="dxa" w:w="35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200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年度参考量级</w:t>
            </w:r>
          </w:p>
        </w:tc>
      </w:tr>
      <w:tr>
        <w:trPr>
          <w:cantSplit/>
        </w:trPr>
        <w:tc>
          <w:tcPr>
            <w:tcW w:type="dxa" w:w="9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Tushare Pro 高级积分 / 同类 A股数据服务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A股行情、财报、资金流等基础数据</w:t>
            </w:r>
          </w:p>
        </w:tc>
        <w:tc>
          <w:tcPr>
            <w:tcW w:type="dxa" w:w="20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 – 5 万</w:t>
            </w:r>
          </w:p>
        </w:tc>
      </w:tr>
      <w:tr>
        <w:trPr>
          <w:cantSplit/>
        </w:trPr>
        <w:tc>
          <w:tcPr>
            <w:tcW w:type="dxa" w:w="9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万得 / 专业金融终端数据授权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高质量基本面与研报数据（可选）</w:t>
            </w:r>
          </w:p>
        </w:tc>
        <w:tc>
          <w:tcPr>
            <w:tcW w:type="dxa" w:w="20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10 – 50 万</w:t>
            </w:r>
          </w:p>
        </w:tc>
      </w:tr>
      <w:tr>
        <w:trPr>
          <w:cantSplit/>
        </w:trPr>
        <w:tc>
          <w:tcPr>
            <w:tcW w:type="dxa" w:w="9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港美股行情数据服务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境外版行情与基本面</w:t>
            </w:r>
          </w:p>
        </w:tc>
        <w:tc>
          <w:tcPr>
            <w:tcW w:type="dxa" w:w="20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 – 20 万</w:t>
            </w:r>
          </w:p>
        </w:tc>
      </w:tr>
      <w:tr>
        <w:trPr>
          <w:cantSplit/>
        </w:trPr>
        <w:tc>
          <w:tcPr>
            <w:tcW w:type="dxa" w:w="9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加密行情与链上数据服务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境外版加密资产数据</w:t>
            </w:r>
          </w:p>
        </w:tc>
        <w:tc>
          <w:tcPr>
            <w:tcW w:type="dxa" w:w="20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 – 15 万</w:t>
            </w:r>
          </w:p>
        </w:tc>
      </w:tr>
      <w:tr>
        <w:trPr>
          <w:cantSplit/>
        </w:trPr>
        <w:tc>
          <w:tcPr>
            <w:tcW w:type="dxa" w:w="9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境外社媒 API（Reddit／X／StockTwits 等）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境外舆情采集</w:t>
            </w:r>
          </w:p>
        </w:tc>
        <w:tc>
          <w:tcPr>
            <w:tcW w:type="dxa" w:w="20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 – 25 万</w:t>
            </w:r>
          </w:p>
        </w:tc>
      </w:tr>
      <w:tr>
        <w:trPr>
          <w:cantSplit/>
        </w:trPr>
        <w:tc>
          <w:tcPr>
            <w:tcW w:type="dxa" w:w="9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算力</w:t>
            </w:r>
          </w:p>
        </w:tc>
        <w:tc>
          <w:tcPr>
            <w:tcW w:type="dxa" w:w="33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大模型 API 推理费用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对话、解析、情感分析、RAG</w:t>
            </w:r>
          </w:p>
        </w:tc>
        <w:tc>
          <w:tcPr>
            <w:tcW w:type="dxa" w:w="20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按用量，10 – 60 万</w:t>
            </w:r>
          </w:p>
        </w:tc>
      </w:tr>
      <w:tr>
        <w:trPr>
          <w:cantSplit/>
        </w:trPr>
        <w:tc>
          <w:tcPr>
            <w:tcW w:type="dxa" w:w="9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云服务器、存储、带宽、CDN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系统运行基础资源</w:t>
            </w:r>
          </w:p>
        </w:tc>
        <w:tc>
          <w:tcPr>
            <w:tcW w:type="dxa" w:w="20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8 – 30 万</w:t>
            </w:r>
          </w:p>
        </w:tc>
      </w:tr>
      <w:tr>
        <w:trPr>
          <w:cantSplit/>
        </w:trPr>
        <w:tc>
          <w:tcPr>
            <w:tcW w:type="dxa" w:w="9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</w:t>
            </w:r>
          </w:p>
        </w:tc>
        <w:tc>
          <w:tcPr>
            <w:tcW w:type="dxa" w:w="33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短信、邮件、对象存储等基础服务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通知与文件存储</w:t>
            </w:r>
          </w:p>
        </w:tc>
        <w:tc>
          <w:tcPr>
            <w:tcW w:type="dxa" w:w="200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 – 3 万</w:t>
            </w:r>
          </w:p>
        </w:tc>
      </w:tr>
      <w:tr>
        <w:trPr>
          <w:cantSplit/>
        </w:trPr>
        <w:tc>
          <w:tcPr>
            <w:tcW w:type="dxa" w:w="9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安全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第三方安全审计与渗透测试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上线前安全验证</w:t>
            </w:r>
          </w:p>
        </w:tc>
        <w:tc>
          <w:tcPr>
            <w:tcW w:type="dxa" w:w="200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5 – 20 万（一次性）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F8F68" w:sz="4"/>
          <w:left w:val="single" w:color="0F8F68" w:sz="24"/>
          <w:bottom w:val="single" w:color="0F8F68" w:sz="4"/>
          <w:right w:val="single" w:color="0F8F68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EAF7F1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2"/>
                <w:szCs w:val="22"/>
              </w:rPr>
              <w:t xml:space="preserve">成本优化建议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初期建议采用「基础数据源 + 按需扩展」策略：先用 Tushare Pro 等低成本数据源完成产品验证，待用户规模与付费转化跑通后再升级到万得等专业数据服务，可显著降低前期现金压力。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大模型成本可通过分级调用策略优化：简单意图识别走小模型或本地模型，复杂研究解释才调用大模型，实测可降低 50–70% 的推理成本。该策略已包含在模块 A4 的交付范围内。</w:t>
            </w:r>
          </w:p>
        </w:tc>
      </w:tr>
    </w:tbl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0F8F6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8.1  总体交付计划</w:t>
      </w:r>
    </w:p>
    <w:p>
      <w:pPr>
        <w:spacing w:after="70" w:before="180"/>
        <w:jc w:val="center"/>
      </w:pPr>
      <w:r>
        <w:drawing>
          <wp:inline distT="0" distB="0" distL="0" distR="0">
            <wp:extent cx="626745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Segoe UI" w:cs="Segoe UI" w:eastAsia="微软雅黑" w:hAnsi="Segoe UI"/>
          <w:b w:val="false"/>
          <w:bCs w:val="false"/>
          <w:i/>
          <w:iCs/>
          <w:caps w:val="false"/>
          <w:color w:val="6B7B93"/>
          <w:sz w:val="17"/>
          <w:szCs w:val="17"/>
        </w:rPr>
        <w:t xml:space="preserve">图 8-1　4–5 个月三期并行交付计划</w:t>
      </w:r>
    </w:p>
    <w:tbl>
      <w:tblPr>
        <w:tblW w:type="dxa" w:w="9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single" w:color="FFFFFF" w:sz="8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shd w:fill="EAF7F1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32"/>
                <w:szCs w:val="32"/>
              </w:rPr>
              <w:t xml:space="preserve">M2.0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期一验收</w:t>
            </w:r>
          </w:p>
        </w:tc>
        <w:tc>
          <w:tcPr>
            <w:tcW w:type="dxa" w:w="3302"/>
            <w:shd w:fill="EAF6FC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0A8D6"/>
                <w:sz w:val="32"/>
                <w:szCs w:val="32"/>
              </w:rPr>
              <w:t xml:space="preserve">M3.5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期二验收</w:t>
            </w:r>
          </w:p>
        </w:tc>
        <w:tc>
          <w:tcPr>
            <w:tcW w:type="dxa" w:w="3302"/>
            <w:shd w:fill="FBF4E3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A8853C"/>
                <w:sz w:val="32"/>
                <w:szCs w:val="32"/>
              </w:rPr>
              <w:t xml:space="preserve">M4.9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系统终验</w:t>
            </w:r>
          </w:p>
        </w:tc>
      </w:tr>
    </w:tbl>
    <w:p>
      <w:pPr>
        <w:pStyle w:val="Heading2"/>
        <w:keepNext/>
        <w:pBdr>
          <w:left w:val="single" w:color="0F8F6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8.2  三期交付内容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F8F68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期一（M0 – M2）：内核与境内数据打通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475"/>
        <w:gridCol w:w="3583"/>
        <w:gridCol w:w="4848"/>
      </w:tblGrid>
      <w:tr>
        <w:trPr>
          <w:cantSplit/>
          <w:tblHeader/>
        </w:trPr>
        <w:tc>
          <w:tcPr>
            <w:tcW w:type="dxa" w:w="147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交付模块</w:t>
            </w:r>
          </w:p>
        </w:tc>
        <w:tc>
          <w:tcPr>
            <w:tcW w:type="dxa" w:w="35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交付内容</w:t>
            </w:r>
          </w:p>
        </w:tc>
        <w:tc>
          <w:tcPr>
            <w:tcW w:type="dxa" w:w="484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A1 / A6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账号权限中台、基础设施与 CI／CD</w:t>
            </w:r>
          </w:p>
        </w:tc>
        <w:tc>
          <w:tcPr>
            <w:tcW w:type="dxa" w:w="48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多方式登录可用，权限隔离通过测试，部署流水线跑通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A2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数据中台与行情引擎</w:t>
            </w:r>
          </w:p>
        </w:tc>
        <w:tc>
          <w:tcPr>
            <w:tcW w:type="dxa" w:w="48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A股行情、财报数据接入完成，数据质量监控告警可用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A5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图表与看板引擎</w:t>
            </w:r>
          </w:p>
        </w:tc>
        <w:tc>
          <w:tcPr>
            <w:tcW w:type="dxa" w:w="48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K线、指标图、自定义看板可用，多周期切换正常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C1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A股数据源适配</w:t>
            </w:r>
          </w:p>
        </w:tc>
        <w:tc>
          <w:tcPr>
            <w:tcW w:type="dxa" w:w="48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交易日历、涨跌停、停牌处理逻辑通过用例验证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A3（部分）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对话内核基础能力</w:t>
            </w:r>
          </w:p>
        </w:tc>
        <w:tc>
          <w:tcPr>
            <w:tcW w:type="dxa" w:w="48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可完成行情查询、个股问答类基础意图识别</w:t>
            </w:r>
          </w:p>
        </w:tc>
      </w:tr>
    </w:tbl>
    <w:p>
      <w:pPr>
        <w:spacing w:after="8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F8F68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期二（M2 – M3.5）：研究引擎与舆情引擎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475"/>
        <w:gridCol w:w="3583"/>
        <w:gridCol w:w="4848"/>
      </w:tblGrid>
      <w:tr>
        <w:trPr>
          <w:cantSplit/>
          <w:tblHeader/>
        </w:trPr>
        <w:tc>
          <w:tcPr>
            <w:tcW w:type="dxa" w:w="147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交付模块</w:t>
            </w:r>
          </w:p>
        </w:tc>
        <w:tc>
          <w:tcPr>
            <w:tcW w:type="dxa" w:w="35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交付内容</w:t>
            </w:r>
          </w:p>
        </w:tc>
        <w:tc>
          <w:tcPr>
            <w:tcW w:type="dxa" w:w="484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A3 / A4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对话内核完整能力、RAG 知识底座</w:t>
            </w:r>
          </w:p>
        </w:tc>
        <w:tc>
          <w:tcPr>
            <w:tcW w:type="dxa" w:w="48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中文金融语义解析准确率 ≥ 92%（基于双方确认的测试集）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B1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因子研究引擎</w:t>
            </w:r>
          </w:p>
        </w:tc>
        <w:tc>
          <w:tcPr>
            <w:tcW w:type="dxa" w:w="48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因子库可用，对话式因子构建可用，IC／IR 分析正确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B2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回测与归因引擎</w:t>
            </w:r>
          </w:p>
        </w:tc>
        <w:tc>
          <w:tcPr>
            <w:tcW w:type="dxa" w:w="48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回测结果与基准案例交叉验证一致，无未来函数</w:t>
            </w:r>
          </w:p>
        </w:tc>
      </w:tr>
      <w:tr>
        <w:trPr>
          <w:cantSplit/>
        </w:trPr>
        <w:tc>
          <w:tcPr>
            <w:tcW w:type="dxa" w:w="147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B3</w:t>
            </w:r>
          </w:p>
        </w:tc>
        <w:tc>
          <w:tcPr>
            <w:tcW w:type="dxa" w:w="35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舆情情绪聚合引擎</w:t>
            </w:r>
          </w:p>
        </w:tc>
        <w:tc>
          <w:tcPr>
            <w:tcW w:type="dxa" w:w="484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四类数据源采集稳定运行，情绪因子可进入回测</w:t>
            </w:r>
          </w:p>
        </w:tc>
      </w:tr>
      <w:tr>
        <w:trPr>
          <w:cantSplit/>
        </w:trPr>
        <w:tc>
          <w:tcPr>
            <w:tcW w:type="dxa" w:w="147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C2 / C3</w:t>
            </w:r>
          </w:p>
        </w:tc>
        <w:tc>
          <w:tcPr>
            <w:tcW w:type="dxa" w:w="35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境内舆情源与合规适配</w:t>
            </w:r>
          </w:p>
        </w:tc>
        <w:tc>
          <w:tcPr>
            <w:tcW w:type="dxa" w:w="484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采集合规检查通过，适当性与 AI 标识功能可用</w:t>
            </w:r>
          </w:p>
        </w:tc>
      </w:tr>
    </w:tbl>
    <w:p>
      <w:pPr>
        <w:spacing w:after="8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F8F68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期三（M3.5 – M5）：Agent、境外包与白标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792"/>
        <w:gridCol w:w="3372"/>
        <w:gridCol w:w="4742"/>
      </w:tblGrid>
      <w:tr>
        <w:trPr>
          <w:cantSplit/>
          <w:tblHeader/>
        </w:trPr>
        <w:tc>
          <w:tcPr>
            <w:tcW w:type="dxa" w:w="179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交付模块</w:t>
            </w:r>
          </w:p>
        </w:tc>
        <w:tc>
          <w:tcPr>
            <w:tcW w:type="dxa" w:w="337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交付内容</w:t>
            </w:r>
          </w:p>
        </w:tc>
        <w:tc>
          <w:tcPr>
            <w:tcW w:type="dxa" w:w="474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dxa" w:w="179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B4 / B5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 策略托管、组合与风险监控</w:t>
            </w:r>
          </w:p>
        </w:tc>
        <w:tc>
          <w:tcPr>
            <w:tcW w:type="dxa" w:w="47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监控任务可配置可触发，告警准确，组合优化结果可复现</w:t>
            </w:r>
          </w:p>
        </w:tc>
      </w:tr>
      <w:tr>
        <w:trPr>
          <w:cantSplit/>
        </w:trPr>
        <w:tc>
          <w:tcPr>
            <w:tcW w:type="dxa" w:w="179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D1 / D2 / D3</w:t>
            </w:r>
          </w:p>
        </w:tc>
        <w:tc>
          <w:tcPr>
            <w:tcW w:type="dxa" w:w="33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境外地区包完整交付</w:t>
            </w:r>
          </w:p>
        </w:tc>
        <w:tc>
          <w:tcPr>
            <w:tcW w:type="dxa" w:w="47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港美股与加密数据可用，境外舆情采集稳定，地域准入生效</w:t>
            </w:r>
          </w:p>
        </w:tc>
      </w:tr>
      <w:tr>
        <w:trPr>
          <w:cantSplit/>
        </w:trPr>
        <w:tc>
          <w:tcPr>
            <w:tcW w:type="dxa" w:w="179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E1 / E2 / E3</w:t>
            </w:r>
          </w:p>
        </w:tc>
        <w:tc>
          <w:tcPr>
            <w:tcW w:type="dxa" w:w="337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B端白标完整交付</w:t>
            </w:r>
          </w:p>
        </w:tc>
        <w:tc>
          <w:tcPr>
            <w:tcW w:type="dxa" w:w="47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多租户隔离通过安全测试，API 文档完整，计量结算准确</w:t>
            </w:r>
          </w:p>
        </w:tc>
      </w:tr>
      <w:tr>
        <w:trPr>
          <w:cantSplit/>
        </w:trPr>
        <w:tc>
          <w:tcPr>
            <w:tcW w:type="dxa" w:w="179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F1 / F2 / F3</w:t>
            </w:r>
          </w:p>
        </w:tc>
        <w:tc>
          <w:tcPr>
            <w:tcW w:type="dxa" w:w="337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测试、部署、文档与培训</w:t>
            </w:r>
          </w:p>
        </w:tc>
        <w:tc>
          <w:tcPr>
            <w:tcW w:type="dxa" w:w="47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端到端测试通过，性能达标，两轮培训完成，文档交付齐全</w:t>
            </w:r>
          </w:p>
        </w:tc>
      </w:tr>
    </w:tbl>
    <w:p>
      <w:pPr>
        <w:pStyle w:val="Heading2"/>
        <w:keepNext/>
        <w:pBdr>
          <w:left w:val="single" w:color="0F8F6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8.3  验收标准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每期验收采用「功能验收 + 性能验收 + 文档验收」三重标准，全部通过方可进入下一期与对应付款节点。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686"/>
        <w:gridCol w:w="4215"/>
        <w:gridCol w:w="4005"/>
      </w:tblGrid>
      <w:tr>
        <w:trPr>
          <w:cantSplit/>
          <w:tblHeader/>
        </w:trPr>
        <w:tc>
          <w:tcPr>
            <w:tcW w:type="dxa" w:w="168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验收维度</w:t>
            </w:r>
          </w:p>
        </w:tc>
        <w:tc>
          <w:tcPr>
            <w:tcW w:type="dxa" w:w="421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标准</w:t>
            </w:r>
          </w:p>
        </w:tc>
        <w:tc>
          <w:tcPr>
            <w:tcW w:type="dxa" w:w="400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判定方式</w:t>
            </w:r>
          </w:p>
        </w:tc>
      </w:tr>
      <w:tr>
        <w:trPr>
          <w:cantSplit/>
        </w:trPr>
        <w:tc>
          <w:tcPr>
            <w:tcW w:type="dxa" w:w="168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功能完整性</w:t>
            </w:r>
          </w:p>
        </w:tc>
        <w:tc>
          <w:tcPr>
            <w:tcW w:type="dxa" w:w="42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本期承诺的功能点 100% 实现且可用</w:t>
            </w:r>
          </w:p>
        </w:tc>
        <w:tc>
          <w:tcPr>
            <w:tcW w:type="dxa" w:w="400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按功能清单逐项演示，双方签字确认</w:t>
            </w:r>
          </w:p>
        </w:tc>
      </w:tr>
      <w:tr>
        <w:trPr>
          <w:cantSplit/>
        </w:trPr>
        <w:tc>
          <w:tcPr>
            <w:tcW w:type="dxa" w:w="168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缺陷等级</w:t>
            </w:r>
          </w:p>
        </w:tc>
        <w:tc>
          <w:tcPr>
            <w:tcW w:type="dxa" w:w="42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严重与高危缺陷为零，中低缺陷不超过约定阈值</w:t>
            </w:r>
          </w:p>
        </w:tc>
        <w:tc>
          <w:tcPr>
            <w:tcW w:type="dxa" w:w="400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缺陷管理系统统计，双方共同评级</w:t>
            </w:r>
          </w:p>
        </w:tc>
      </w:tr>
      <w:tr>
        <w:trPr>
          <w:cantSplit/>
        </w:trPr>
        <w:tc>
          <w:tcPr>
            <w:tcW w:type="dxa" w:w="168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性能指标</w:t>
            </w:r>
          </w:p>
        </w:tc>
        <w:tc>
          <w:tcPr>
            <w:tcW w:type="dxa" w:w="42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达到 6.5 节承诺的性能目标</w:t>
            </w:r>
          </w:p>
        </w:tc>
        <w:tc>
          <w:tcPr>
            <w:tcW w:type="dxa" w:w="400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在约定负载下压测，出具测试报告</w:t>
            </w:r>
          </w:p>
        </w:tc>
      </w:tr>
      <w:tr>
        <w:trPr>
          <w:cantSplit/>
        </w:trPr>
        <w:tc>
          <w:tcPr>
            <w:tcW w:type="dxa" w:w="168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数据准确性</w:t>
            </w:r>
          </w:p>
        </w:tc>
        <w:tc>
          <w:tcPr>
            <w:tcW w:type="dxa" w:w="42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行情、指标、回测结果与权威源交叉验证一致</w:t>
            </w:r>
          </w:p>
        </w:tc>
        <w:tc>
          <w:tcPr>
            <w:tcW w:type="dxa" w:w="400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抽样比对，误差率低于约定阈值</w:t>
            </w:r>
          </w:p>
        </w:tc>
      </w:tr>
      <w:tr>
        <w:trPr>
          <w:cantSplit/>
        </w:trPr>
        <w:tc>
          <w:tcPr>
            <w:tcW w:type="dxa" w:w="168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安全要求</w:t>
            </w:r>
          </w:p>
        </w:tc>
        <w:tc>
          <w:tcPr>
            <w:tcW w:type="dxa" w:w="42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无高危安全漏洞，密钥不入日志与模型上下文</w:t>
            </w:r>
          </w:p>
        </w:tc>
        <w:tc>
          <w:tcPr>
            <w:tcW w:type="dxa" w:w="400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代码审计 + 日志抽样 + 渗透测试</w:t>
            </w:r>
          </w:p>
        </w:tc>
      </w:tr>
      <w:tr>
        <w:trPr>
          <w:cantSplit/>
        </w:trPr>
        <w:tc>
          <w:tcPr>
            <w:tcW w:type="dxa" w:w="168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文档完整性</w:t>
            </w:r>
          </w:p>
        </w:tc>
        <w:tc>
          <w:tcPr>
            <w:tcW w:type="dxa" w:w="42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架构、接口、运维、用户文档齐备且与实现一致</w:t>
            </w:r>
          </w:p>
        </w:tc>
        <w:tc>
          <w:tcPr>
            <w:tcW w:type="dxa" w:w="400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文档评审会签</w:t>
            </w:r>
          </w:p>
        </w:tc>
      </w:tr>
    </w:tbl>
    <w:p>
      <w:pPr>
        <w:pStyle w:val="Heading2"/>
        <w:keepNext/>
        <w:pBdr>
          <w:left w:val="single" w:color="0F8F6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8.4  项目组织与甲方配合要求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4–5 个月的压缩周期对双方协作效率要求较高。以下配合事项直接影响交付节奏，需在项目启动会上确认责任人。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3230"/>
        <w:gridCol w:w="1292"/>
        <w:gridCol w:w="3015"/>
        <w:gridCol w:w="2369"/>
      </w:tblGrid>
      <w:tr>
        <w:trPr>
          <w:cantSplit/>
          <w:tblHeader/>
        </w:trPr>
        <w:tc>
          <w:tcPr>
            <w:tcW w:type="dxa" w:w="323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事项</w:t>
            </w:r>
          </w:p>
        </w:tc>
        <w:tc>
          <w:tcPr>
            <w:tcW w:type="dxa" w:w="129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责任方</w:t>
            </w:r>
          </w:p>
        </w:tc>
        <w:tc>
          <w:tcPr>
            <w:tcW w:type="dxa" w:w="301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时限要求</w:t>
            </w:r>
          </w:p>
        </w:tc>
        <w:tc>
          <w:tcPr>
            <w:tcW w:type="dxa" w:w="236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延迟影响</w:t>
            </w:r>
          </w:p>
        </w:tc>
      </w:tr>
      <w:tr>
        <w:trPr>
          <w:cantSplit/>
        </w:trPr>
        <w:tc>
          <w:tcPr>
            <w:tcW w:type="dxa" w:w="32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确认需求基线与功能清单</w:t>
            </w:r>
          </w:p>
        </w:tc>
        <w:tc>
          <w:tcPr>
            <w:tcW w:type="dxa" w:w="129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启动后 5 个工作日内</w:t>
            </w:r>
          </w:p>
        </w:tc>
        <w:tc>
          <w:tcPr>
            <w:tcW w:type="dxa" w:w="23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整体顺延</w:t>
            </w:r>
          </w:p>
        </w:tc>
      </w:tr>
      <w:tr>
        <w:trPr>
          <w:cantSplit/>
        </w:trPr>
        <w:tc>
          <w:tcPr>
            <w:tcW w:type="dxa" w:w="32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完成第三方数据源采购与开通</w:t>
            </w:r>
          </w:p>
        </w:tc>
        <w:tc>
          <w:tcPr>
            <w:tcW w:type="dxa" w:w="129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M0.5 前</w:t>
            </w:r>
          </w:p>
        </w:tc>
        <w:tc>
          <w:tcPr>
            <w:tcW w:type="dxa" w:w="23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期一验收顺延</w:t>
            </w:r>
          </w:p>
        </w:tc>
      </w:tr>
      <w:tr>
        <w:trPr>
          <w:cantSplit/>
        </w:trPr>
        <w:tc>
          <w:tcPr>
            <w:tcW w:type="dxa" w:w="32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确定大模型供应商并开通服务</w:t>
            </w:r>
          </w:p>
        </w:tc>
        <w:tc>
          <w:tcPr>
            <w:tcW w:type="dxa" w:w="129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M1 前</w:t>
            </w:r>
          </w:p>
        </w:tc>
        <w:tc>
          <w:tcPr>
            <w:tcW w:type="dxa" w:w="23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期二验收顺延</w:t>
            </w:r>
          </w:p>
        </w:tc>
      </w:tr>
      <w:tr>
        <w:trPr>
          <w:cantSplit/>
        </w:trPr>
        <w:tc>
          <w:tcPr>
            <w:tcW w:type="dxa" w:w="32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提供云环境或确认部署方案</w:t>
            </w:r>
          </w:p>
        </w:tc>
        <w:tc>
          <w:tcPr>
            <w:tcW w:type="dxa" w:w="129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M0.5 前</w:t>
            </w:r>
          </w:p>
        </w:tc>
        <w:tc>
          <w:tcPr>
            <w:tcW w:type="dxa" w:w="23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整体顺延</w:t>
            </w:r>
          </w:p>
        </w:tc>
      </w:tr>
      <w:tr>
        <w:trPr>
          <w:cantSplit/>
        </w:trPr>
        <w:tc>
          <w:tcPr>
            <w:tcW w:type="dxa" w:w="32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法务确认舆情采集范围</w:t>
            </w:r>
          </w:p>
        </w:tc>
        <w:tc>
          <w:tcPr>
            <w:tcW w:type="dxa" w:w="129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M1.5 前</w:t>
            </w:r>
          </w:p>
        </w:tc>
        <w:tc>
          <w:tcPr>
            <w:tcW w:type="dxa" w:w="23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舆情模块顺延</w:t>
            </w:r>
          </w:p>
        </w:tc>
      </w:tr>
      <w:tr>
        <w:trPr>
          <w:cantSplit/>
        </w:trPr>
        <w:tc>
          <w:tcPr>
            <w:tcW w:type="dxa" w:w="32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指定单一业务对接人</w:t>
            </w:r>
          </w:p>
        </w:tc>
        <w:tc>
          <w:tcPr>
            <w:tcW w:type="dxa" w:w="129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启动会</w:t>
            </w:r>
          </w:p>
        </w:tc>
        <w:tc>
          <w:tcPr>
            <w:tcW w:type="dxa" w:w="23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需求反复导致返工</w:t>
            </w:r>
          </w:p>
        </w:tc>
      </w:tr>
      <w:tr>
        <w:trPr>
          <w:cantSplit/>
        </w:trPr>
        <w:tc>
          <w:tcPr>
            <w:tcW w:type="dxa" w:w="32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每周项目例会与需求答疑</w:t>
            </w:r>
          </w:p>
        </w:tc>
        <w:tc>
          <w:tcPr>
            <w:tcW w:type="dxa" w:w="129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双方</w:t>
            </w:r>
          </w:p>
        </w:tc>
        <w:tc>
          <w:tcPr>
            <w:tcW w:type="dxa" w:w="301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全周期</w:t>
            </w:r>
          </w:p>
        </w:tc>
        <w:tc>
          <w:tcPr>
            <w:tcW w:type="dxa" w:w="236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问题累积</w:t>
            </w:r>
          </w:p>
        </w:tc>
      </w:tr>
      <w:tr>
        <w:trPr>
          <w:cantSplit/>
        </w:trPr>
        <w:tc>
          <w:tcPr>
            <w:tcW w:type="dxa" w:w="32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UAT 测试与验收反馈</w:t>
            </w:r>
          </w:p>
        </w:tc>
        <w:tc>
          <w:tcPr>
            <w:tcW w:type="dxa" w:w="129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甲方</w:t>
            </w:r>
          </w:p>
        </w:tc>
        <w:tc>
          <w:tcPr>
            <w:tcW w:type="dxa" w:w="301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每期验收期 10 个工作日内</w:t>
            </w:r>
          </w:p>
        </w:tc>
        <w:tc>
          <w:tcPr>
            <w:tcW w:type="dxa" w:w="236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付款节点顺延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4780C" w:sz="4"/>
          <w:left w:val="single" w:color="B4780C" w:sz="24"/>
          <w:bottom w:val="single" w:color="B4780C" w:sz="4"/>
          <w:right w:val="single" w:color="B4780C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FFBEB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22"/>
                <w:szCs w:val="22"/>
              </w:rPr>
              <w:t xml:space="preserve">关于周期压缩的坦诚说明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4–5 个月完成双版本 + 四大引擎，是一个紧凑但可执行的计划，前提是需求基线尽早冻结、甲方配合事项按时到位。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我们的建议是：把「需求变更」控制在期与期之间的窗口内，期内不插入新需求。如果甲方在期内有强变更诉求，我们会评估影响并给出「顺延」或「换出等量需求」两个选项，由甲方选择。这是保证 4–5 个月按期交付的关键机制。</w:t>
            </w:r>
          </w:p>
        </w:tc>
      </w:tr>
    </w:tbl>
    <w:p>
      <w:pPr>
        <w:pStyle w:val="Heading2"/>
        <w:keepNext/>
        <w:pBdr>
          <w:left w:val="single" w:color="0F8F68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8.5  工作分解与并行策略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4–5 个月完成全部交付，依赖合理的并行安排。下表说明各工作流的依赖关系与并行窗口。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2534"/>
        <w:gridCol w:w="2764"/>
        <w:gridCol w:w="3225"/>
        <w:gridCol w:w="1383"/>
      </w:tblGrid>
      <w:tr>
        <w:trPr>
          <w:cantSplit/>
          <w:tblHeader/>
        </w:trPr>
        <w:tc>
          <w:tcPr>
            <w:tcW w:type="dxa" w:w="253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工作流</w:t>
            </w:r>
          </w:p>
        </w:tc>
        <w:tc>
          <w:tcPr>
            <w:tcW w:type="dxa" w:w="2764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前置依赖</w:t>
            </w:r>
          </w:p>
        </w:tc>
        <w:tc>
          <w:tcPr>
            <w:tcW w:type="dxa" w:w="322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可并行的工作流</w:t>
            </w:r>
          </w:p>
        </w:tc>
        <w:tc>
          <w:tcPr>
            <w:tcW w:type="dxa" w:w="13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关键路径</w:t>
            </w:r>
          </w:p>
        </w:tc>
      </w:tr>
      <w:tr>
        <w:trPr>
          <w:cantSplit/>
        </w:trPr>
        <w:tc>
          <w:tcPr>
            <w:tcW w:type="dxa" w:w="253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基础设施与 CI／CD</w:t>
            </w:r>
          </w:p>
        </w:tc>
        <w:tc>
          <w:tcPr>
            <w:tcW w:type="dxa" w:w="2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无</w:t>
            </w:r>
          </w:p>
        </w:tc>
        <w:tc>
          <w:tcPr>
            <w:tcW w:type="dxa" w:w="322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全部</w:t>
            </w:r>
          </w:p>
        </w:tc>
        <w:tc>
          <w:tcPr>
            <w:tcW w:type="dxa" w:w="13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253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数据中台与行情接入</w:t>
            </w:r>
          </w:p>
        </w:tc>
        <w:tc>
          <w:tcPr>
            <w:tcW w:type="dxa" w:w="2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基础设施</w:t>
            </w:r>
          </w:p>
        </w:tc>
        <w:tc>
          <w:tcPr>
            <w:tcW w:type="dxa" w:w="322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账号中台、图表引擎</w:t>
            </w:r>
          </w:p>
        </w:tc>
        <w:tc>
          <w:tcPr>
            <w:tcW w:type="dxa" w:w="13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253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账号与权限中台</w:t>
            </w:r>
          </w:p>
        </w:tc>
        <w:tc>
          <w:tcPr>
            <w:tcW w:type="dxa" w:w="2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基础设施</w:t>
            </w:r>
          </w:p>
        </w:tc>
        <w:tc>
          <w:tcPr>
            <w:tcW w:type="dxa" w:w="322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</w:t>
            </w:r>
          </w:p>
        </w:tc>
        <w:tc>
          <w:tcPr>
            <w:tcW w:type="dxa" w:w="13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253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图表与看板引擎</w:t>
            </w:r>
          </w:p>
        </w:tc>
        <w:tc>
          <w:tcPr>
            <w:tcW w:type="dxa" w:w="2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无（可用 Mock 数据先行）</w:t>
            </w:r>
          </w:p>
        </w:tc>
        <w:tc>
          <w:tcPr>
            <w:tcW w:type="dxa" w:w="322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数据中台、账号中台</w:t>
            </w:r>
          </w:p>
        </w:tc>
        <w:tc>
          <w:tcPr>
            <w:tcW w:type="dxa" w:w="13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253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内核与语义解析</w:t>
            </w:r>
          </w:p>
        </w:tc>
        <w:tc>
          <w:tcPr>
            <w:tcW w:type="dxa" w:w="2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数据中台（部分）</w:t>
            </w:r>
          </w:p>
        </w:tc>
        <w:tc>
          <w:tcPr>
            <w:tcW w:type="dxa" w:w="322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因子引擎、舆情引擎</w:t>
            </w:r>
          </w:p>
        </w:tc>
        <w:tc>
          <w:tcPr>
            <w:tcW w:type="dxa" w:w="13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253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因子与回测引擎</w:t>
            </w:r>
          </w:p>
        </w:tc>
        <w:tc>
          <w:tcPr>
            <w:tcW w:type="dxa" w:w="2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</w:t>
            </w:r>
          </w:p>
        </w:tc>
        <w:tc>
          <w:tcPr>
            <w:tcW w:type="dxa" w:w="322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内核、舆情引擎</w:t>
            </w:r>
          </w:p>
        </w:tc>
        <w:tc>
          <w:tcPr>
            <w:tcW w:type="dxa" w:w="13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253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舆情情绪引擎</w:t>
            </w:r>
          </w:p>
        </w:tc>
        <w:tc>
          <w:tcPr>
            <w:tcW w:type="dxa" w:w="2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基础设施</w:t>
            </w:r>
          </w:p>
        </w:tc>
        <w:tc>
          <w:tcPr>
            <w:tcW w:type="dxa" w:w="322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内核、因子引擎</w:t>
            </w:r>
          </w:p>
        </w:tc>
        <w:tc>
          <w:tcPr>
            <w:tcW w:type="dxa" w:w="13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253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 策略托管</w:t>
            </w:r>
          </w:p>
        </w:tc>
        <w:tc>
          <w:tcPr>
            <w:tcW w:type="dxa" w:w="2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因子回测引擎</w:t>
            </w:r>
          </w:p>
        </w:tc>
        <w:tc>
          <w:tcPr>
            <w:tcW w:type="dxa" w:w="322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境外包、白标</w:t>
            </w:r>
          </w:p>
        </w:tc>
        <w:tc>
          <w:tcPr>
            <w:tcW w:type="dxa" w:w="13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253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境外地区包</w:t>
            </w:r>
          </w:p>
        </w:tc>
        <w:tc>
          <w:tcPr>
            <w:tcW w:type="dxa" w:w="2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数据中台框架</w:t>
            </w:r>
          </w:p>
        </w:tc>
        <w:tc>
          <w:tcPr>
            <w:tcW w:type="dxa" w:w="322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Agent、白标</w:t>
            </w:r>
          </w:p>
        </w:tc>
        <w:tc>
          <w:tcPr>
            <w:tcW w:type="dxa" w:w="13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253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B端白标</w:t>
            </w:r>
          </w:p>
        </w:tc>
        <w:tc>
          <w:tcPr>
            <w:tcW w:type="dxa" w:w="2764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账号中台、AI 内核</w:t>
            </w:r>
          </w:p>
        </w:tc>
        <w:tc>
          <w:tcPr>
            <w:tcW w:type="dxa" w:w="322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Agent、境外包</w:t>
            </w:r>
          </w:p>
        </w:tc>
        <w:tc>
          <w:tcPr>
            <w:tcW w:type="dxa" w:w="13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253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测试与验收</w:t>
            </w:r>
          </w:p>
        </w:tc>
        <w:tc>
          <w:tcPr>
            <w:tcW w:type="dxa" w:w="2764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各模块交付</w:t>
            </w:r>
          </w:p>
        </w:tc>
        <w:tc>
          <w:tcPr>
            <w:tcW w:type="dxa" w:w="322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贯穿全周期</w:t>
            </w:r>
          </w:p>
        </w:tc>
        <w:tc>
          <w:tcPr>
            <w:tcW w:type="dxa" w:w="13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是</w:t>
            </w:r>
          </w:p>
        </w:tc>
      </w:tr>
    </w:tbl>
    <w:p>
      <w:pPr>
        <w:spacing w:after="7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F8F68" w:sz="4"/>
          <w:left w:val="single" w:color="0F8F68" w:sz="24"/>
          <w:bottom w:val="single" w:color="0F8F68" w:sz="4"/>
          <w:right w:val="single" w:color="0F8F68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EAF7F1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2"/>
                <w:szCs w:val="22"/>
              </w:rPr>
              <w:t xml:space="preserve">关键路径说明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1"/>
                <w:szCs w:val="21"/>
              </w:rPr>
              <w:t xml:space="preserve">关键路径为：基础设施 → 数据中台 → AI 内核 ／ 因子回测引擎 → 测试验收。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任何一环延迟都会直接推迟整体交付。因此我们把这四项排在最高优先级，并在期一就完成基础设施与数据中台的全部工作，为后续所有模块打好地基。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舆情引擎虽然工作量最大（52 万），但不在关键路径上，可以与 AI 内核并行推进，这是 4–5 个月得以成立的重要原因。</w:t>
            </w:r>
          </w:p>
        </w:tc>
      </w:tr>
    </w:tbl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B4780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9.1  产品边界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本次交付的是投资研究与信息服务能力。以下边界在系统架构层面确定，便于双方在验收与后续扩展时有统一依据。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746"/>
        <w:gridCol w:w="3622"/>
        <w:gridCol w:w="5538"/>
      </w:tblGrid>
      <w:tr>
        <w:trPr>
          <w:cantSplit/>
          <w:tblHeader/>
        </w:trPr>
        <w:tc>
          <w:tcPr>
            <w:tcW w:type="dxa" w:w="74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62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边界</w:t>
            </w:r>
          </w:p>
        </w:tc>
        <w:tc>
          <w:tcPr>
            <w:tcW w:type="dxa" w:w="553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实现方式</w:t>
            </w:r>
          </w:p>
        </w:tc>
      </w:tr>
      <w:tr>
        <w:trPr>
          <w:cantSplit/>
        </w:trPr>
        <w:tc>
          <w:tcPr>
            <w:tcW w:type="dxa" w:w="74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1</w:t>
            </w:r>
          </w:p>
        </w:tc>
        <w:tc>
          <w:tcPr>
            <w:tcW w:type="dxa" w:w="36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本次范围不含交易执行类能力</w:t>
            </w:r>
          </w:p>
        </w:tc>
        <w:tc>
          <w:tcPr>
            <w:tcW w:type="dxa" w:w="553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预留标准对接位，后续如需接入由甲方选择持牌通道</w:t>
            </w:r>
          </w:p>
        </w:tc>
      </w:tr>
      <w:tr>
        <w:trPr>
          <w:cantSplit/>
        </w:trPr>
        <w:tc>
          <w:tcPr>
            <w:tcW w:type="dxa" w:w="74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</w:t>
            </w:r>
          </w:p>
        </w:tc>
        <w:tc>
          <w:tcPr>
            <w:tcW w:type="dxa" w:w="36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不承诺收益、不做业绩承诺</w:t>
            </w:r>
          </w:p>
        </w:tc>
        <w:tc>
          <w:tcPr>
            <w:tcW w:type="dxa" w:w="553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文案与 AI 输出层过滤承诺性表述</w:t>
            </w:r>
          </w:p>
        </w:tc>
      </w:tr>
      <w:tr>
        <w:trPr>
          <w:cantSplit/>
        </w:trPr>
        <w:tc>
          <w:tcPr>
            <w:tcW w:type="dxa" w:w="74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3</w:t>
            </w:r>
          </w:p>
        </w:tc>
        <w:tc>
          <w:tcPr>
            <w:tcW w:type="dxa" w:w="362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输出为信息型产出，不自动执行操作</w:t>
            </w:r>
          </w:p>
        </w:tc>
        <w:tc>
          <w:tcPr>
            <w:tcW w:type="dxa" w:w="553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 仅产出报告、提醒与建议</w:t>
            </w:r>
          </w:p>
        </w:tc>
      </w:tr>
      <w:tr>
        <w:trPr>
          <w:cantSplit/>
        </w:trPr>
        <w:tc>
          <w:tcPr>
            <w:tcW w:type="dxa" w:w="74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</w:t>
            </w:r>
          </w:p>
        </w:tc>
        <w:tc>
          <w:tcPr>
            <w:tcW w:type="dxa" w:w="362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按服务地区执行准入判定</w:t>
            </w:r>
          </w:p>
        </w:tc>
        <w:tc>
          <w:tcPr>
            <w:tcW w:type="dxa" w:w="553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未开放地区的功能入口不展示</w:t>
            </w:r>
          </w:p>
        </w:tc>
      </w:tr>
    </w:tbl>
    <w:p>
      <w:pPr>
        <w:pStyle w:val="Heading2"/>
        <w:keepNext/>
        <w:pBdr>
          <w:left w:val="single" w:color="B4780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9.2  舆情采集的技术与法律边界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这是本方案中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B3261E"/>
          <w:sz w:val="21"/>
          <w:szCs w:val="21"/>
        </w:rPr>
        <w:t xml:space="preserve">唯一需要甲方法务前置介入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的技术模块。我们把边界说清楚，避免后续争议。</w:t>
      </w:r>
    </w:p>
    <w:p>
      <w:pPr>
        <w:spacing w:after="4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507"/>
        <w:gridCol w:w="4953"/>
        <w:gridCol w:w="3446"/>
      </w:tblGrid>
      <w:tr>
        <w:trPr>
          <w:cantSplit/>
          <w:tblHeader/>
        </w:trPr>
        <w:tc>
          <w:tcPr>
            <w:tcW w:type="dxa" w:w="150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维度</w:t>
            </w:r>
          </w:p>
        </w:tc>
        <w:tc>
          <w:tcPr>
            <w:tcW w:type="dxa" w:w="495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我方技术承诺</w:t>
            </w:r>
          </w:p>
        </w:tc>
        <w:tc>
          <w:tcPr>
            <w:tcW w:type="dxa" w:w="344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需甲方确认事项</w:t>
            </w:r>
          </w:p>
        </w:tc>
      </w:tr>
      <w:tr>
        <w:trPr>
          <w:cantSplit/>
        </w:trPr>
        <w:tc>
          <w:tcPr>
            <w:tcW w:type="dxa" w:w="150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采集范围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严格遵循目标站点 robots 协议，仅采集公开可见内容</w:t>
            </w:r>
          </w:p>
        </w:tc>
        <w:tc>
          <w:tcPr>
            <w:tcW w:type="dxa" w:w="344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确认最终采集的站点白名单</w:t>
            </w:r>
          </w:p>
        </w:tc>
      </w:tr>
      <w:tr>
        <w:trPr>
          <w:cantSplit/>
        </w:trPr>
        <w:tc>
          <w:tcPr>
            <w:tcW w:type="dxa" w:w="150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采集频率</w:t>
            </w:r>
          </w:p>
        </w:tc>
        <w:tc>
          <w:tcPr>
            <w:tcW w:type="dxa" w:w="49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实施频率控制与错峰调度，不对目标站点造成异常负载</w:t>
            </w:r>
          </w:p>
        </w:tc>
        <w:tc>
          <w:tcPr>
            <w:tcW w:type="dxa" w:w="344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确认可接受的采集强度</w:t>
            </w:r>
          </w:p>
        </w:tc>
      </w:tr>
      <w:tr>
        <w:trPr>
          <w:cantSplit/>
        </w:trPr>
        <w:tc>
          <w:tcPr>
            <w:tcW w:type="dxa" w:w="150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账号使用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不使用虚假账号、不绕过登录墙、不破解任何技术保护措施</w:t>
            </w:r>
          </w:p>
        </w:tc>
        <w:tc>
          <w:tcPr>
            <w:tcW w:type="dxa" w:w="344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确认是否使用官方合作账号</w:t>
            </w:r>
          </w:p>
        </w:tc>
      </w:tr>
      <w:tr>
        <w:trPr>
          <w:cantSplit/>
        </w:trPr>
        <w:tc>
          <w:tcPr>
            <w:tcW w:type="dxa" w:w="150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内容处理</w:t>
            </w:r>
          </w:p>
        </w:tc>
        <w:tc>
          <w:tcPr>
            <w:tcW w:type="dxa" w:w="49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仅提取用于情绪与实体分析的结构化特征，不原样复制存储长文本</w:t>
            </w:r>
          </w:p>
        </w:tc>
        <w:tc>
          <w:tcPr>
            <w:tcW w:type="dxa" w:w="344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确认内容留存策略与时长</w:t>
            </w:r>
          </w:p>
        </w:tc>
      </w:tr>
      <w:tr>
        <w:trPr>
          <w:cantSplit/>
        </w:trPr>
        <w:tc>
          <w:tcPr>
            <w:tcW w:type="dxa" w:w="150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来源标注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所有展示内容标注来源与原文链接，保留完整溯源信息</w:t>
            </w:r>
          </w:p>
        </w:tc>
        <w:tc>
          <w:tcPr>
            <w:tcW w:type="dxa" w:w="344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确认展示形式是否满足要求</w:t>
            </w:r>
          </w:p>
        </w:tc>
      </w:tr>
      <w:tr>
        <w:trPr>
          <w:cantSplit/>
        </w:trPr>
        <w:tc>
          <w:tcPr>
            <w:tcW w:type="dxa" w:w="150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版权与个人信息</w:t>
            </w:r>
          </w:p>
        </w:tc>
        <w:tc>
          <w:tcPr>
            <w:tcW w:type="dxa" w:w="495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不展示可识别个人身份的信息，不用于用户画像之外的用途</w:t>
            </w:r>
          </w:p>
        </w:tc>
        <w:tc>
          <w:tcPr>
            <w:tcW w:type="dxa" w:w="344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取得法律意见书</w:t>
            </w:r>
          </w:p>
        </w:tc>
      </w:tr>
      <w:tr>
        <w:trPr>
          <w:cantSplit/>
        </w:trPr>
        <w:tc>
          <w:tcPr>
            <w:tcW w:type="dxa" w:w="150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内容审核</w:t>
            </w:r>
          </w:p>
        </w:tc>
        <w:tc>
          <w:tcPr>
            <w:tcW w:type="dxa" w:w="495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内置敏感词过滤与内容审核机制，违规内容不入库不展示</w:t>
            </w:r>
          </w:p>
        </w:tc>
        <w:tc>
          <w:tcPr>
            <w:tcW w:type="dxa" w:w="344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提供审核规则与词库要求</w:t>
            </w:r>
          </w:p>
        </w:tc>
      </w:tr>
    </w:tbl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3261E" w:sz="4"/>
          <w:left w:val="single" w:color="B3261E" w:sz="24"/>
          <w:bottom w:val="single" w:color="B3261E" w:sz="4"/>
          <w:right w:val="single" w:color="B3261E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EF3F2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2"/>
                <w:szCs w:val="22"/>
              </w:rPr>
              <w:t xml:space="preserve">责任划分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我方承诺：按上述技术边界实施采集，提供采集日志与合规配置能力，配合甲方法务的合规审查。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甲方承担：采集站点范围的最终决策权与相应法律责任，并在项目启动后 M1.5 前完成法务确认。若法务确认延迟或缩小采集范围，我方将按变更流程调整交付内容与工期。</w:t>
            </w:r>
          </w:p>
        </w:tc>
      </w:tr>
    </w:tbl>
    <w:p>
      <w:pPr>
        <w:pStyle w:val="Heading2"/>
        <w:keepNext/>
        <w:pBdr>
          <w:left w:val="single" w:color="B4780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9.3  AI 输出的合规处理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AI 生成内容在金融场景中的合规要求正在收紧。本方案在产品层面做了以下处理：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B4780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内容标识：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所有 AI 生成内容显著标注「AI 生成」，符合生成式人工智能内容标识要求。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B4780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建议与信息的边界：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AI 输出统一采用信息陈述与分析说明的表述方式，不使用「建议买入」「推荐持有」等指令性表达；产品内所有页面固定展示风险提示。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B4780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事实与解释分离：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数值来自确定性计算并标注数据时点与来源，模型解释部分单独标识，用户可清晰区分哪些是事实、哪些是推断。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B4780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留痕与可追溯：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保留原始请求、解析结果、数据版本、模型输出与用户交互的完整记录，满足监管回溯要求。</w:t>
      </w:r>
    </w:p>
    <w:p>
      <w:pPr>
        <w:spacing w:after="70" w:before="30" w:line="300"/>
        <w:ind w:left="340" w:hanging="20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B4780C"/>
          <w:sz w:val="17"/>
          <w:szCs w:val="17"/>
        </w:rPr>
        <w:t xml:space="preserve">● 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1"/>
          <w:szCs w:val="21"/>
        </w:rPr>
        <w:t xml:space="preserve">投资者适当性：</w:t>
      </w: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境内版内置风险测评与适当性匹配，未完成测评的用户不展示高风险资产相关内容。</w:t>
      </w:r>
    </w:p>
    <w:p>
      <w:pPr>
        <w:spacing w:after="6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B3261E" w:sz="4"/>
          <w:left w:val="single" w:color="B3261E" w:sz="24"/>
          <w:bottom w:val="single" w:color="B3261E" w:sz="4"/>
          <w:right w:val="single" w:color="B3261E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FEF3F2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2"/>
                <w:szCs w:val="22"/>
              </w:rPr>
              <w:t xml:space="preserve">一个需要甲方尽早决策的问题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AI 输出在法律上属于「信息展示」「一般性建议」还是「受监管的投资建议」？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这个定性直接决定产品的文案策略、功能边界与是否需要相应资质。TryQuant 在这一点上处理得相当粗糙（KOL 价格预测下方紧挨买入按钮），我们不建议甲方重复这个做法。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0"/>
                <w:szCs w:val="20"/>
              </w:rPr>
              <w:t xml:space="preserve">建议在 M1 前取得书面法律意见，我方将按结论调整 AI 输出的表述模板与功能开关。这一项已列入第 8.4 节的甲方配合事项。</w:t>
            </w:r>
          </w:p>
        </w:tc>
      </w:tr>
    </w:tbl>
    <w:p>
      <w:pPr>
        <w:pStyle w:val="Heading2"/>
        <w:keepNext/>
        <w:pBdr>
          <w:left w:val="single" w:color="B4780C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9.4  风险登记表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588"/>
        <w:gridCol w:w="2942"/>
        <w:gridCol w:w="785"/>
        <w:gridCol w:w="785"/>
        <w:gridCol w:w="3923"/>
        <w:gridCol w:w="883"/>
      </w:tblGrid>
      <w:tr>
        <w:trPr>
          <w:cantSplit/>
          <w:tblHeader/>
        </w:trPr>
        <w:tc>
          <w:tcPr>
            <w:tcW w:type="dxa" w:w="588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94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风险</w:t>
            </w:r>
          </w:p>
        </w:tc>
        <w:tc>
          <w:tcPr>
            <w:tcW w:type="dxa" w:w="78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概率</w:t>
            </w:r>
          </w:p>
        </w:tc>
        <w:tc>
          <w:tcPr>
            <w:tcW w:type="dxa" w:w="785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影响</w:t>
            </w:r>
          </w:p>
        </w:tc>
        <w:tc>
          <w:tcPr>
            <w:tcW w:type="dxa" w:w="392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缓解措施</w:t>
            </w:r>
          </w:p>
        </w:tc>
        <w:tc>
          <w:tcPr>
            <w:tcW w:type="dxa" w:w="88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责任方</w:t>
            </w:r>
          </w:p>
        </w:tc>
      </w:tr>
      <w:tr>
        <w:trPr>
          <w:cantSplit/>
        </w:trPr>
        <w:tc>
          <w:tcPr>
            <w:tcW w:type="dxa" w:w="5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R1</w:t>
            </w:r>
          </w:p>
        </w:tc>
        <w:tc>
          <w:tcPr>
            <w:tcW w:type="dxa" w:w="29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第三方数据源采购延迟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39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提前锁定供应商；先用低成本源打通链路，后期平滑切换</w:t>
            </w:r>
          </w:p>
        </w:tc>
        <w:tc>
          <w:tcPr>
            <w:tcW w:type="dxa" w:w="8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甲方</w:t>
            </w:r>
          </w:p>
        </w:tc>
      </w:tr>
      <w:tr>
        <w:trPr>
          <w:cantSplit/>
        </w:trPr>
        <w:tc>
          <w:tcPr>
            <w:tcW w:type="dxa" w:w="58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R2</w:t>
            </w:r>
          </w:p>
        </w:tc>
        <w:tc>
          <w:tcPr>
            <w:tcW w:type="dxa" w:w="29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舆情采集法务确认延迟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39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先交付官方信息源通道（合规风险最低），论坛源作为后置增量</w:t>
            </w:r>
          </w:p>
        </w:tc>
        <w:tc>
          <w:tcPr>
            <w:tcW w:type="dxa" w:w="8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甲方</w:t>
            </w:r>
          </w:p>
        </w:tc>
      </w:tr>
      <w:tr>
        <w:trPr>
          <w:cantSplit/>
        </w:trPr>
        <w:tc>
          <w:tcPr>
            <w:tcW w:type="dxa" w:w="5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R3</w:t>
            </w:r>
          </w:p>
        </w:tc>
        <w:tc>
          <w:tcPr>
            <w:tcW w:type="dxa" w:w="29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境内论坛反爬导致采集中断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39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适配器模式 + 多通道冗余 + 健康度监控，单源失效不影响整体</w:t>
            </w:r>
          </w:p>
        </w:tc>
        <w:tc>
          <w:tcPr>
            <w:tcW w:type="dxa" w:w="8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我方</w:t>
            </w:r>
          </w:p>
        </w:tc>
      </w:tr>
      <w:tr>
        <w:trPr>
          <w:cantSplit/>
        </w:trPr>
        <w:tc>
          <w:tcPr>
            <w:tcW w:type="dxa" w:w="58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R4</w:t>
            </w:r>
          </w:p>
        </w:tc>
        <w:tc>
          <w:tcPr>
            <w:tcW w:type="dxa" w:w="29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中文金融语义准确率不达标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39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早期建立双方确认的测试集，按周迭代；保留规则引擎兜底路径</w:t>
            </w:r>
          </w:p>
        </w:tc>
        <w:tc>
          <w:tcPr>
            <w:tcW w:type="dxa" w:w="8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我方</w:t>
            </w:r>
          </w:p>
        </w:tc>
      </w:tr>
      <w:tr>
        <w:trPr>
          <w:cantSplit/>
        </w:trPr>
        <w:tc>
          <w:tcPr>
            <w:tcW w:type="dxa" w:w="5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R5</w:t>
            </w:r>
          </w:p>
        </w:tc>
        <w:tc>
          <w:tcPr>
            <w:tcW w:type="dxa" w:w="29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回测引擎存在未来函数等隐性错误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39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时点数据管理 + 与已知基准交叉验证 + 第三方复核</w:t>
            </w:r>
          </w:p>
        </w:tc>
        <w:tc>
          <w:tcPr>
            <w:tcW w:type="dxa" w:w="8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我方</w:t>
            </w:r>
          </w:p>
        </w:tc>
      </w:tr>
      <w:tr>
        <w:trPr>
          <w:cantSplit/>
        </w:trPr>
        <w:tc>
          <w:tcPr>
            <w:tcW w:type="dxa" w:w="58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R6</w:t>
            </w:r>
          </w:p>
        </w:tc>
        <w:tc>
          <w:tcPr>
            <w:tcW w:type="dxa" w:w="29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大模型推理成本超预算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39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分级调用策略、结果缓存复用、用量监控告警</w:t>
            </w:r>
          </w:p>
        </w:tc>
        <w:tc>
          <w:tcPr>
            <w:tcW w:type="dxa" w:w="8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5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R7</w:t>
            </w:r>
          </w:p>
        </w:tc>
        <w:tc>
          <w:tcPr>
            <w:tcW w:type="dxa" w:w="29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需求在期内频繁变更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39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期内冻结需求，变更走「顺延或等量换出」机制</w:t>
            </w:r>
          </w:p>
        </w:tc>
        <w:tc>
          <w:tcPr>
            <w:tcW w:type="dxa" w:w="8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588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R8</w:t>
            </w:r>
          </w:p>
        </w:tc>
        <w:tc>
          <w:tcPr>
            <w:tcW w:type="dxa" w:w="294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输出合规定性发生变化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0F8F68"/>
                <w:sz w:val="19"/>
                <w:szCs w:val="19"/>
              </w:rPr>
              <w:t xml:space="preserve">低</w:t>
            </w:r>
          </w:p>
        </w:tc>
        <w:tc>
          <w:tcPr>
            <w:tcW w:type="dxa" w:w="785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高</w:t>
            </w:r>
          </w:p>
        </w:tc>
        <w:tc>
          <w:tcPr>
            <w:tcW w:type="dxa" w:w="392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输出模板可配置化，功能开关预留，可快速响应监管变化</w:t>
            </w:r>
          </w:p>
        </w:tc>
        <w:tc>
          <w:tcPr>
            <w:tcW w:type="dxa" w:w="88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双方</w:t>
            </w:r>
          </w:p>
        </w:tc>
      </w:tr>
      <w:tr>
        <w:trPr>
          <w:cantSplit/>
        </w:trPr>
        <w:tc>
          <w:tcPr>
            <w:tcW w:type="dxa" w:w="588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R9</w:t>
            </w:r>
          </w:p>
        </w:tc>
        <w:tc>
          <w:tcPr>
            <w:tcW w:type="dxa" w:w="294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4–5 个月周期压力导致质量下降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785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中</w:t>
            </w:r>
          </w:p>
        </w:tc>
        <w:tc>
          <w:tcPr>
            <w:tcW w:type="dxa" w:w="392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三期独立验收，每期不达标不进入下一期；测试贯穿全周期</w:t>
            </w:r>
          </w:p>
        </w:tc>
        <w:tc>
          <w:tcPr>
            <w:tcW w:type="dxa" w:w="88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我方</w:t>
            </w:r>
          </w:p>
        </w:tc>
      </w:tr>
    </w:tbl>
    <w:p>
      <w:pPr>
        <w:pageBreakBefore/>
        <w:spacing w:after="260" w:before="0"/>
        <w:jc w:val="center"/>
      </w:pPr>
      <w:r>
        <w:drawing>
          <wp:inline distT="0" distB="0" distL="0" distR="0">
            <wp:extent cx="62674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left w:val="single" w:color="8B5CF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10.1  交付物清单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101"/>
        <w:gridCol w:w="4843"/>
        <w:gridCol w:w="2201"/>
        <w:gridCol w:w="1761"/>
      </w:tblGrid>
      <w:tr>
        <w:trPr>
          <w:cantSplit/>
          <w:tblHeader/>
        </w:trPr>
        <w:tc>
          <w:tcPr>
            <w:tcW w:type="dxa" w:w="11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类别</w:t>
            </w:r>
          </w:p>
        </w:tc>
        <w:tc>
          <w:tcPr>
            <w:tcW w:type="dxa" w:w="484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交付物</w:t>
            </w:r>
          </w:p>
        </w:tc>
        <w:tc>
          <w:tcPr>
            <w:tcW w:type="dxa" w:w="220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形式</w:t>
            </w:r>
          </w:p>
        </w:tc>
        <w:tc>
          <w:tcPr>
            <w:tcW w:type="dxa" w:w="176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交付节点</w:t>
            </w:r>
          </w:p>
        </w:tc>
      </w:tr>
      <w:tr>
        <w:trPr>
          <w:cantSplit/>
        </w:trPr>
        <w:tc>
          <w:tcPr>
            <w:tcW w:type="dxa" w:w="11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源码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全部前后端源代码及构建脚本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Git 仓库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</w:t>
            </w:r>
          </w:p>
        </w:tc>
      </w:tr>
      <w:tr>
        <w:trPr>
          <w:cantSplit/>
        </w:trPr>
        <w:tc>
          <w:tcPr>
            <w:tcW w:type="dxa" w:w="11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源码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数据库结构定义与迁移脚本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Git 仓库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各期验收</w:t>
            </w:r>
          </w:p>
        </w:tc>
      </w:tr>
      <w:tr>
        <w:trPr>
          <w:cantSplit/>
        </w:trPr>
        <w:tc>
          <w:tcPr>
            <w:tcW w:type="dxa" w:w="11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系统架构设计文档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PDF / Word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1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接口文档（含 B端开放 API）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在线文档 + PDF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各期验收</w:t>
            </w:r>
          </w:p>
        </w:tc>
      </w:tr>
      <w:tr>
        <w:trPr>
          <w:cantSplit/>
        </w:trPr>
        <w:tc>
          <w:tcPr>
            <w:tcW w:type="dxa" w:w="11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数据字典与因子定义说明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Excel / PDF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部署运维手册与 Runbook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PDF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</w:t>
            </w:r>
          </w:p>
        </w:tc>
      </w:tr>
      <w:tr>
        <w:trPr>
          <w:cantSplit/>
        </w:trPr>
        <w:tc>
          <w:tcPr>
            <w:tcW w:type="dxa" w:w="11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文档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用户操作手册（C端 + 管理后台）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PDF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</w:t>
            </w:r>
          </w:p>
        </w:tc>
      </w:tr>
      <w:tr>
        <w:trPr>
          <w:cantSplit/>
        </w:trPr>
        <w:tc>
          <w:tcPr>
            <w:tcW w:type="dxa" w:w="11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测试用例集与测试报告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PDF / 测试平台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各期验收</w:t>
            </w:r>
          </w:p>
        </w:tc>
      </w:tr>
      <w:tr>
        <w:trPr>
          <w:cantSplit/>
        </w:trPr>
        <w:tc>
          <w:tcPr>
            <w:tcW w:type="dxa" w:w="11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测试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性能测试报告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PDF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</w:t>
            </w:r>
          </w:p>
        </w:tc>
      </w:tr>
      <w:tr>
        <w:trPr>
          <w:cantSplit/>
        </w:trPr>
        <w:tc>
          <w:tcPr>
            <w:tcW w:type="dxa" w:w="11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培训</w:t>
            </w:r>
          </w:p>
        </w:tc>
        <w:tc>
          <w:tcPr>
            <w:tcW w:type="dxa" w:w="484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开发培训 + 运维培训各一轮</w:t>
            </w:r>
          </w:p>
        </w:tc>
        <w:tc>
          <w:tcPr>
            <w:tcW w:type="dxa" w:w="220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线上／线下</w:t>
            </w:r>
          </w:p>
        </w:tc>
        <w:tc>
          <w:tcPr>
            <w:tcW w:type="dxa" w:w="176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终验前</w:t>
            </w:r>
          </w:p>
        </w:tc>
      </w:tr>
      <w:tr>
        <w:trPr>
          <w:cantSplit/>
        </w:trPr>
        <w:tc>
          <w:tcPr>
            <w:tcW w:type="dxa" w:w="11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环境</w:t>
            </w:r>
          </w:p>
        </w:tc>
        <w:tc>
          <w:tcPr>
            <w:tcW w:type="dxa" w:w="484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生产、预发、测试三套环境部署完成</w:t>
            </w:r>
          </w:p>
        </w:tc>
        <w:tc>
          <w:tcPr>
            <w:tcW w:type="dxa" w:w="220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环境交接单</w:t>
            </w:r>
          </w:p>
        </w:tc>
        <w:tc>
          <w:tcPr>
            <w:tcW w:type="dxa" w:w="176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终验</w:t>
            </w:r>
          </w:p>
        </w:tc>
      </w:tr>
    </w:tbl>
    <w:p>
      <w:pPr>
        <w:pStyle w:val="Heading2"/>
        <w:keepNext/>
        <w:pBdr>
          <w:left w:val="single" w:color="8B5CF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10.2  关键指标定义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统一的指标口径是避免重蹈 TryQuant 数据混乱的基础。以下定义随系统一并交付，作为后续运营分析的唯一标准。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933"/>
        <w:gridCol w:w="6282"/>
        <w:gridCol w:w="1691"/>
      </w:tblGrid>
      <w:tr>
        <w:trPr>
          <w:cantSplit/>
          <w:tblHeader/>
        </w:trPr>
        <w:tc>
          <w:tcPr>
            <w:tcW w:type="dxa" w:w="193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6282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统一定义</w:t>
            </w:r>
          </w:p>
        </w:tc>
        <w:tc>
          <w:tcPr>
            <w:tcW w:type="dxa" w:w="1691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统计周期</w:t>
            </w:r>
          </w:p>
        </w:tc>
      </w:tr>
      <w:tr>
        <w:trPr>
          <w:cantSplit/>
        </w:trPr>
        <w:tc>
          <w:tcPr>
            <w:tcW w:type="dxa" w:w="193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激活用户</w:t>
            </w:r>
          </w:p>
        </w:tc>
        <w:tc>
          <w:tcPr>
            <w:tcW w:type="dxa" w:w="62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完成注册登录、通过风险提示、并成功完成一次有效查询的用户</w:t>
            </w:r>
          </w:p>
        </w:tc>
        <w:tc>
          <w:tcPr>
            <w:tcW w:type="dxa" w:w="16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每日</w:t>
            </w:r>
          </w:p>
        </w:tc>
      </w:tr>
      <w:tr>
        <w:trPr>
          <w:cantSplit/>
        </w:trPr>
        <w:tc>
          <w:tcPr>
            <w:tcW w:type="dxa" w:w="193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有效查询</w:t>
            </w:r>
          </w:p>
        </w:tc>
        <w:tc>
          <w:tcPr>
            <w:tcW w:type="dxa" w:w="62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返回了有效数据结果的查询，不含失败、超时与空结果</w:t>
            </w:r>
          </w:p>
        </w:tc>
        <w:tc>
          <w:tcPr>
            <w:tcW w:type="dxa" w:w="16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每日</w:t>
            </w:r>
          </w:p>
        </w:tc>
      </w:tr>
      <w:tr>
        <w:trPr>
          <w:cantSplit/>
        </w:trPr>
        <w:tc>
          <w:tcPr>
            <w:tcW w:type="dxa" w:w="193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研究完成率</w:t>
            </w:r>
          </w:p>
        </w:tc>
        <w:tc>
          <w:tcPr>
            <w:tcW w:type="dxa" w:w="62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发起研究任务且完整走完回测环节的用户占活跃用户比例</w:t>
            </w:r>
          </w:p>
        </w:tc>
        <w:tc>
          <w:tcPr>
            <w:tcW w:type="dxa" w:w="16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每周</w:t>
            </w:r>
          </w:p>
        </w:tc>
      </w:tr>
      <w:tr>
        <w:trPr>
          <w:cantSplit/>
        </w:trPr>
        <w:tc>
          <w:tcPr>
            <w:tcW w:type="dxa" w:w="193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策略留存率</w:t>
            </w:r>
          </w:p>
        </w:tc>
        <w:tc>
          <w:tcPr>
            <w:tcW w:type="dxa" w:w="62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创建策略后第 7／30 日仍在使用该策略的用户占比</w:t>
            </w:r>
          </w:p>
        </w:tc>
        <w:tc>
          <w:tcPr>
            <w:tcW w:type="dxa" w:w="16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分批次</w:t>
            </w:r>
          </w:p>
        </w:tc>
      </w:tr>
      <w:tr>
        <w:trPr>
          <w:cantSplit/>
        </w:trPr>
        <w:tc>
          <w:tcPr>
            <w:tcW w:type="dxa" w:w="193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月活跃用户</w:t>
            </w:r>
          </w:p>
        </w:tc>
        <w:tc>
          <w:tcPr>
            <w:tcW w:type="dxa" w:w="62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当月完成至少一次有效查询的去重用户数</w:t>
            </w:r>
          </w:p>
        </w:tc>
        <w:tc>
          <w:tcPr>
            <w:tcW w:type="dxa" w:w="16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每月</w:t>
            </w:r>
          </w:p>
        </w:tc>
      </w:tr>
      <w:tr>
        <w:trPr>
          <w:cantSplit/>
        </w:trPr>
        <w:tc>
          <w:tcPr>
            <w:tcW w:type="dxa" w:w="193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付费转化率</w:t>
            </w:r>
          </w:p>
        </w:tc>
        <w:tc>
          <w:tcPr>
            <w:tcW w:type="dxa" w:w="62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有效付费订阅用户数除以符合条件的活跃用户数</w:t>
            </w:r>
          </w:p>
        </w:tc>
        <w:tc>
          <w:tcPr>
            <w:tcW w:type="dxa" w:w="16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每月</w:t>
            </w:r>
          </w:p>
        </w:tc>
      </w:tr>
      <w:tr>
        <w:trPr>
          <w:cantSplit/>
        </w:trPr>
        <w:tc>
          <w:tcPr>
            <w:tcW w:type="dxa" w:w="193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ARPU</w:t>
            </w:r>
          </w:p>
        </w:tc>
        <w:tc>
          <w:tcPr>
            <w:tcW w:type="dxa" w:w="62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当期确认收入除以当期活跃用户数，需注明口径</w:t>
            </w:r>
          </w:p>
        </w:tc>
        <w:tc>
          <w:tcPr>
            <w:tcW w:type="dxa" w:w="16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每月</w:t>
            </w:r>
          </w:p>
        </w:tc>
      </w:tr>
      <w:tr>
        <w:trPr>
          <w:cantSplit/>
        </w:trPr>
        <w:tc>
          <w:tcPr>
            <w:tcW w:type="dxa" w:w="193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B端调用量</w:t>
            </w:r>
          </w:p>
        </w:tc>
        <w:tc>
          <w:tcPr>
            <w:tcW w:type="dxa" w:w="62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按租户统计的成功 API 调用次数，不含错误请求</w:t>
            </w:r>
          </w:p>
        </w:tc>
        <w:tc>
          <w:tcPr>
            <w:tcW w:type="dxa" w:w="16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每日／每月</w:t>
            </w:r>
          </w:p>
        </w:tc>
      </w:tr>
      <w:tr>
        <w:trPr>
          <w:cantSplit/>
        </w:trPr>
        <w:tc>
          <w:tcPr>
            <w:tcW w:type="dxa" w:w="193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舆情覆盖率</w:t>
            </w:r>
          </w:p>
        </w:tc>
        <w:tc>
          <w:tcPr>
            <w:tcW w:type="dxa" w:w="6282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成功采集的目标源数量占配置源总数比例</w:t>
            </w:r>
          </w:p>
        </w:tc>
        <w:tc>
          <w:tcPr>
            <w:tcW w:type="dxa" w:w="1691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每日</w:t>
            </w:r>
          </w:p>
        </w:tc>
      </w:tr>
      <w:tr>
        <w:trPr>
          <w:cantSplit/>
        </w:trPr>
        <w:tc>
          <w:tcPr>
            <w:tcW w:type="dxa" w:w="193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模型准确率</w:t>
            </w:r>
          </w:p>
        </w:tc>
        <w:tc>
          <w:tcPr>
            <w:tcW w:type="dxa" w:w="6282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基于双方确认测试集的意图识别正确率</w:t>
            </w:r>
          </w:p>
        </w:tc>
        <w:tc>
          <w:tcPr>
            <w:tcW w:type="dxa" w:w="1691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每周</w:t>
            </w:r>
          </w:p>
        </w:tc>
      </w:tr>
    </w:tbl>
    <w:p>
      <w:pPr>
        <w:pStyle w:val="Heading2"/>
        <w:keepNext/>
        <w:pBdr>
          <w:left w:val="single" w:color="8B5CF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10.3  术语表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887"/>
        <w:gridCol w:w="8019"/>
      </w:tblGrid>
      <w:tr>
        <w:trPr>
          <w:cantSplit/>
          <w:tblHeader/>
        </w:trPr>
        <w:tc>
          <w:tcPr>
            <w:tcW w:type="dxa" w:w="188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术语</w:t>
            </w:r>
          </w:p>
        </w:tc>
        <w:tc>
          <w:tcPr>
            <w:tcW w:type="dxa" w:w="801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用于解释或预测资产收益的量化指标，如市盈率、动量、资金流强度等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IC / IR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信息系数与信息比率，衡量因子预测能力与稳定性的核心指标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样本内 / 样本外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用于构建策略的历史区间与用于验证策略的独立区间，样本外表现才有参考价值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未来函数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回测中错误使用了当时尚不可知的信息，会导致回测结果严重虚高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时点数据（PIT）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严格还原历史上每个时点实际可获得的数据，是回测正确性的前提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Brinson 归因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把组合超额收益拆解为资产配置贡献与个股选择贡献的经典方法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RAG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检索增强生成，让大模型基于检索到的真实资料回答，降低幻觉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Function Call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大模型按需调用外部工具或接口的能力，是对话驱动系统动作的基础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多租户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同一套系统服务多个独立客户，彼此数据与配置完全隔离的架构模式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白标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合作方以自有品牌对外提供服务，底层能力由本平台提供的合作形态</w:t>
            </w:r>
          </w:p>
        </w:tc>
      </w:tr>
    </w:tbl>
    <w:p>
      <w:pPr>
        <w:pStyle w:val="Heading2"/>
        <w:keepNext/>
        <w:pBdr>
          <w:left w:val="single" w:color="8B5CF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10.4  商务条款要点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887"/>
        <w:gridCol w:w="8019"/>
      </w:tblGrid>
      <w:tr>
        <w:trPr>
          <w:cantSplit/>
          <w:tblHeader/>
        </w:trPr>
        <w:tc>
          <w:tcPr>
            <w:tcW w:type="dxa" w:w="188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条款</w:t>
            </w:r>
          </w:p>
        </w:tc>
        <w:tc>
          <w:tcPr>
            <w:tcW w:type="dxa" w:w="801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约定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报价有效期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自本方案出具之日起 30 个自然日内有效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价格性质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人民币含税价，不含第三方数据源、模型推理与云资源费用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知识产权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交付成果的知识产权归甲方所有；我方保留通用技术组件与框架的复用权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源码交付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全部源代码随各期验收交付，甲方拥有完整使用与修改权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保密义务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双方对本项目涉及的商业与技术信息承担保密义务，期限自签约起 5 年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质保期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系统终验通过之日起 12 个月，质保期内非需求变更类缺陷免费修复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响应时限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严重缺陷 4 小时内响应、24 小时内给出方案；一般缺陷 2 个工作日内响应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需求变更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期内冻结需求；变更走书面流程，按「顺延工期」或「等量换出」两种方式处理</w:t>
            </w:r>
          </w:p>
        </w:tc>
      </w:tr>
      <w:tr>
        <w:trPr>
          <w:cantSplit/>
        </w:trPr>
        <w:tc>
          <w:tcPr>
            <w:tcW w:type="dxa" w:w="188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验收机制</w:t>
            </w:r>
          </w:p>
        </w:tc>
        <w:tc>
          <w:tcPr>
            <w:tcW w:type="dxa" w:w="801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三期独立验收，任一期未通过不进入下一期，对应付款节点相应顺延</w:t>
            </w:r>
          </w:p>
        </w:tc>
      </w:tr>
      <w:tr>
        <w:trPr>
          <w:cantSplit/>
        </w:trPr>
        <w:tc>
          <w:tcPr>
            <w:tcW w:type="dxa" w:w="188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后续服务</w:t>
            </w:r>
          </w:p>
        </w:tc>
        <w:tc>
          <w:tcPr>
            <w:tcW w:type="dxa" w:w="801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质保期满后可另签年度运维与迭代服务协议，费率另议</w:t>
            </w:r>
          </w:p>
        </w:tc>
      </w:tr>
    </w:tbl>
    <w:p>
      <w:pPr>
        <w:spacing w:after="12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single" w:color="0F8F68" w:sz="4"/>
          <w:left w:val="single" w:color="0F8F68" w:sz="24"/>
          <w:bottom w:val="single" w:color="0F8F68" w:sz="4"/>
          <w:right w:val="single" w:color="0F8F68" w:sz="4"/>
          <w:insideH w:val="none" w:color="auto" w:sz="0"/>
          <w:insideV w:val="none" w:color="auto" w:sz="0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shd w:fill="EAF7F1" w:color="auto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90" w:before="0" w:line="300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2"/>
                <w:szCs w:val="22"/>
              </w:rPr>
              <w:t xml:space="preserve">最后：本方案与 TryQuant 最根本的一处不同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TryQuant 在用「更快地下单」解决问题。</w:t>
            </w:r>
          </w:p>
          <w:p>
            <w:pPr>
              <w:spacing w:after="70" w:before="0" w:line="300"/>
              <w:jc w:val="both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21"/>
                <w:szCs w:val="21"/>
              </w:rPr>
              <w:t xml:space="preserve">我们认为，投资者真正稀缺的从来不是下单渠道——券商 App 遍地都是——而是「该买什么、为什么买、风险多大、什么时候错了」。</w:t>
            </w:r>
          </w:p>
          <w:p>
            <w:pPr>
              <w:spacing w:after="0" w:before="0" w:line="300"/>
              <w:jc w:val="both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0F8F68"/>
                <w:sz w:val="21"/>
                <w:szCs w:val="21"/>
              </w:rPr>
              <w:t xml:space="preserve">所以本方案把全部资源投入研究与验证能力的建设——产品定位更聚焦，用户价值也更清晰。</w:t>
            </w:r>
          </w:p>
        </w:tc>
      </w:tr>
    </w:tbl>
    <w:p>
      <w:pPr>
        <w:pStyle w:val="Heading2"/>
        <w:keepNext/>
        <w:pBdr>
          <w:left w:val="single" w:color="8B5CF6" w:sz="26" w:space="10"/>
        </w:pBdr>
        <w:shd w:fill="F2F6FB" w:color="auto" w:val="clear"/>
        <w:spacing w:after="160" w:before="30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6"/>
          <w:szCs w:val="26"/>
        </w:rPr>
        <w:t xml:space="preserve">10.5  完整功能清单</w:t>
      </w:r>
    </w:p>
    <w:p>
      <w:pPr>
        <w:keepNext w:val="false"/>
        <w:spacing w:after="110" w:before="60" w:line="320"/>
        <w:jc w:val="both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>以下清单为本方案的交付范围基线，验收时逐项核对。P0 为期一必交付，P1 为期二必交付，P2 为期三交付。</w:t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8B5CF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A　账号、权限与基础能力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213"/>
        <w:gridCol w:w="3309"/>
        <w:gridCol w:w="3530"/>
        <w:gridCol w:w="927"/>
        <w:gridCol w:w="927"/>
      </w:tblGrid>
      <w:tr>
        <w:trPr>
          <w:cantSplit/>
          <w:tblHeader/>
        </w:trPr>
        <w:tc>
          <w:tcPr>
            <w:tcW w:type="dxa" w:w="121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330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功能点</w:t>
            </w:r>
          </w:p>
        </w:tc>
        <w:tc>
          <w:tcPr>
            <w:tcW w:type="dxa" w:w="353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dxa" w:w="92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92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所属期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邮箱／手机注册登录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含验证码与找回密码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第三方登录（微信／Google／Apple）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按地区版本选择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账号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会话管理与多端登录控制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支持强制下线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权限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角色与功能权限管理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普通用户／会员／管理员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权限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投资者适当性评级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境内版必需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安全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密钥隔离与加密存储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密钥不入日志与模型上下文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安全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操作审计日志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全量留痕，支持按维度检索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管理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管理后台：用户与内容管理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含封禁、申诉、内容下架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管理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管理后台：资产与费率配置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高危配置需双人确认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</w:tbl>
    <w:p>
      <w:pPr>
        <w:spacing w:after="7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8B5CF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B　数据与行情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213"/>
        <w:gridCol w:w="3309"/>
        <w:gridCol w:w="3530"/>
        <w:gridCol w:w="927"/>
        <w:gridCol w:w="927"/>
      </w:tblGrid>
      <w:tr>
        <w:trPr>
          <w:cantSplit/>
          <w:tblHeader/>
        </w:trPr>
        <w:tc>
          <w:tcPr>
            <w:tcW w:type="dxa" w:w="1213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3309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功能点</w:t>
            </w:r>
          </w:p>
        </w:tc>
        <w:tc>
          <w:tcPr>
            <w:tcW w:type="dxa" w:w="353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dxa" w:w="92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92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所属期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实时行情订阅与推送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WebSocket 推送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历史 K 线与多周期切换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分钟／日／周／月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行情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技术指标计算与叠加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常用指标 30+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基本面数据接入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财报、财务指标、股本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资金流与持股数据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北向、两融、大宗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数据质量监控与告警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缺失、异常、延迟检测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数据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交易日历与市场制度处理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涨跌停、停牌、除权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213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发现</w:t>
            </w:r>
          </w:p>
        </w:tc>
        <w:tc>
          <w:tcPr>
            <w:tcW w:type="dxa" w:w="3309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市场情绪指标看板</w:t>
            </w:r>
          </w:p>
        </w:tc>
        <w:tc>
          <w:tcPr>
            <w:tcW w:type="dxa" w:w="353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地区差异化指标体系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2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发现</w:t>
            </w:r>
          </w:p>
        </w:tc>
        <w:tc>
          <w:tcPr>
            <w:tcW w:type="dxa" w:w="3309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标的搜索与多板块浏览</w:t>
            </w:r>
          </w:p>
        </w:tc>
        <w:tc>
          <w:tcPr>
            <w:tcW w:type="dxa" w:w="353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支持模糊与拼音搜索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2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</w:tbl>
    <w:p>
      <w:pPr>
        <w:spacing w:after="7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8B5CF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C　对话式 AI 与研究引擎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116"/>
        <w:gridCol w:w="3347"/>
        <w:gridCol w:w="3570"/>
        <w:gridCol w:w="937"/>
        <w:gridCol w:w="936"/>
      </w:tblGrid>
      <w:tr>
        <w:trPr>
          <w:cantSplit/>
          <w:tblHeader/>
        </w:trPr>
        <w:tc>
          <w:tcPr>
            <w:tcW w:type="dxa" w:w="111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334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功能点</w:t>
            </w:r>
          </w:p>
        </w:tc>
        <w:tc>
          <w:tcPr>
            <w:tcW w:type="dxa" w:w="357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dxa" w:w="93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93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所属期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自然语言意图识别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查询、研究、对比、解释四类意图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中文金融语义解析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复合条件、时序表达、指标映射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多轮上下文管理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支持追问与参数修改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语音输入与识别回显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识别结果可编辑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思考过程可视化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展示系统的推理与取数路径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RAG 知识库问答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财报、公告、研报检索增强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AI 内容标识与免责提示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合规必需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P0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期一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内置因子库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覆盖价量、基本面、资金、情绪四类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因子表达式引擎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支持自定义因子构建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对话式因子构建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自然语言直接生成因子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因子有效性分析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IC／IR／分层收益／衰减分析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事件驱动回测引擎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支持多因子组合策略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时点数据管理（PIT）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杜绝未来函数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绩效指标与图表报告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20+ 指标，可导出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回测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样本内外分段检验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强制分割，防过拟合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归因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Brinson 收益归因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配置贡献与选股贡献拆解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组合构建与权重优化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含风险约束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组合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风险敞口与集中度分析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行业、风格、个股维度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</w:tbl>
    <w:p>
      <w:pPr>
        <w:spacing w:after="7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p>
      <w:pPr>
        <w:pStyle w:val="Heading3"/>
        <w:keepNext/>
        <w:spacing w:after="110" w:before="240" w:line="300"/>
      </w:pP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8B5CF6"/>
          <w:sz w:val="22"/>
          <w:szCs w:val="22"/>
        </w:rPr>
        <w:t xml:space="preserve">▍ </w:t>
      </w:r>
      <w:r>
        <w:rPr>
          <w:rFonts w:ascii="Segoe UI" w:cs="Segoe UI" w:eastAsia="微软雅黑" w:hAnsi="Segoe UI"/>
          <w:b/>
          <w:bCs/>
          <w:i w:val="false"/>
          <w:iCs w:val="false"/>
          <w:caps w:val="false"/>
          <w:color w:val="0A1F44"/>
          <w:sz w:val="23"/>
          <w:szCs w:val="23"/>
        </w:rPr>
        <w:t xml:space="preserve">D　舆情、Agent 与 B端</w:t>
      </w:r>
    </w:p>
    <w:tbl>
      <w:tblPr>
        <w:tblW w:type="dxa" w:w="9906"/>
        <w:tblBorders>
          <w:top w:val="single" w:color="0A1F44" w:sz="4"/>
          <w:left w:val="single" w:color="D3DCE8" w:sz="2"/>
          <w:bottom w:val="single" w:color="0A1F44" w:sz="4"/>
          <w:right w:val="single" w:color="D3DCE8" w:sz="2"/>
          <w:insideH w:val="single" w:color="D3DCE8" w:sz="2"/>
          <w:insideV w:val="single" w:color="D3DCE8" w:sz="2"/>
        </w:tblBorders>
      </w:tblPr>
      <w:tblGrid>
        <w:gridCol w:w="1116"/>
        <w:gridCol w:w="3347"/>
        <w:gridCol w:w="3570"/>
        <w:gridCol w:w="937"/>
        <w:gridCol w:w="936"/>
      </w:tblGrid>
      <w:tr>
        <w:trPr>
          <w:cantSplit/>
          <w:tblHeader/>
        </w:trPr>
        <w:tc>
          <w:tcPr>
            <w:tcW w:type="dxa" w:w="111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334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功能点</w:t>
            </w:r>
          </w:p>
        </w:tc>
        <w:tc>
          <w:tcPr>
            <w:tcW w:type="dxa" w:w="3570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说明</w:t>
            </w:r>
          </w:p>
        </w:tc>
        <w:tc>
          <w:tcPr>
            <w:tcW w:type="dxa" w:w="937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936"/>
            <w:shd w:fill="0A1F44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所属期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多源采集适配器框架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新增数据源无需改动上层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境内论坛源接入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雪球、东财股吧、同花顺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境外社媒源接入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Reddit、X、StockTwits、Seeking Alpha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加密原生源接入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KOL 列表、Telegram、Discord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官方信息源接入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公告、研报、财经媒体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清洗、去重与内容审核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含敏感词过滤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情感极性分析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多空强度打分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实体识别与关联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标的、板块、事件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热点聚合与异动预警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话题榜、热度突变检测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舆情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情绪因子化输出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可直接进入回测引擎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19"/>
                <w:szCs w:val="19"/>
              </w:rPr>
              <w:t xml:space="preserve">P1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期二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监控任务配置与编排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自然语言定义规则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策略失效预警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统计显著性阈值触发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定期复核与健康度报告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周／月自动重跑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Agent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调仓建议生成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仅建议，不执行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多租户体系与数据隔离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强隔离，安全测试验证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开放 API 与 SDK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REST + WebSocket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</w:t>
            </w:r>
          </w:p>
        </w:tc>
        <w:tc>
          <w:tcPr>
            <w:tcW w:type="dxa" w:w="334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可嵌入白标组件</w:t>
            </w:r>
          </w:p>
        </w:tc>
        <w:tc>
          <w:tcPr>
            <w:tcW w:type="dxa" w:w="3570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支持品牌定制</w:t>
            </w:r>
          </w:p>
        </w:tc>
        <w:tc>
          <w:tcPr>
            <w:tcW w:type="dxa" w:w="937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  <w:tr>
        <w:trPr>
          <w:cantSplit/>
        </w:trPr>
        <w:tc>
          <w:tcPr>
            <w:tcW w:type="dxa" w:w="111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B端</w:t>
            </w:r>
          </w:p>
        </w:tc>
        <w:tc>
          <w:tcPr>
            <w:tcW w:type="dxa" w:w="334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用量计量与账单</w:t>
            </w:r>
          </w:p>
        </w:tc>
        <w:tc>
          <w:tcPr>
            <w:tcW w:type="dxa" w:w="3570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left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可导出结算数据</w:t>
            </w:r>
          </w:p>
        </w:tc>
        <w:tc>
          <w:tcPr>
            <w:tcW w:type="dxa" w:w="937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19"/>
                <w:szCs w:val="19"/>
              </w:rPr>
              <w:t xml:space="preserve">P2</w:t>
            </w:r>
          </w:p>
        </w:tc>
        <w:tc>
          <w:tcPr>
            <w:tcW w:type="dxa" w:w="936"/>
            <w:shd w:fill="F2F6F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2C3A50"/>
                <w:sz w:val="19"/>
                <w:szCs w:val="19"/>
              </w:rPr>
              <w:t xml:space="preserve">期三</w:t>
            </w:r>
          </w:p>
        </w:tc>
      </w:tr>
    </w:tbl>
    <w:p>
      <w:pPr>
        <w:spacing w:after="90" w:before="0"/>
      </w:pPr>
      <w:r>
        <w:rPr>
          <w:rFonts w:ascii="Segoe UI" w:cs="Segoe UI" w:eastAsia="微软雅黑" w:hAnsi="Segoe UI"/>
          <w:b w:val="false"/>
          <w:bCs w:val="false"/>
          <w:i w:val="false"/>
          <w:iCs w:val="false"/>
          <w:caps w:val="false"/>
          <w:color w:val="2C3A50"/>
          <w:sz w:val="21"/>
          <w:szCs w:val="21"/>
        </w:rPr>
        <w:t xml:space="preserve"/>
      </w:r>
    </w:p>
    <w:tbl>
      <w:tblPr>
        <w:tblW w:type="dxa" w:w="9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single" w:color="FFFFFF" w:sz="8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shd w:fill="FEF3F2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3261E"/>
                <w:sz w:val="32"/>
                <w:szCs w:val="32"/>
              </w:rPr>
              <w:t xml:space="preserve">P0 · 22 项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期一必交付</w:t>
            </w:r>
          </w:p>
        </w:tc>
        <w:tc>
          <w:tcPr>
            <w:tcW w:type="dxa" w:w="3302"/>
            <w:shd w:fill="FFFBEB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B4780C"/>
                <w:sz w:val="32"/>
                <w:szCs w:val="32"/>
              </w:rPr>
              <w:t xml:space="preserve">P1 · 24 项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期二必交付</w:t>
            </w:r>
          </w:p>
        </w:tc>
        <w:tc>
          <w:tcPr>
            <w:tcW w:type="dxa" w:w="3302"/>
            <w:shd w:fill="F2F6FB" w:color="auto" w:val="clear"/>
            <w:tcMar>
              <w:top w:type="dxa" w:w="150"/>
              <w:left w:type="dxa" w:w="90"/>
              <w:bottom w:type="dxa" w:w="150"/>
              <w:right w:type="dxa" w:w="90"/>
            </w:tcMar>
            <w:vAlign w:val="center"/>
          </w:tcPr>
          <w:p>
            <w:pPr>
              <w:spacing w:after="50" w:before="0" w:line="320"/>
              <w:jc w:val="center"/>
            </w:pPr>
            <w:r>
              <w:rPr>
                <w:rFonts w:ascii="Segoe UI" w:cs="Segoe UI" w:eastAsia="微软雅黑" w:hAnsi="Segoe UI"/>
                <w:b/>
                <w:bCs/>
                <w:i w:val="false"/>
                <w:iCs w:val="false"/>
                <w:caps w:val="false"/>
                <w:color w:val="6B7B93"/>
                <w:sz w:val="32"/>
                <w:szCs w:val="32"/>
              </w:rPr>
              <w:t xml:space="preserve">P2 · 12 项</w:t>
            </w:r>
          </w:p>
          <w:p>
            <w:pPr>
              <w:spacing w:after="0" w:before="0" w:line="26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i w:val="false"/>
                <w:iCs w:val="false"/>
                <w:caps w:val="false"/>
                <w:color w:val="6B7B93"/>
                <w:sz w:val="17"/>
                <w:szCs w:val="17"/>
              </w:rPr>
              <w:t xml:space="preserve">期三交付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080" w:right="1000" w:bottom="1000" w:left="1000" w:header="620" w:footer="480" w:gutter="0"/>
          <w:pgNumType w:start="1"/>
          <w:docGrid w:linePitch="360"/>
        </w:sectPr>
      </w:pPr>
    </w:p>
    <w:p>
      <w:pPr>
        <w:spacing w:after="0" w:before="0"/>
        <w:jc w:val="center"/>
      </w:pPr>
      <w:r>
        <w:drawing>
          <wp:inline distT="0" distB="0" distL="0" distR="0">
            <wp:extent cx="664845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</w:pPr>
    </w:p>
    <w:tbl>
      <w:tblPr>
        <w:tblW w:type="dxa" w:w="10466"/>
        <w:tblBorders>
          <w:top w:val="single" w:color="00A8D6" w:sz="12"/>
          <w:left w:val="single" w:color="00A8D6" w:sz="6"/>
          <w:bottom w:val="single" w:color="00A8D6" w:sz="6"/>
          <w:right w:val="single" w:color="00A8D6" w:sz="6"/>
          <w:insideH w:val="none" w:color="auto" w:sz="0"/>
          <w:insideV w:val="none" w:color="auto" w:sz="0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shd w:fill="0A1F44" w:color="auto" w:val="clear"/>
            <w:tcMar>
              <w:top w:type="dxa" w:w="420"/>
              <w:left w:type="dxa" w:w="300"/>
              <w:bottom w:type="dxa" w:w="420"/>
              <w:right w:type="dxa" w:w="300"/>
            </w:tcMar>
            <w:vAlign w:val="center"/>
          </w:tcPr>
          <w:p>
            <w:pPr>
              <w:spacing w:after="180" w:before="0" w:line="340"/>
              <w:jc w:val="center"/>
            </w:pPr>
            <w:r>
              <w:rPr>
                <w:rFonts w:ascii="Segoe UI" w:cs="Segoe UI" w:eastAsia="微软雅黑" w:hAnsi="Segoe UI"/>
                <w:b/>
                <w:bCs/>
                <w:color w:val="FFFFFF"/>
                <w:spacing w:val="60"/>
                <w:sz w:val="46"/>
                <w:szCs w:val="46"/>
              </w:rPr>
              <w:t xml:space="preserve">感 谢 评 阅</w:t>
            </w:r>
          </w:p>
          <w:p>
            <w:pPr>
              <w:spacing w:after="90" w:before="0" w:line="34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5CF0DA"/>
                <w:sz w:val="26"/>
                <w:szCs w:val="26"/>
              </w:rPr>
              <w:t xml:space="preserve">期待与【甲方名称】共同构建</w:t>
            </w:r>
          </w:p>
          <w:p>
            <w:pPr>
              <w:spacing w:after="0" w:before="0" w:line="340"/>
              <w:jc w:val="center"/>
            </w:pPr>
            <w:r>
              <w:rPr>
                <w:rFonts w:ascii="Segoe UI" w:cs="Segoe UI" w:eastAsia="微软雅黑" w:hAnsi="Segoe UI"/>
                <w:b w:val="false"/>
                <w:bCs w:val="false"/>
                <w:color w:val="5CF0DA"/>
                <w:sz w:val="26"/>
                <w:szCs w:val="26"/>
              </w:rPr>
              <w:t xml:space="preserve">下一代 AI 投研基础设施</w:t>
            </w:r>
          </w:p>
        </w:tc>
      </w:tr>
    </w:tbl>
    <w:p>
      <w:pPr>
        <w:spacing w:after="900" w:before="0"/>
      </w:pPr>
    </w:p>
    <w:tbl>
      <w:tblPr>
        <w:tblW w:type="dxa" w:w="10466"/>
        <w:tblBorders>
          <w:top w:val="single" w:color="C9A961" w:sz="4"/>
          <w:left w:val="single" w:color="C9A961" w:sz="4"/>
          <w:bottom w:val="single" w:color="C9A961" w:sz="4"/>
          <w:right w:val="single" w:color="C9A961" w:sz="4"/>
          <w:insideH w:val="single" w:color="E4D9BC" w:sz="2"/>
          <w:insideV w:val="single" w:color="E4D9BC" w:sz="2"/>
        </w:tblBorders>
      </w:tblPr>
      <w:tblGrid>
        <w:gridCol w:w="2600"/>
        <w:gridCol w:w="7866"/>
      </w:tblGrid>
      <w:tr>
        <w:trPr>
          <w:cantSplit/>
        </w:trPr>
        <w:tc>
          <w:tcPr>
            <w:tcW w:type="dxa" w:w="2600"/>
            <w:shd w:fill="FBF4E3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承 制 方</w:t>
            </w:r>
          </w:p>
        </w:tc>
        <w:tc>
          <w:tcPr>
            <w:tcW w:type="dxa" w:w="7866"/>
            <w:shd w:fill="FFFFFF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color w:val="0A1F44"/>
                <w:sz w:val="22"/>
                <w:szCs w:val="22"/>
              </w:rPr>
              <w:t xml:space="preserve">【乙方名称】</w:t>
            </w:r>
          </w:p>
        </w:tc>
      </w:tr>
      <w:tr>
        <w:trPr>
          <w:cantSplit/>
        </w:trPr>
        <w:tc>
          <w:tcPr>
            <w:tcW w:type="dxa" w:w="2600"/>
            <w:shd w:fill="FBF4E3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联 系 人</w:t>
            </w:r>
          </w:p>
        </w:tc>
        <w:tc>
          <w:tcPr>
            <w:tcW w:type="dxa" w:w="7866"/>
            <w:shd w:fill="FFFFFF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color w:val="0A1F44"/>
                <w:sz w:val="22"/>
                <w:szCs w:val="22"/>
              </w:rPr>
              <w:t xml:space="preserve">【姓名】　　电话：【　　　】</w:t>
            </w:r>
          </w:p>
        </w:tc>
      </w:tr>
      <w:tr>
        <w:trPr>
          <w:cantSplit/>
        </w:trPr>
        <w:tc>
          <w:tcPr>
            <w:tcW w:type="dxa" w:w="2600"/>
            <w:shd w:fill="FBF4E3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b/>
                <w:bCs/>
                <w:color w:val="A8853C"/>
                <w:sz w:val="22"/>
                <w:szCs w:val="22"/>
              </w:rPr>
              <w:t xml:space="preserve">邮　　箱</w:t>
            </w:r>
          </w:p>
        </w:tc>
        <w:tc>
          <w:tcPr>
            <w:tcW w:type="dxa" w:w="7866"/>
            <w:shd w:fill="FFFFFF" w:color="auto" w:val="clear"/>
            <w:tcMar>
              <w:top w:type="dxa" w:w="170"/>
              <w:left w:type="dxa" w:w="260"/>
              <w:bottom w:type="dxa" w:w="170"/>
              <w:right w:type="dxa" w:w="16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微软雅黑" w:hAnsi="Segoe UI"/>
                <w:color w:val="0A1F44"/>
                <w:sz w:val="22"/>
                <w:szCs w:val="22"/>
              </w:rPr>
              <w:t xml:space="preserve">【　　　　　　　　　　】</w:t>
            </w:r>
          </w:p>
        </w:tc>
      </w:tr>
    </w:tbl>
    <w:p>
      <w:pPr>
        <w:spacing w:after="1000" w:before="0"/>
      </w:pPr>
    </w:p>
    <w:p>
      <w:pPr>
        <w:spacing w:after="0" w:before="0" w:line="340"/>
        <w:jc w:val="center"/>
      </w:pPr>
      <w:r>
        <w:rPr>
          <w:rFonts w:ascii="Segoe UI" w:cs="Segoe UI" w:eastAsia="微软雅黑" w:hAnsi="Segoe UI"/>
          <w:b w:val="false"/>
          <w:bCs w:val="false"/>
          <w:color w:val="9AA8BC"/>
          <w:sz w:val="18"/>
          <w:szCs w:val="18"/>
        </w:rPr>
        <w:t xml:space="preserve">— 本文件为商业秘密，未经书面许可不得复制或披露 —</w:t>
      </w:r>
    </w:p>
    <w:sectPr>
      <w:headerReference w:type="default" r:id="rId11"/>
      <w:footerReference w:type="default" r:id="rId12"/>
      <w:pgSz w:w="11906" w:h="16838" w:orient="portrait"/>
      <w:pgMar w:top="900" w:right="720" w:bottom="720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CE8" w:sz="6" w:space="6"/>
      </w:pBdr>
      <w:spacing w:after="0" w:before="60"/>
      <w:jc w:val="center"/>
    </w:pPr>
    <w:r>
      <w:rPr>
        <w:rFonts w:ascii="Segoe UI" w:cs="Segoe UI" w:eastAsia="微软雅黑" w:hAnsi="Segoe UI"/>
        <w:color w:val="9AA8BC"/>
        <w:sz w:val="16"/>
        <w:szCs w:val="16"/>
      </w:rPr>
      <w:t xml:space="preserve">— </w:t>
    </w:r>
    <w:r>
      <w:rPr>
        <w:rFonts w:ascii="Segoe UI" w:cs="Segoe UI" w:eastAsia="微软雅黑" w:hAnsi="Segoe UI"/>
        <w:b/>
        <w:bCs/>
        <w:color w:val="A8853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微软雅黑" w:hAnsi="Segoe UI"/>
        <w:color w:val="9AA8BC"/>
        <w:sz w:val="16"/>
        <w:szCs w:val="16"/>
      </w:rPr>
      <w:t xml:space="preserve"> / </w:t>
    </w:r>
    <w:r>
      <w:rPr>
        <w:rFonts w:ascii="Segoe UI" w:cs="Segoe UI" w:eastAsia="微软雅黑" w:hAnsi="Segoe UI"/>
        <w:color w:val="9AA8BC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Segoe UI" w:cs="Segoe UI" w:eastAsia="微软雅黑" w:hAnsi="Segoe UI"/>
        <w:color w:val="9AA8BC"/>
        <w:sz w:val="16"/>
        <w:szCs w:val="16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961" w:sz="6" w:space="5"/>
      </w:pBdr>
      <w:tabs>
        <w:tab w:val="right" w:pos="9906"/>
      </w:tabs>
      <w:spacing w:after="40" w:before="0"/>
    </w:pPr>
    <w:r>
      <w:rPr>
        <w:rFonts w:ascii="Segoe UI" w:cs="Segoe UI" w:eastAsia="微软雅黑" w:hAnsi="Segoe UI"/>
        <w:b/>
        <w:bCs/>
        <w:color w:val="0A1F44"/>
        <w:sz w:val="15"/>
        <w:szCs w:val="15"/>
      </w:rPr>
      <w:t xml:space="preserve">AI 智能投研平台</w:t>
    </w:r>
    <w:r>
      <w:rPr>
        <w:rFonts w:ascii="Segoe UI" w:cs="Segoe UI" w:eastAsia="微软雅黑" w:hAnsi="Segoe UI"/>
        <w:color w:val="9AA8BC"/>
        <w:sz w:val="15"/>
        <w:szCs w:val="15"/>
      </w:rPr>
      <w:t xml:space="preserve">　·　商务技术方案与模块报价书</w:t>
    </w:r>
    <w:r>
      <w:rPr>
        <w:rFonts w:ascii="Segoe UI" w:cs="Segoe UI" w:eastAsia="微软雅黑" w:hAnsi="Segoe UI"/>
        <w:color w:val="9AA8BC"/>
        <w:sz w:val="15"/>
        <w:szCs w:val="15"/>
      </w:rPr>
      <w:t xml:space="preserve">	机密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微软雅黑" w:hAnsi="Segoe UI"/>
        <w:color w:val="2C3A5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egoe UI" w:cs="Segoe UI" w:eastAsia="微软雅黑" w:hAnsi="Segoe UI"/>
      <w:b/>
      <w:bCs/>
      <w:color w:val="0A1F4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Segoe UI" w:cs="Segoe UI" w:eastAsia="微软雅黑" w:hAnsi="Segoe UI"/>
      <w:b/>
      <w:bCs/>
      <w:color w:val="0A1F44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Segoe UI" w:cs="Segoe UI" w:eastAsia="微软雅黑" w:hAnsi="Segoe UI"/>
      <w:b/>
      <w:bCs/>
      <w:color w:val="0A1F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6f0f1384b3a28abf678c08f02e3c54359410008c.png"/><Relationship Id="rId14" Type="http://schemas.openxmlformats.org/officeDocument/2006/relationships/image" Target="media/a7b8bc8d207f58dfdb92767f453a9ab9da9c2ae0.png"/><Relationship Id="rId15" Type="http://schemas.openxmlformats.org/officeDocument/2006/relationships/image" Target="media/23e2840e1829ca30679d52292b31db790cd802ac.png"/><Relationship Id="rId16" Type="http://schemas.openxmlformats.org/officeDocument/2006/relationships/image" Target="media/603e71193f64a3a7633ef7c6b104e41db4758316.png"/><Relationship Id="rId17" Type="http://schemas.openxmlformats.org/officeDocument/2006/relationships/image" Target="media/1061b102832292d9b6f8604a6a7b1991c8cececb.png"/><Relationship Id="rId18" Type="http://schemas.openxmlformats.org/officeDocument/2006/relationships/image" Target="media/bd8ac95ac755e751b734532b38a453aa49e1f479.png"/><Relationship Id="rId19" Type="http://schemas.openxmlformats.org/officeDocument/2006/relationships/image" Target="media/2ccba0d84bfdb527bea42cadd3f0a08c287d4608.png"/><Relationship Id="rId20" Type="http://schemas.openxmlformats.org/officeDocument/2006/relationships/image" Target="media/a2fcb1d977da76eb3a547ddb623457c1f84e6121.png"/><Relationship Id="rId21" Type="http://schemas.openxmlformats.org/officeDocument/2006/relationships/image" Target="media/23454b26759941313f1838a3ae312d652205a19c.png"/><Relationship Id="rId22" Type="http://schemas.openxmlformats.org/officeDocument/2006/relationships/image" Target="media/98960d6df5da330c49465525a8d1f401b2e00ad6.png"/><Relationship Id="rId23" Type="http://schemas.openxmlformats.org/officeDocument/2006/relationships/image" Target="media/5f783316f3160ff69805dd64d324e046d14b2444.png"/><Relationship Id="rId24" Type="http://schemas.openxmlformats.org/officeDocument/2006/relationships/image" Target="media/e3278cd0f87520cce30f35efdb52c54f568ebe2c.png"/><Relationship Id="rId25" Type="http://schemas.openxmlformats.org/officeDocument/2006/relationships/image" Target="media/aeb0e4d3dcb9acd0ca9ba74bb1f71a66255de7db.png"/><Relationship Id="rId26" Type="http://schemas.openxmlformats.org/officeDocument/2006/relationships/image" Target="media/990edf30b0daf7b0b552b3d42d2ac3db9a74860d.png"/><Relationship Id="rId27" Type="http://schemas.openxmlformats.org/officeDocument/2006/relationships/image" Target="media/15994add2c443a77eba726f5a32c253e25749e50.png"/><Relationship Id="rId28" Type="http://schemas.openxmlformats.org/officeDocument/2006/relationships/image" Target="media/d96184a6103bfecf8bb4d86064d31c4b525681c5.png"/><Relationship Id="rId29" Type="http://schemas.openxmlformats.org/officeDocument/2006/relationships/image" Target="media/5c4f646f9c432643d6408ee28aed5966dbf61770.png"/><Relationship Id="rId30" Type="http://schemas.openxmlformats.org/officeDocument/2006/relationships/image" Target="media/933ba123f1431f9dd11e427d0c7b8be237bcc547.png"/><Relationship Id="rId31" Type="http://schemas.openxmlformats.org/officeDocument/2006/relationships/image" Target="media/4f91bf0b38c59a91c162b1f55480e0ac96cfa4b9.png"/><Relationship Id="rId32" Type="http://schemas.openxmlformats.org/officeDocument/2006/relationships/image" Target="media/208f84b9a339c090068c52c029422d44d7e5dbb0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智能投研平台 · 商务技术方案与模块报价书</dc:title>
  <dc:creator>【乙方名称】</dc:creator>
  <dc:description>对标 TryQuant 的深度调研、复刻路径与超越方案</dc:description>
  <cp:lastModifiedBy>Un-named</cp:lastModifiedBy>
  <cp:revision>1</cp:revision>
  <dcterms:created xsi:type="dcterms:W3CDTF">2026-07-27T17:36:46.342Z</dcterms:created>
  <dcterms:modified xsi:type="dcterms:W3CDTF">2026-07-27T17:36:46.342Z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