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20"/>
        <w:jc w:val="center"/>
      </w:pPr>
      <w:r>
        <w:drawing>
          <wp:inline distT="0" distB="0" distL="0" distR="0">
            <wp:extent cx="24574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57450" cy="866775"/>
                    </a:xfrm>
                    <a:prstGeom prst="rect">
                      <a:avLst/>
                    </a:prstGeom>
                  </pic:spPr>
                </pic:pic>
              </a:graphicData>
            </a:graphic>
          </wp:inline>
        </w:drawing>
      </w:r>
    </w:p>
    <w:p>
      <w:pPr>
        <w:spacing w:after="620"/>
        <w:jc w:val="center"/>
      </w:pPr>
      <w:r>
        <w:rPr>
          <w:color w:val="5A6B7E"/>
          <w:sz w:val="22"/>
          <w:szCs w:val="22"/>
          <w:rFonts w:ascii="Calibri" w:hAnsi="Calibri" w:eastAsia="微软雅黑"/>
        </w:rPr>
        <w:t xml:space="preserve">南方电网公司人力资源数智化创新产品评优 · 参赛项目</w:t>
      </w:r>
    </w:p>
    <w:p>
      <w:pPr>
        <w:spacing w:after="140"/>
        <w:jc w:val="center"/>
      </w:pPr>
      <w:r>
        <w:rPr>
          <w:b/>
          <w:bCs/>
          <w:color w:val="00367A"/>
          <w:sz w:val="52"/>
          <w:szCs w:val="52"/>
          <w:rFonts w:ascii="Calibri" w:hAnsi="Calibri" w:eastAsia="微软雅黑"/>
        </w:rPr>
        <w:t xml:space="preserve">高效班组管理助手</w:t>
      </w:r>
    </w:p>
    <w:p>
      <w:pPr>
        <w:spacing w:after="500"/>
        <w:jc w:val="center"/>
      </w:pPr>
      <w:r>
        <w:rPr>
          <w:b/>
          <w:bCs/>
          <w:color w:val="1A2A3A"/>
          <w:sz w:val="40"/>
          <w:szCs w:val="40"/>
          <w:rFonts w:ascii="Calibri" w:hAnsi="Calibri" w:eastAsia="微软雅黑"/>
        </w:rPr>
        <w:t xml:space="preserve">班组数字画像与班组长 AI 助手 · 需求文档</w:t>
      </w:r>
    </w:p>
    <w:p>
      <w:pPr>
        <w:spacing w:after="900"/>
        <w:jc w:val="center"/>
      </w:pPr>
      <w:r>
        <w:rPr>
          <w:color w:val="1E63B8"/>
          <w:sz w:val="23"/>
          <w:szCs w:val="23"/>
          <w:rFonts w:ascii="Calibri" w:hAnsi="Calibri" w:eastAsia="微软雅黑"/>
        </w:rPr>
        <w:t xml:space="preserve">本届展示场景：配网班组的班组建设与日常管理（班组长 · 部门管理者两级视角）</w:t>
      </w:r>
    </w:p>
    <w:tbl>
      <w:tblPr>
        <w:tblW w:type="dxa" w:w="7600"/>
        <w:jc w:val="center"/>
        <w:tblBorders>
          <w:top w:val="single" w:color="C9D6E8" w:sz="4"/>
          <w:left w:val="single" w:color="C9D6E8" w:sz="4"/>
          <w:bottom w:val="single" w:color="C9D6E8" w:sz="4"/>
          <w:right w:val="single" w:color="C9D6E8" w:sz="4"/>
          <w:insideH w:val="single" w:color="C9D6E8" w:sz="4"/>
          <w:insideV w:val="single" w:color="C9D6E8" w:sz="4"/>
        </w:tblBorders>
      </w:tblPr>
      <w:tblGrid>
        <w:gridCol w:w="2600"/>
        <w:gridCol w:w="5000"/>
      </w:tblGrid>
      <w:tr>
        <w:tc>
          <w:tcPr>
            <w:tcW w:type="dxa" w:w="2600"/>
            <w:shd w:fill="EAF1F9" w:val="clear"/>
            <w:tcMar>
              <w:top w:type="dxa" w:w="70"/>
              <w:left w:type="dxa" w:w="110"/>
              <w:bottom w:type="dxa" w:w="70"/>
              <w:right w:type="dxa" w:w="110"/>
            </w:tcMar>
            <w:vAlign w:val="center"/>
          </w:tcPr>
          <w:p>
            <w:pPr>
              <w:spacing w:line="290" w:after="0"/>
              <w:jc w:val="center"/>
            </w:pPr>
            <w:r>
              <w:rPr>
                <w:b/>
                <w:bCs/>
                <w:color w:val="1A2A3A"/>
                <w:sz w:val="21"/>
                <w:szCs w:val="21"/>
                <w:rFonts w:ascii="Calibri" w:hAnsi="Calibri" w:eastAsia="微软雅黑"/>
              </w:rPr>
              <w:t xml:space="preserve">项目编号</w:t>
            </w:r>
          </w:p>
        </w:tc>
        <w:tc>
          <w:tcPr>
            <w:tcW w:type="dxa" w:w="5000"/>
            <w:shd w:fill="FFFFFF" w:val="clear"/>
            <w:tcMar>
              <w:top w:type="dxa" w:w="70"/>
              <w:left w:type="dxa" w:w="110"/>
              <w:bottom w:type="dxa" w:w="70"/>
              <w:right w:type="dxa" w:w="110"/>
            </w:tcMar>
            <w:vAlign w:val="center"/>
          </w:tcPr>
          <w:p>
            <w:pPr>
              <w:spacing w:line="290" w:after="0"/>
            </w:pPr>
            <w:r>
              <w:rPr>
                <w:color w:val="1A2A3A"/>
                <w:sz w:val="21"/>
                <w:szCs w:val="21"/>
                <w:rFonts w:ascii="Calibri" w:hAnsi="Calibri" w:eastAsia="微软雅黑"/>
              </w:rPr>
              <w:t xml:space="preserve">小瓦特·HR家族 05</w:t>
            </w:r>
          </w:p>
        </w:tc>
      </w:tr>
      <w:tr>
        <w:tc>
          <w:tcPr>
            <w:tcW w:type="dxa" w:w="2600"/>
            <w:shd w:fill="EAF1F9" w:val="clear"/>
            <w:tcMar>
              <w:top w:type="dxa" w:w="70"/>
              <w:left w:type="dxa" w:w="110"/>
              <w:bottom w:type="dxa" w:w="70"/>
              <w:right w:type="dxa" w:w="110"/>
            </w:tcMar>
            <w:vAlign w:val="center"/>
          </w:tcPr>
          <w:p>
            <w:pPr>
              <w:spacing w:line="290" w:after="0"/>
              <w:jc w:val="center"/>
            </w:pPr>
            <w:r>
              <w:rPr>
                <w:b/>
                <w:bCs/>
                <w:color w:val="1A2A3A"/>
                <w:sz w:val="21"/>
                <w:szCs w:val="21"/>
                <w:rFonts w:ascii="Calibri" w:hAnsi="Calibri" w:eastAsia="微软雅黑"/>
              </w:rPr>
              <w:t xml:space="preserve">业务方</w:t>
            </w:r>
          </w:p>
        </w:tc>
        <w:tc>
          <w:tcPr>
            <w:tcW w:type="dxa" w:w="5000"/>
            <w:shd w:fill="F4F8FC" w:val="clear"/>
            <w:tcMar>
              <w:top w:type="dxa" w:w="70"/>
              <w:left w:type="dxa" w:w="110"/>
              <w:bottom w:type="dxa" w:w="70"/>
              <w:right w:type="dxa" w:w="110"/>
            </w:tcMar>
            <w:vAlign w:val="center"/>
          </w:tcPr>
          <w:p>
            <w:pPr>
              <w:spacing w:line="290" w:after="0"/>
            </w:pPr>
            <w:r>
              <w:rPr>
                <w:color w:val="1A2A3A"/>
                <w:sz w:val="21"/>
                <w:szCs w:val="21"/>
                <w:rFonts w:ascii="Calibri" w:hAnsi="Calibri" w:eastAsia="微软雅黑"/>
              </w:rPr>
              <w:t xml:space="preserve">深圳供电局 光明供电局</w:t>
            </w:r>
          </w:p>
        </w:tc>
      </w:tr>
      <w:tr>
        <w:tc>
          <w:tcPr>
            <w:tcW w:type="dxa" w:w="2600"/>
            <w:shd w:fill="EAF1F9" w:val="clear"/>
            <w:tcMar>
              <w:top w:type="dxa" w:w="70"/>
              <w:left w:type="dxa" w:w="110"/>
              <w:bottom w:type="dxa" w:w="70"/>
              <w:right w:type="dxa" w:w="110"/>
            </w:tcMar>
            <w:vAlign w:val="center"/>
          </w:tcPr>
          <w:p>
            <w:pPr>
              <w:spacing w:line="290" w:after="0"/>
              <w:jc w:val="center"/>
            </w:pPr>
            <w:r>
              <w:rPr>
                <w:b/>
                <w:bCs/>
                <w:color w:val="1A2A3A"/>
                <w:sz w:val="21"/>
                <w:szCs w:val="21"/>
                <w:rFonts w:ascii="Calibri" w:hAnsi="Calibri" w:eastAsia="微软雅黑"/>
              </w:rPr>
              <w:t xml:space="preserve">业务联系人</w:t>
            </w:r>
          </w:p>
        </w:tc>
        <w:tc>
          <w:tcPr>
            <w:tcW w:type="dxa" w:w="5000"/>
            <w:shd w:fill="FFFFFF" w:val="clear"/>
            <w:tcMar>
              <w:top w:type="dxa" w:w="70"/>
              <w:left w:type="dxa" w:w="110"/>
              <w:bottom w:type="dxa" w:w="70"/>
              <w:right w:type="dxa" w:w="110"/>
            </w:tcMar>
            <w:vAlign w:val="center"/>
          </w:tcPr>
          <w:p>
            <w:pPr>
              <w:spacing w:line="290" w:after="0"/>
            </w:pPr>
            <w:r>
              <w:rPr>
                <w:color w:val="1A2A3A"/>
                <w:sz w:val="21"/>
                <w:szCs w:val="21"/>
                <w:rFonts w:ascii="Calibri" w:hAnsi="Calibri" w:eastAsia="微软雅黑"/>
              </w:rPr>
              <w:t xml:space="preserve">林洁怡</w:t>
            </w:r>
          </w:p>
        </w:tc>
      </w:tr>
      <w:tr>
        <w:tc>
          <w:tcPr>
            <w:tcW w:type="dxa" w:w="2600"/>
            <w:shd w:fill="EAF1F9" w:val="clear"/>
            <w:tcMar>
              <w:top w:type="dxa" w:w="70"/>
              <w:left w:type="dxa" w:w="110"/>
              <w:bottom w:type="dxa" w:w="70"/>
              <w:right w:type="dxa" w:w="110"/>
            </w:tcMar>
            <w:vAlign w:val="center"/>
          </w:tcPr>
          <w:p>
            <w:pPr>
              <w:spacing w:line="290" w:after="0"/>
              <w:jc w:val="center"/>
            </w:pPr>
            <w:r>
              <w:rPr>
                <w:b/>
                <w:bCs/>
                <w:color w:val="1A2A3A"/>
                <w:sz w:val="21"/>
                <w:szCs w:val="21"/>
                <w:rFonts w:ascii="Calibri" w:hAnsi="Calibri" w:eastAsia="微软雅黑"/>
              </w:rPr>
              <w:t xml:space="preserve">文档版本</w:t>
            </w:r>
          </w:p>
        </w:tc>
        <w:tc>
          <w:tcPr>
            <w:tcW w:type="dxa" w:w="5000"/>
            <w:shd w:fill="F4F8FC" w:val="clear"/>
            <w:tcMar>
              <w:top w:type="dxa" w:w="70"/>
              <w:left w:type="dxa" w:w="110"/>
              <w:bottom w:type="dxa" w:w="70"/>
              <w:right w:type="dxa" w:w="110"/>
            </w:tcMar>
            <w:vAlign w:val="center"/>
          </w:tcPr>
          <w:p>
            <w:pPr>
              <w:spacing w:line="290" w:after="0"/>
            </w:pPr>
            <w:r>
              <w:rPr>
                <w:color w:val="1A2A3A"/>
                <w:sz w:val="21"/>
                <w:szCs w:val="21"/>
                <w:rFonts w:ascii="Calibri" w:hAnsi="Calibri" w:eastAsia="微软雅黑"/>
              </w:rPr>
              <w:t xml:space="preserve">V2.0（按 2026 年 10 月产品形态重写）</w:t>
            </w:r>
          </w:p>
        </w:tc>
      </w:tr>
      <w:tr>
        <w:tc>
          <w:tcPr>
            <w:tcW w:type="dxa" w:w="2600"/>
            <w:shd w:fill="EAF1F9" w:val="clear"/>
            <w:tcMar>
              <w:top w:type="dxa" w:w="70"/>
              <w:left w:type="dxa" w:w="110"/>
              <w:bottom w:type="dxa" w:w="70"/>
              <w:right w:type="dxa" w:w="110"/>
            </w:tcMar>
            <w:vAlign w:val="center"/>
          </w:tcPr>
          <w:p>
            <w:pPr>
              <w:spacing w:line="290" w:after="0"/>
              <w:jc w:val="center"/>
            </w:pPr>
            <w:r>
              <w:rPr>
                <w:b/>
                <w:bCs/>
                <w:color w:val="1A2A3A"/>
                <w:sz w:val="21"/>
                <w:szCs w:val="21"/>
                <w:rFonts w:ascii="Calibri" w:hAnsi="Calibri" w:eastAsia="微软雅黑"/>
              </w:rPr>
              <w:t xml:space="preserve">编制日期</w:t>
            </w:r>
          </w:p>
        </w:tc>
        <w:tc>
          <w:tcPr>
            <w:tcW w:type="dxa" w:w="5000"/>
            <w:shd w:fill="FFFFFF" w:val="clear"/>
            <w:tcMar>
              <w:top w:type="dxa" w:w="70"/>
              <w:left w:type="dxa" w:w="110"/>
              <w:bottom w:type="dxa" w:w="70"/>
              <w:right w:type="dxa" w:w="110"/>
            </w:tcMar>
            <w:vAlign w:val="center"/>
          </w:tcPr>
          <w:p>
            <w:pPr>
              <w:spacing w:line="290" w:after="0"/>
            </w:pPr>
            <w:r>
              <w:rPr>
                <w:color w:val="1A2A3A"/>
                <w:sz w:val="21"/>
                <w:szCs w:val="21"/>
                <w:rFonts w:ascii="Calibri" w:hAnsi="Calibri" w:eastAsia="微软雅黑"/>
              </w:rPr>
              <w:t xml:space="preserve">2026年10月</w:t>
            </w:r>
          </w:p>
        </w:tc>
      </w:tr>
      <w:tr>
        <w:tc>
          <w:tcPr>
            <w:tcW w:type="dxa" w:w="2600"/>
            <w:shd w:fill="EAF1F9" w:val="clear"/>
            <w:tcMar>
              <w:top w:type="dxa" w:w="70"/>
              <w:left w:type="dxa" w:w="110"/>
              <w:bottom w:type="dxa" w:w="70"/>
              <w:right w:type="dxa" w:w="110"/>
            </w:tcMar>
            <w:vAlign w:val="center"/>
          </w:tcPr>
          <w:p>
            <w:pPr>
              <w:spacing w:line="290" w:after="0"/>
              <w:jc w:val="center"/>
            </w:pPr>
            <w:r>
              <w:rPr>
                <w:b/>
                <w:bCs/>
                <w:color w:val="1A2A3A"/>
                <w:sz w:val="21"/>
                <w:szCs w:val="21"/>
                <w:rFonts w:ascii="Calibri" w:hAnsi="Calibri" w:eastAsia="微软雅黑"/>
              </w:rPr>
              <w:t xml:space="preserve">文档密级</w:t>
            </w:r>
          </w:p>
        </w:tc>
        <w:tc>
          <w:tcPr>
            <w:tcW w:type="dxa" w:w="5000"/>
            <w:shd w:fill="F4F8FC" w:val="clear"/>
            <w:tcMar>
              <w:top w:type="dxa" w:w="70"/>
              <w:left w:type="dxa" w:w="110"/>
              <w:bottom w:type="dxa" w:w="70"/>
              <w:right w:type="dxa" w:w="110"/>
            </w:tcMar>
            <w:vAlign w:val="center"/>
          </w:tcPr>
          <w:p>
            <w:pPr>
              <w:spacing w:line="290" w:after="0"/>
            </w:pPr>
            <w:r>
              <w:rPr>
                <w:color w:val="1A2A3A"/>
                <w:sz w:val="21"/>
                <w:szCs w:val="21"/>
                <w:rFonts w:ascii="Calibri" w:hAnsi="Calibri" w:eastAsia="微软雅黑"/>
              </w:rPr>
              <w:t xml:space="preserve">内部资料</w:t>
            </w:r>
          </w:p>
        </w:tc>
      </w:tr>
    </w:tbl>
    <w:p>
      <w:pPr>
        <w:pageBreakBefore/>
      </w:pPr>
    </w:p>
    <w:p>
      <w:pPr>
        <w:pStyle w:val="Heading1"/>
        <w:pBdr>
          <w:bottom w:val="single" w:color="00367A" w:sz="8" w:space="4"/>
        </w:pBdr>
        <w:spacing w:before="340" w:after="180" w:line="300"/>
      </w:pPr>
      <w:r>
        <w:rPr>
          <w:b/>
          <w:bCs/>
          <w:color w:val="00367A"/>
          <w:sz w:val="31"/>
          <w:szCs w:val="31"/>
          <w:rFonts w:ascii="Calibri" w:hAnsi="Calibri" w:eastAsia="微软雅黑"/>
        </w:rPr>
        <w:t xml:space="preserve">一、立项背景与战略定位</w:t>
      </w:r>
    </w:p>
    <w:p>
      <w:pPr>
        <w:pBdr>
          <w:left w:val="single" w:color="00367A" w:sz="18" w:space="10"/>
        </w:pBdr>
        <w:shd w:fill="EAF1F9" w:val="clear"/>
        <w:spacing w:line="330" w:before="80" w:after="200"/>
        <w:ind w:left="180" w:right="180"/>
      </w:pPr>
      <w:r>
        <w:rPr>
          <w:b/>
          <w:bCs/>
          <w:color w:val="00367A"/>
          <w:sz w:val="22"/>
          <w:szCs w:val="22"/>
          <w:rFonts w:ascii="Calibri" w:hAnsi="Calibri" w:eastAsia="微软雅黑"/>
        </w:rPr>
        <w:t xml:space="preserve">班组是电网企业最基层的生产组织，也是公司各项管理要求最终落地的地方。公司数字化转型已经让台账、工单、两票、周报进了系统，但这些数据还没有在班组长手里变成一张能回答"这个班组缺什么、这个人几斤几两"的画像，更没有变成班组长每天派工、带人、考评时的决策依据。高效班组管理助手就是要把公司已有的数据，在班组这一级变成管理能力。</w:t>
      </w:r>
    </w:p>
    <w:p>
      <w:pPr>
        <w:pStyle w:val="Heading2"/>
        <w:spacing w:before="240" w:after="130" w:line="300"/>
      </w:pPr>
      <w:r>
        <w:rPr>
          <w:b/>
          <w:bCs/>
          <w:color w:val="00367A"/>
          <w:sz w:val="25"/>
          <w:szCs w:val="25"/>
          <w:rFonts w:ascii="Calibri" w:hAnsi="Calibri" w:eastAsia="微软雅黑"/>
        </w:rPr>
        <w:t xml:space="preserve">1.1 公司为什么要做这件事</w:t>
      </w:r>
    </w:p>
    <w:p>
      <w:pPr>
        <w:spacing w:line="320" w:after="130"/>
      </w:pPr>
      <w:r>
        <w:rPr>
          <w:color w:val="1A2A3A"/>
          <w:sz w:val="21"/>
          <w:szCs w:val="21"/>
          <w:rFonts w:ascii="Calibri" w:hAnsi="Calibri" w:eastAsia="微软雅黑"/>
        </w:rPr>
      </w:r>
      <w:r>
        <w:rPr>
          <w:b/>
          <w:bCs/>
          <w:color w:val="1A2A3A"/>
          <w:sz w:val="21"/>
          <w:szCs w:val="21"/>
          <w:rFonts w:ascii="Calibri" w:hAnsi="Calibri" w:eastAsia="微软雅黑"/>
        </w:rPr>
        <w:t xml:space="preserve">从公司对班组建设的要求看。</w:t>
      </w:r>
      <w:r>
        <w:rPr>
          <w:color w:val="1A2A3A"/>
          <w:sz w:val="21"/>
          <w:szCs w:val="21"/>
          <w:rFonts w:ascii="Calibri" w:hAnsi="Calibri" w:eastAsia="微软雅黑"/>
        </w:rPr>
        <w:t xml:space="preserve">班组长既要干活又要带队伍：派工要看证书、作业授权、工时与冲突；带人要看技能断层、师带徒、授权认证；考评要看履职证据与工作量；关怀要记得关键年份与高强度外勤。公司有星级班组评价标准、员工年度业绩责任书、技能类岗位胜任能力评价作业授权认证等明确的管理要求，但对照、找差距、定措施这些工作目前靠班组长人工完成。</w:t>
      </w:r>
    </w:p>
    <w:p>
      <w:pPr>
        <w:spacing w:line="320" w:after="130"/>
      </w:pPr>
      <w:r>
        <w:rPr>
          <w:color w:val="1A2A3A"/>
          <w:sz w:val="21"/>
          <w:szCs w:val="21"/>
          <w:rFonts w:ascii="Calibri" w:hAnsi="Calibri" w:eastAsia="微软雅黑"/>
        </w:rPr>
      </w:r>
      <w:r>
        <w:rPr>
          <w:b/>
          <w:bCs/>
          <w:color w:val="1A2A3A"/>
          <w:sz w:val="21"/>
          <w:szCs w:val="21"/>
          <w:rFonts w:ascii="Calibri" w:hAnsi="Calibri" w:eastAsia="微软雅黑"/>
        </w:rPr>
        <w:t xml:space="preserve">从公司数字化转型的部署看。</w:t>
      </w:r>
      <w:r>
        <w:rPr>
          <w:color w:val="1A2A3A"/>
          <w:sz w:val="21"/>
          <w:szCs w:val="21"/>
          <w:rFonts w:ascii="Calibri" w:hAnsi="Calibri" w:eastAsia="微软雅黑"/>
        </w:rPr>
        <w:t xml:space="preserve">国务院国资委对国有企业数字化转型作出部署，南方电网公司持续推进数字化转型与数字电网建设。人资系统、工分制考核、OMS 缺陷与工单、OCS 终端在线、电网管理平台两票与计划、党建系统已经各自数字化，但在班组这一级仍是分散的：班组长要掌握全貌需要逐个系统、逐本台账查看，手工汇集。数字化转型落到基层的标志，是班组长不再抄数，而是在一屏画像上做判断。</w:t>
      </w:r>
    </w:p>
    <w:p>
      <w:pPr>
        <w:spacing w:line="320" w:after="130"/>
      </w:pPr>
      <w:r>
        <w:rPr>
          <w:color w:val="1A2A3A"/>
          <w:sz w:val="21"/>
          <w:szCs w:val="21"/>
          <w:rFonts w:ascii="Calibri" w:hAnsi="Calibri" w:eastAsia="微软雅黑"/>
        </w:rPr>
      </w:r>
      <w:r>
        <w:rPr>
          <w:b/>
          <w:bCs/>
          <w:color w:val="1A2A3A"/>
          <w:sz w:val="21"/>
          <w:szCs w:val="21"/>
          <w:rFonts w:ascii="Calibri" w:hAnsi="Calibri" w:eastAsia="微软雅黑"/>
        </w:rPr>
        <w:t xml:space="preserve">从新型电力系统对配网队伍的要求看。</w:t>
      </w:r>
      <w:r>
        <w:rPr>
          <w:color w:val="1A2A3A"/>
          <w:sz w:val="21"/>
          <w:szCs w:val="21"/>
          <w:rFonts w:ascii="Calibri" w:hAnsi="Calibri" w:eastAsia="微软雅黑"/>
        </w:rPr>
        <w:t xml:space="preserve">配网自动化、终端规模与业务量持续增长，而配电自动化等专业的技能人才存在断层风险；公司推进技能人才队伍建设与作业授权管理，需要在班组一级看清楚谁能干什么、谁该培养、谁将退休。这些判断需要数据，也需要一位随时在侧的助手。</w:t>
      </w:r>
    </w:p>
    <w:p>
      <w:pPr>
        <w:spacing w:line="320" w:after="130"/>
      </w:pPr>
      <w:r>
        <w:rPr>
          <w:color w:val="1A2A3A"/>
          <w:sz w:val="21"/>
          <w:szCs w:val="21"/>
          <w:rFonts w:ascii="Calibri" w:hAnsi="Calibri" w:eastAsia="微软雅黑"/>
        </w:rPr>
      </w:r>
      <w:r>
        <w:rPr>
          <w:b/>
          <w:bCs/>
          <w:color w:val="1A2A3A"/>
          <w:sz w:val="21"/>
          <w:szCs w:val="21"/>
          <w:rFonts w:ascii="Calibri" w:hAnsi="Calibri" w:eastAsia="微软雅黑"/>
        </w:rPr>
        <w:t xml:space="preserve">从基层减负看。</w:t>
      </w:r>
      <w:r>
        <w:rPr>
          <w:color w:val="1A2A3A"/>
          <w:sz w:val="21"/>
          <w:szCs w:val="21"/>
          <w:rFonts w:ascii="Calibri" w:hAnsi="Calibri" w:eastAsia="微软雅黑"/>
        </w:rPr>
        <w:t xml:space="preserve">班前会材料、月度总结、绩效分配表、面谈提纲、诊断报告等例行文稿占用班组长大量工余时间。把"找数、抄数、排版"交给助手，班组长的时间回到判断与确认，这是公司减负要求在班组一级最直接的体现。</w:t>
      </w:r>
    </w:p>
    <w:p>
      <w:pPr>
        <w:pStyle w:val="Heading2"/>
        <w:spacing w:before="240" w:after="130" w:line="300"/>
      </w:pPr>
      <w:r>
        <w:rPr>
          <w:b/>
          <w:bCs/>
          <w:color w:val="00367A"/>
          <w:sz w:val="25"/>
          <w:szCs w:val="25"/>
          <w:rFonts w:ascii="Calibri" w:hAnsi="Calibri" w:eastAsia="微软雅黑"/>
        </w:rPr>
        <w:t xml:space="preserve">1.2 面向的场景与要解决的问题</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1500"/>
        <w:gridCol w:w="2100"/>
        <w:gridCol w:w="2850"/>
        <w:gridCol w:w="3300"/>
      </w:tblGrid>
      <w:tr>
        <w:trPr>
          <w:tblHeader/>
        </w:trPr>
        <w:tc>
          <w:tcPr>
            <w:tcW w:type="dxa" w:w="15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场景</w:t>
            </w:r>
          </w:p>
        </w:tc>
        <w:tc>
          <w:tcPr>
            <w:tcW w:type="dxa" w:w="21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现在怎么做</w:t>
            </w:r>
          </w:p>
        </w:tc>
        <w:tc>
          <w:tcPr>
            <w:tcW w:type="dxa" w:w="28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问题在哪里</w:t>
            </w:r>
          </w:p>
        </w:tc>
        <w:tc>
          <w:tcPr>
            <w:tcW w:type="dxa" w:w="33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本产品怎么解决</w:t>
            </w:r>
          </w:p>
        </w:tc>
      </w:tr>
      <w:tr>
        <w:tc>
          <w:tcPr>
            <w:tcW w:type="dxa" w:w="15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派工</w:t>
            </w:r>
          </w:p>
        </w:tc>
        <w:tc>
          <w:tcPr>
            <w:tcW w:type="dxa" w:w="21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凭记忆与经验选人</w:t>
            </w:r>
          </w:p>
        </w:tc>
        <w:tc>
          <w:tcPr>
            <w:tcW w:type="dxa" w:w="2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证书、作业授权、本周工时、当天冲突四条规则靠人脑核对，理由不留痕</w:t>
            </w:r>
          </w:p>
        </w:tc>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四条规则逐人给出推荐、随队、排除的理由表，派工单落台账，工作票与班前会材料随单起草</w:t>
            </w:r>
          </w:p>
        </w:tc>
      </w:tr>
      <w:tr>
        <w:tc>
          <w:tcPr>
            <w:tcW w:type="dxa" w:w="15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班组建设</w:t>
            </w:r>
          </w:p>
        </w:tc>
        <w:tc>
          <w:tcPr>
            <w:tcW w:type="dxa" w:w="21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对照星级班组评价标准人工打分</w:t>
            </w:r>
          </w:p>
        </w:tc>
        <w:tc>
          <w:tcPr>
            <w:tcW w:type="dxa" w:w="2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20 个评价维度的现状、差距、提升措施靠手工整理</w:t>
            </w:r>
          </w:p>
        </w:tc>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台账驱动的维度实时初步评分并标红黄绿，差距指标与提升方向逐条列出，由班组长确认</w:t>
            </w:r>
          </w:p>
        </w:tc>
      </w:tr>
      <w:tr>
        <w:tc>
          <w:tcPr>
            <w:tcW w:type="dxa" w:w="15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人员培养</w:t>
            </w:r>
          </w:p>
        </w:tc>
        <w:tc>
          <w:tcPr>
            <w:tcW w:type="dxa" w:w="21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师带徒口头安排，断层靠感觉</w:t>
            </w:r>
          </w:p>
        </w:tc>
        <w:tc>
          <w:tcPr>
            <w:tcW w:type="dxa" w:w="2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哪些★模块授权人数不足、谁该带教取证，没有数据支撑</w:t>
            </w:r>
          </w:p>
        </w:tc>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作业授权认证表 42 模块逐人逐格确认，核心业务自主实施能力与断层风险实时计算，排带教任务</w:t>
            </w:r>
          </w:p>
        </w:tc>
      </w:tr>
      <w:tr>
        <w:tc>
          <w:tcPr>
            <w:tcW w:type="dxa" w:w="15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绩效与激励</w:t>
            </w:r>
          </w:p>
        </w:tc>
        <w:tc>
          <w:tcPr>
            <w:tcW w:type="dxa" w:w="21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月底凭印象定系数</w:t>
            </w:r>
          </w:p>
        </w:tc>
        <w:tc>
          <w:tcPr>
            <w:tcW w:type="dxa" w:w="2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履职证据与工作量分散在台账里，系数推导说不清</w:t>
            </w:r>
          </w:p>
        </w:tc>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五类履职证据逐条带出处，工作量取工分制考核台账，系数逐条推导，确认后生成分配表</w:t>
            </w:r>
          </w:p>
        </w:tc>
      </w:tr>
      <w:tr>
        <w:tc>
          <w:tcPr>
            <w:tcW w:type="dxa" w:w="15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关怀与文化</w:t>
            </w:r>
          </w:p>
        </w:tc>
        <w:tc>
          <w:tcPr>
            <w:tcW w:type="dxa" w:w="21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靠个人记忆</w:t>
            </w:r>
          </w:p>
        </w:tc>
        <w:tc>
          <w:tcPr>
            <w:tcW w:type="dxa" w:w="2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入职关键年份、谈心回访到期、连续高强度外勤容易遗漏</w:t>
            </w:r>
          </w:p>
        </w:tc>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关怀提醒与重点关注人员主动提示，面谈提纲逐段生成，活动记录回写星级评价</w:t>
            </w:r>
          </w:p>
        </w:tc>
      </w:tr>
      <w:tr>
        <w:tc>
          <w:tcPr>
            <w:tcW w:type="dxa" w:w="15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部门管理</w:t>
            </w:r>
          </w:p>
        </w:tc>
        <w:tc>
          <w:tcPr>
            <w:tcW w:type="dxa" w:w="21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逐个班组看报表</w:t>
            </w:r>
          </w:p>
        </w:tc>
        <w:tc>
          <w:tcPr>
            <w:tcW w:type="dxa" w:w="2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考核指标跟踪、班组横向对比、班长绩效、风险、人力配置各自为政</w:t>
            </w:r>
          </w:p>
        </w:tc>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同一套数据向上一层：考核指标红黄绿与督办、横向对比与跨班组调配、班长绩效、风险画像、人力配置参谋，每个动作落到班组长确认</w:t>
            </w:r>
          </w:p>
        </w:tc>
      </w:tr>
    </w:tbl>
    <w:p>
      <w:pPr>
        <w:pStyle w:val="Heading2"/>
        <w:spacing w:before="240" w:after="130" w:line="300"/>
      </w:pPr>
      <w:r>
        <w:rPr>
          <w:b/>
          <w:bCs/>
          <w:color w:val="00367A"/>
          <w:sz w:val="25"/>
          <w:szCs w:val="25"/>
          <w:rFonts w:ascii="Calibri" w:hAnsi="Calibri" w:eastAsia="微软雅黑"/>
        </w:rPr>
        <w:t xml:space="preserve">1.3 在公司数智化转型中的位置</w:t>
      </w:r>
    </w:p>
    <w:p>
      <w:pPr>
        <w:spacing w:line="320" w:after="130"/>
      </w:pPr>
      <w:r>
        <w:rPr>
          <w:color w:val="1A2A3A"/>
          <w:sz w:val="21"/>
          <w:szCs w:val="21"/>
          <w:rFonts w:ascii="Calibri" w:hAnsi="Calibri" w:eastAsia="微软雅黑"/>
        </w:rPr>
        <w:t xml:space="preserve">本产品以十七张班组台账为数据底座，向上生成班组整体画像与人员画像，再由 AI 助手"小瓦特"替班组长看、想、写、办，形成</w:t>
      </w:r>
      <w:r>
        <w:rPr>
          <w:b/>
          <w:bCs/>
          <w:color w:val="1A2A3A"/>
          <w:sz w:val="21"/>
          <w:szCs w:val="21"/>
          <w:rFonts w:ascii="Calibri" w:hAnsi="Calibri" w:eastAsia="微软雅黑"/>
        </w:rPr>
        <w:t xml:space="preserve">能力识别 → 精准培养 → 实践锻炼 → 评价反馈 → 激励应用 → 再提升</w:t>
      </w:r>
      <w:r>
        <w:rPr>
          <w:color w:val="1A2A3A"/>
          <w:sz w:val="21"/>
          <w:szCs w:val="21"/>
          <w:rFonts w:ascii="Calibri" w:hAnsi="Calibri" w:eastAsia="微软雅黑"/>
        </w:rPr>
        <w:t xml:space="preserve">的队伍建设闭环；同一套数据再向上一层，给部门管理者一个俯瞰三个班组的视角。链条上的每个数字都能跳转到台账核对，每个涉及人的结论都由班组长或部门确认后使用，每个动作都会改变后面每一页的数字——流程不预设。</w:t>
      </w:r>
    </w:p>
    <w:p>
      <w:pPr>
        <w:pStyle w:val="ListParagraph"/>
        <w:numPr>
          <w:ilvl w:val="0"/>
          <w:numId w:val="2"/>
        </w:numPr>
        <w:spacing w:line="320" w:after="90"/>
      </w:pPr>
      <w:r>
        <w:rPr>
          <w:b/>
          <w:bCs/>
          <w:color w:val="1A2A3A"/>
          <w:sz w:val="21"/>
          <w:szCs w:val="21"/>
          <w:rFonts w:ascii="Calibri" w:hAnsi="Calibri" w:eastAsia="微软雅黑"/>
        </w:rPr>
        <w:t xml:space="preserve">对班组长：</w:t>
      </w:r>
      <w:r>
        <w:rPr>
          <w:color w:val="1A2A3A"/>
          <w:sz w:val="21"/>
          <w:szCs w:val="21"/>
          <w:rFonts w:ascii="Calibri" w:hAnsi="Calibri" w:eastAsia="微软雅黑"/>
        </w:rPr>
        <w:t xml:space="preserve">从"找数、抄数"到"判断、确认"，每天的派工、每月的考评、每季的班组建设都有数据与理由；</w:t>
      </w:r>
    </w:p>
    <w:p>
      <w:pPr>
        <w:pStyle w:val="ListParagraph"/>
        <w:numPr>
          <w:ilvl w:val="0"/>
          <w:numId w:val="2"/>
        </w:numPr>
        <w:spacing w:line="320" w:after="90"/>
      </w:pPr>
      <w:r>
        <w:rPr>
          <w:b/>
          <w:bCs/>
          <w:color w:val="1A2A3A"/>
          <w:sz w:val="21"/>
          <w:szCs w:val="21"/>
          <w:rFonts w:ascii="Calibri" w:hAnsi="Calibri" w:eastAsia="微软雅黑"/>
        </w:rPr>
        <w:t xml:space="preserve">对部门管理者：</w:t>
      </w:r>
      <w:r>
        <w:rPr>
          <w:color w:val="1A2A3A"/>
          <w:sz w:val="21"/>
          <w:szCs w:val="21"/>
          <w:rFonts w:ascii="Calibri" w:hAnsi="Calibri" w:eastAsia="微软雅黑"/>
        </w:rPr>
        <w:t xml:space="preserve">考核指标、横向对比、班长绩效、风险与人力配置在同一套数据上，督办与调配直接落到班组长；</w:t>
      </w:r>
    </w:p>
    <w:p>
      <w:pPr>
        <w:pStyle w:val="ListParagraph"/>
        <w:numPr>
          <w:ilvl w:val="0"/>
          <w:numId w:val="2"/>
        </w:numPr>
        <w:spacing w:line="320" w:after="90"/>
      </w:pPr>
      <w:r>
        <w:rPr>
          <w:b/>
          <w:bCs/>
          <w:color w:val="1A2A3A"/>
          <w:sz w:val="21"/>
          <w:szCs w:val="21"/>
          <w:rFonts w:ascii="Calibri" w:hAnsi="Calibri" w:eastAsia="微软雅黑"/>
        </w:rPr>
        <w:t xml:space="preserve">对员工：</w:t>
      </w:r>
      <w:r>
        <w:rPr>
          <w:color w:val="1A2A3A"/>
          <w:sz w:val="21"/>
          <w:szCs w:val="21"/>
          <w:rFonts w:ascii="Calibri" w:hAnsi="Calibri" w:eastAsia="微软雅黑"/>
        </w:rPr>
        <w:t xml:space="preserve">画像来自台账而不是印象，培养、激励、关怀有据可查；</w:t>
      </w:r>
    </w:p>
    <w:p>
      <w:pPr>
        <w:pStyle w:val="ListParagraph"/>
        <w:numPr>
          <w:ilvl w:val="0"/>
          <w:numId w:val="2"/>
        </w:numPr>
        <w:spacing w:line="320" w:after="90"/>
      </w:pPr>
      <w:r>
        <w:rPr>
          <w:b/>
          <w:bCs/>
          <w:color w:val="1A2A3A"/>
          <w:sz w:val="21"/>
          <w:szCs w:val="21"/>
          <w:rFonts w:ascii="Calibri" w:hAnsi="Calibri" w:eastAsia="微软雅黑"/>
        </w:rPr>
        <w:t xml:space="preserve">对公司：</w:t>
      </w:r>
      <w:r>
        <w:rPr>
          <w:color w:val="1A2A3A"/>
          <w:sz w:val="21"/>
          <w:szCs w:val="21"/>
          <w:rFonts w:ascii="Calibri" w:hAnsi="Calibri" w:eastAsia="微软雅黑"/>
        </w:rPr>
        <w:t xml:space="preserve">星级班组评价标准、业绩责任书、作业授权认证等管理要求在班组一级有了数字化的执行与反馈，班组数据成为人力资源数智化的基础单元。</w:t>
      </w:r>
    </w:p>
    <w:p>
      <w:pPr>
        <w:pStyle w:val="Heading2"/>
        <w:spacing w:before="240" w:after="130" w:line="300"/>
      </w:pPr>
      <w:r>
        <w:rPr>
          <w:b/>
          <w:bCs/>
          <w:color w:val="00367A"/>
          <w:sz w:val="25"/>
          <w:szCs w:val="25"/>
          <w:rFonts w:ascii="Calibri" w:hAnsi="Calibri" w:eastAsia="微软雅黑"/>
        </w:rPr>
        <w:t xml:space="preserve">1.4 贴合的管理要求</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3300"/>
        <w:gridCol w:w="6450"/>
      </w:tblGrid>
      <w:tr>
        <w:trPr>
          <w:tblHeader/>
        </w:trPr>
        <w:tc>
          <w:tcPr>
            <w:tcW w:type="dxa" w:w="33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公司要求</w:t>
            </w:r>
          </w:p>
        </w:tc>
        <w:tc>
          <w:tcPr>
            <w:tcW w:type="dxa" w:w="64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本产品如何贴合</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星级班组评价标准</w:t>
            </w:r>
          </w:p>
        </w:tc>
        <w:tc>
          <w:tcPr>
            <w:tcW w:type="dxa" w:w="6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20 个评价维度按分册二级目录建模，台账驱动维度实时初步评分，当前 / 目标 / 差距 / 提升方向一页呈现</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员工年度业绩责任书</w:t>
            </w:r>
          </w:p>
        </w:tc>
        <w:tc>
          <w:tcPr>
            <w:tcW w:type="dxa" w:w="6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考核指标按分管副总 / 主管 / 班长三个维度照录目标值与评分标准，预计得分实时计算；班长绩效五维权重、分档不排名次</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作业授权认证与技能人才队伍建设</w:t>
            </w:r>
          </w:p>
        </w:tc>
        <w:tc>
          <w:tcPr>
            <w:tcW w:type="dxa" w:w="6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认证表 7 单元 42 模块逐人逐格确认，核心业务自主实施能力、断层风险、带教取证形成闭环</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数字化转型与数字电网建设</w:t>
            </w:r>
          </w:p>
        </w:tc>
        <w:tc>
          <w:tcPr>
            <w:tcW w:type="dxa" w:w="6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十七张台账统一数据底座，每个数字可追溯；派工、星级、绩效、考核指标全部为可配置规则</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基层减负</w:t>
            </w:r>
          </w:p>
        </w:tc>
        <w:tc>
          <w:tcPr>
            <w:tcW w:type="dxa" w:w="6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班前会材料、月度总结、分配表、面谈提纲、诊断与参谋报告逐段生成，班组长确认后使用</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涉及人的结论由人确认</w:t>
            </w:r>
          </w:p>
        </w:tc>
        <w:tc>
          <w:tcPr>
            <w:tcW w:type="dxa" w:w="6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初步评分、初步系数、培养对象排序、轮岗建议全部标注"由班组长确认后使用"</w:t>
            </w:r>
          </w:p>
        </w:tc>
      </w:tr>
    </w:tbl>
    <w:p>
      <w:pPr>
        <w:pStyle w:val="Heading2"/>
        <w:spacing w:before="240" w:after="130" w:line="300"/>
      </w:pPr>
      <w:r>
        <w:rPr>
          <w:b/>
          <w:bCs/>
          <w:color w:val="00367A"/>
          <w:sz w:val="25"/>
          <w:szCs w:val="25"/>
          <w:rFonts w:ascii="Calibri" w:hAnsi="Calibri" w:eastAsia="微软雅黑"/>
        </w:rPr>
        <w:t xml:space="preserve">1.5 产品定位</w:t>
      </w:r>
    </w:p>
    <w:p>
      <w:pPr>
        <w:spacing w:line="320" w:after="130"/>
      </w:pPr>
      <w:r>
        <w:rPr>
          <w:color w:val="1A2A3A"/>
          <w:sz w:val="21"/>
          <w:szCs w:val="21"/>
          <w:rFonts w:ascii="Calibri" w:hAnsi="Calibri" w:eastAsia="微软雅黑"/>
        </w:rPr>
        <w:t xml:space="preserve">高效班组管理助手：一位有形象的班组长助手"小瓦特"，坐在班组台账、关键节点表、周报与能力图谱之上，替配网班组的班组长看、想、写、办、记；同一套数据再向上一层，给部门管理者一个俯瞰全流程的视角。页面是舞台，班长照常点按钮，每一次点击之后屏幕上出现的是助手在查、想、写、办。</w:t>
      </w:r>
    </w:p>
    <w:p>
      <w:pPr>
        <w:pStyle w:val="Heading1"/>
        <w:pBdr>
          <w:bottom w:val="single" w:color="00367A" w:sz="8" w:space="4"/>
        </w:pBdr>
        <w:spacing w:before="340" w:after="180" w:line="300"/>
      </w:pPr>
      <w:r>
        <w:rPr>
          <w:b/>
          <w:bCs/>
          <w:color w:val="00367A"/>
          <w:sz w:val="31"/>
          <w:szCs w:val="31"/>
          <w:rFonts w:ascii="Calibri" w:hAnsi="Calibri" w:eastAsia="微软雅黑"/>
        </w:rPr>
        <w:t xml:space="preserve">二、使用人员</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3100"/>
        <w:gridCol w:w="1700"/>
        <w:gridCol w:w="4950"/>
      </w:tblGrid>
      <w:tr>
        <w:trPr>
          <w:tblHeader/>
        </w:trPr>
        <w:tc>
          <w:tcPr>
            <w:tcW w:type="dxa" w:w="31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角色</w:t>
            </w:r>
          </w:p>
        </w:tc>
        <w:tc>
          <w:tcPr>
            <w:tcW w:type="dxa" w:w="17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类型</w:t>
            </w:r>
          </w:p>
        </w:tc>
        <w:tc>
          <w:tcPr>
            <w:tcW w:type="dxa" w:w="49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在系统中做什么</w:t>
            </w:r>
          </w:p>
        </w:tc>
      </w:tr>
      <w:tr>
        <w:tc>
          <w:tcPr>
            <w:tcW w:type="dxa" w:w="31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班组长（主要使用者）</w:t>
            </w:r>
          </w:p>
        </w:tc>
        <w:tc>
          <w:tcPr>
            <w:tcW w:type="dxa" w:w="17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使用者</w:t>
            </w:r>
          </w:p>
        </w:tc>
        <w:tc>
          <w:tcPr>
            <w:tcW w:type="dxa" w:w="4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班组整体画像 → 人员情况六页 → 日常业务五页；向小瓦特提问，确认初步评分、初步系数与各类文稿</w:t>
            </w:r>
          </w:p>
        </w:tc>
      </w:tr>
      <w:tr>
        <w:tc>
          <w:tcPr>
            <w:tcW w:type="dxa" w:w="31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部门管理者</w:t>
            </w:r>
          </w:p>
        </w:tc>
        <w:tc>
          <w:tcPr>
            <w:tcW w:type="dxa" w:w="17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管理使用者</w:t>
            </w:r>
          </w:p>
        </w:tc>
        <w:tc>
          <w:tcPr>
            <w:tcW w:type="dxa" w:w="4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考核指标跟踪与督办、班组横向对比与跨班组调配、团队画像总览、班长绩效、人员总览、结构对比、风险画像、员工关怀、分析参谋</w:t>
            </w:r>
          </w:p>
        </w:tc>
      </w:tr>
      <w:tr>
        <w:tc>
          <w:tcPr>
            <w:tcW w:type="dxa" w:w="31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班组成员</w:t>
            </w:r>
          </w:p>
        </w:tc>
        <w:tc>
          <w:tcPr>
            <w:tcW w:type="dxa" w:w="17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被画像对象</w:t>
            </w:r>
          </w:p>
        </w:tc>
        <w:tc>
          <w:tcPr>
            <w:tcW w:type="dxa" w:w="4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个人信息进入画像（演示环节全部为脱敏模拟人员）</w:t>
            </w:r>
          </w:p>
        </w:tc>
      </w:tr>
      <w:tr>
        <w:tc>
          <w:tcPr>
            <w:tcW w:type="dxa" w:w="31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人力资源部</w:t>
            </w:r>
          </w:p>
        </w:tc>
        <w:tc>
          <w:tcPr>
            <w:tcW w:type="dxa" w:w="17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规则口径方</w:t>
            </w:r>
          </w:p>
        </w:tc>
        <w:tc>
          <w:tcPr>
            <w:tcW w:type="dxa" w:w="4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提供星级评价、业绩责任书、作业授权认证等管理口径</w:t>
            </w:r>
          </w:p>
        </w:tc>
      </w:tr>
    </w:tbl>
    <w:p>
      <w:pPr>
        <w:pBdr>
          <w:left w:val="single" w:color="B7791F" w:sz="14" w:space="8"/>
        </w:pBdr>
        <w:shd w:fill="FBF6EA" w:val="clear"/>
        <w:spacing w:line="300" w:before="60" w:after="160"/>
        <w:ind w:left="160"/>
      </w:pPr>
      <w:r>
        <w:rPr>
          <w:color w:val="5A6B7E"/>
          <w:sz w:val="19"/>
          <w:szCs w:val="19"/>
          <w:rFonts w:ascii="Calibri" w:hAnsi="Calibri" w:eastAsia="微软雅黑"/>
        </w:rPr>
        <w:t xml:space="preserve">演示人物全部为脱敏虚拟人物（班组长赵立群、部门管理者陈国安等），三个班组 31 人、台账与周报数值按客户材料口径生成的脱敏模拟数据；涉及人员评价的结论一律标注"由班组长确认后使用"。</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2200"/>
        <w:gridCol w:w="5250"/>
        <w:gridCol w:w="2300"/>
      </w:tblGrid>
      <w:tr>
        <w:trPr>
          <w:tblHeader/>
        </w:trPr>
        <w:tc>
          <w:tcPr>
            <w:tcW w:type="dxa" w:w="22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项目组责任</w:t>
            </w:r>
          </w:p>
        </w:tc>
        <w:tc>
          <w:tcPr>
            <w:tcW w:type="dxa" w:w="52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主要职责</w:t>
            </w:r>
          </w:p>
        </w:tc>
        <w:tc>
          <w:tcPr>
            <w:tcW w:type="dxa" w:w="23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承担方</w:t>
            </w:r>
          </w:p>
        </w:tc>
      </w:tr>
      <w:tr>
        <w:tc>
          <w:tcPr>
            <w:tcW w:type="dxa" w:w="22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业务负责人</w:t>
            </w:r>
          </w:p>
        </w:tc>
        <w:tc>
          <w:tcPr>
            <w:tcW w:type="dxa" w:w="52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把关业务事实与管理口径，提供台账样式与评价标准，确认需求与验收</w:t>
            </w:r>
          </w:p>
        </w:tc>
        <w:tc>
          <w:tcPr>
            <w:tcW w:type="dxa" w:w="2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业务方</w:t>
            </w:r>
          </w:p>
        </w:tc>
      </w:tr>
      <w:tr>
        <w:tc>
          <w:tcPr>
            <w:tcW w:type="dxa" w:w="22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技术负责人</w:t>
            </w:r>
          </w:p>
        </w:tc>
        <w:tc>
          <w:tcPr>
            <w:tcW w:type="dxa" w:w="52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技术路线与实现质量，回归测试</w:t>
            </w:r>
          </w:p>
        </w:tc>
        <w:tc>
          <w:tcPr>
            <w:tcW w:type="dxa" w:w="2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项目组</w:t>
            </w:r>
          </w:p>
        </w:tc>
      </w:tr>
      <w:tr>
        <w:tc>
          <w:tcPr>
            <w:tcW w:type="dxa" w:w="22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项目负责人</w:t>
            </w:r>
          </w:p>
        </w:tc>
        <w:tc>
          <w:tcPr>
            <w:tcW w:type="dxa" w:w="52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进度、节点与资源协调</w:t>
            </w:r>
          </w:p>
        </w:tc>
        <w:tc>
          <w:tcPr>
            <w:tcW w:type="dxa" w:w="2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项目组</w:t>
            </w:r>
          </w:p>
        </w:tc>
      </w:tr>
      <w:tr>
        <w:tc>
          <w:tcPr>
            <w:tcW w:type="dxa" w:w="22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演示负责人</w:t>
            </w:r>
          </w:p>
        </w:tc>
        <w:tc>
          <w:tcPr>
            <w:tcW w:type="dxa" w:w="52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评审现场演示流程设计与讲解</w:t>
            </w:r>
          </w:p>
        </w:tc>
        <w:tc>
          <w:tcPr>
            <w:tcW w:type="dxa" w:w="2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业务方与项目组共同</w:t>
            </w:r>
          </w:p>
        </w:tc>
      </w:tr>
    </w:tbl>
    <w:p>
      <w:pPr>
        <w:pStyle w:val="Heading1"/>
        <w:pBdr>
          <w:bottom w:val="single" w:color="00367A" w:sz="8" w:space="4"/>
        </w:pBdr>
        <w:spacing w:before="340" w:after="180" w:line="300"/>
      </w:pPr>
      <w:r>
        <w:rPr>
          <w:b/>
          <w:bCs/>
          <w:color w:val="00367A"/>
          <w:sz w:val="31"/>
          <w:szCs w:val="31"/>
          <w:rFonts w:ascii="Calibri" w:hAnsi="Calibri" w:eastAsia="微软雅黑"/>
        </w:rPr>
        <w:t xml:space="preserve">三、现状流程与目标流程</w:t>
      </w:r>
    </w:p>
    <w:p>
      <w:pPr>
        <w:pStyle w:val="Heading2"/>
        <w:spacing w:before="240" w:after="130" w:line="300"/>
      </w:pPr>
      <w:r>
        <w:rPr>
          <w:b/>
          <w:bCs/>
          <w:color w:val="00367A"/>
          <w:sz w:val="25"/>
          <w:szCs w:val="25"/>
          <w:rFonts w:ascii="Calibri" w:hAnsi="Calibri" w:eastAsia="微软雅黑"/>
        </w:rPr>
        <w:t xml:space="preserve">3.1 现状</w:t>
      </w:r>
    </w:p>
    <w:p>
      <w:pPr>
        <w:spacing w:line="320" w:after="130"/>
      </w:pPr>
      <w:r>
        <w:rPr>
          <w:color w:val="1A2A3A"/>
          <w:sz w:val="21"/>
          <w:szCs w:val="21"/>
          <w:rFonts w:ascii="Calibri" w:hAnsi="Calibri" w:eastAsia="微软雅黑"/>
        </w:rPr>
        <w:t xml:space="preserve">以月度绩效与星级对标为例：月末班组长逐个系统、逐本台账查看汇集 → 手工整理证据与工作量 → 凭印象定系数 → 编写总结与分配表 → 报送；星级评价按分册逐条人工对照打分。派工、关怀、培养同理，均为逐处查看、手工汇编、理由不留痕。</w:t>
      </w:r>
    </w:p>
    <w:p>
      <w:pPr>
        <w:pStyle w:val="Heading2"/>
        <w:spacing w:before="240" w:after="130" w:line="300"/>
      </w:pPr>
      <w:r>
        <w:rPr>
          <w:b/>
          <w:bCs/>
          <w:color w:val="00367A"/>
          <w:sz w:val="25"/>
          <w:szCs w:val="25"/>
          <w:rFonts w:ascii="Calibri" w:hAnsi="Calibri" w:eastAsia="微软雅黑"/>
        </w:rPr>
        <w:t xml:space="preserve">3.2 目标</w:t>
      </w:r>
    </w:p>
    <w:p>
      <w:pPr>
        <w:spacing w:line="320" w:after="130"/>
      </w:pPr>
      <w:r>
        <w:rPr>
          <w:color w:val="1A2A3A"/>
          <w:sz w:val="21"/>
          <w:szCs w:val="21"/>
          <w:rFonts w:ascii="Calibri" w:hAnsi="Calibri" w:eastAsia="微软雅黑"/>
        </w:rPr>
        <w:t xml:space="preserve">班组长端按故事线三段：</w:t>
      </w:r>
      <w:r>
        <w:rPr>
          <w:b/>
          <w:bCs/>
          <w:color w:val="1A2A3A"/>
          <w:sz w:val="21"/>
          <w:szCs w:val="21"/>
          <w:rFonts w:ascii="Calibri" w:hAnsi="Calibri" w:eastAsia="微软雅黑"/>
        </w:rPr>
        <w:t xml:space="preserve">班组整体</w:t>
      </w:r>
      <w:r>
        <w:rPr>
          <w:color w:val="1A2A3A"/>
          <w:sz w:val="21"/>
          <w:szCs w:val="21"/>
          <w:rFonts w:ascii="Calibri" w:hAnsi="Calibri" w:eastAsia="微软雅黑"/>
        </w:rPr>
        <w:t xml:space="preserve">（班组画像：荣誉、核心指标、星级评价与发展规划）→ </w:t>
      </w:r>
      <w:r>
        <w:rPr>
          <w:b/>
          <w:bCs/>
          <w:color w:val="1A2A3A"/>
          <w:sz w:val="21"/>
          <w:szCs w:val="21"/>
          <w:rFonts w:ascii="Calibri" w:hAnsi="Calibri" w:eastAsia="微软雅黑"/>
        </w:rPr>
        <w:t xml:space="preserve">人员情况</w:t>
      </w:r>
      <w:r>
        <w:rPr>
          <w:color w:val="1A2A3A"/>
          <w:sz w:val="21"/>
          <w:szCs w:val="21"/>
          <w:rFonts w:ascii="Calibri" w:hAnsi="Calibri" w:eastAsia="微软雅黑"/>
        </w:rPr>
        <w:t xml:space="preserve">（班员画像、授权认证、培养与梯队、绩效与激励、关怀与文化、分析参谋，各页团体在前、个人在后）→ </w:t>
      </w:r>
      <w:r>
        <w:rPr>
          <w:b/>
          <w:bCs/>
          <w:color w:val="1A2A3A"/>
          <w:sz w:val="21"/>
          <w:szCs w:val="21"/>
          <w:rFonts w:ascii="Calibri" w:hAnsi="Calibri" w:eastAsia="微软雅黑"/>
        </w:rPr>
        <w:t xml:space="preserve">日常业务</w:t>
      </w:r>
      <w:r>
        <w:rPr>
          <w:color w:val="1A2A3A"/>
          <w:sz w:val="21"/>
          <w:szCs w:val="21"/>
          <w:rFonts w:ascii="Calibri" w:hAnsi="Calibri" w:eastAsia="微软雅黑"/>
        </w:rPr>
        <w:t xml:space="preserve">（今日工作台派工 → 审票 → 开工 → 回传 → 完工回写 → 验收）。每一步都改变后面每一页的数字，刷新不丢。</w:t>
      </w:r>
    </w:p>
    <w:p>
      <w:pPr>
        <w:spacing w:line="320" w:after="130"/>
      </w:pPr>
      <w:r>
        <w:rPr>
          <w:color w:val="1A2A3A"/>
          <w:sz w:val="21"/>
          <w:szCs w:val="21"/>
          <w:rFonts w:ascii="Calibri" w:hAnsi="Calibri" w:eastAsia="微软雅黑"/>
        </w:rPr>
        <w:t xml:space="preserve">管理者端：考核指标红黄绿与督办 → 班组横向对比与跨班组调配 → 班长绩效确认与下发 → 风险画像与员工关怀 → 分析参谋。每个动作都落到相关班组长的通知或确认。</w:t>
      </w:r>
    </w:p>
    <w:p>
      <w:pPr>
        <w:pStyle w:val="Heading1"/>
        <w:pBdr>
          <w:bottom w:val="single" w:color="00367A" w:sz="8" w:space="4"/>
        </w:pBdr>
        <w:spacing w:before="340" w:after="180" w:line="300"/>
      </w:pPr>
      <w:r>
        <w:rPr>
          <w:b/>
          <w:bCs/>
          <w:color w:val="00367A"/>
          <w:sz w:val="31"/>
          <w:szCs w:val="31"/>
          <w:rFonts w:ascii="Calibri" w:hAnsi="Calibri" w:eastAsia="微软雅黑"/>
        </w:rPr>
        <w:t xml:space="preserve">四、总体框架</w:t>
      </w:r>
    </w:p>
    <w:p>
      <w:pPr>
        <w:spacing w:before="120" w:after="6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color w:val="5A6B7E"/>
          <w:sz w:val="18"/>
          <w:szCs w:val="18"/>
          <w:rFonts w:ascii="Calibri" w:hAnsi="Calibri" w:eastAsia="微软雅黑"/>
        </w:rPr>
        <w:t xml:space="preserve">图 1　高效班组管理助手业务架构：两级用户、一个数据底座、队伍建设六环闭环</w:t>
      </w:r>
    </w:p>
    <w:p>
      <w:pPr>
        <w:spacing w:before="120" w:after="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color w:val="5A6B7E"/>
          <w:sz w:val="18"/>
          <w:szCs w:val="18"/>
          <w:rFonts w:ascii="Calibri" w:hAnsi="Calibri" w:eastAsia="微软雅黑"/>
        </w:rPr>
        <w:t xml:space="preserve">图 2　技术与数据架构</w:t>
      </w:r>
    </w:p>
    <w:p>
      <w:pPr>
        <w:spacing w:before="120" w:after="6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52625"/>
                    </a:xfrm>
                    <a:prstGeom prst="rect">
                      <a:avLst/>
                    </a:prstGeom>
                  </pic:spPr>
                </pic:pic>
              </a:graphicData>
            </a:graphic>
          </wp:inline>
        </w:drawing>
      </w:r>
    </w:p>
    <w:p>
      <w:pPr>
        <w:spacing w:after="200"/>
        <w:jc w:val="center"/>
      </w:pPr>
      <w:r>
        <w:rPr>
          <w:color w:val="5A6B7E"/>
          <w:sz w:val="18"/>
          <w:szCs w:val="18"/>
          <w:rFonts w:ascii="Calibri" w:hAnsi="Calibri" w:eastAsia="微软雅黑"/>
        </w:rPr>
        <w:t xml:space="preserve">图 3　队伍建设六环闭环：能力识别 → 精准培养 → 实践锻炼 → 评价反馈 → 激励应用 → 再提升</w:t>
      </w:r>
    </w:p>
    <w:p>
      <w:pPr>
        <w:spacing w:line="320" w:after="130"/>
      </w:pPr>
      <w:r>
        <w:rPr>
          <w:color w:val="1A2A3A"/>
          <w:sz w:val="21"/>
          <w:szCs w:val="21"/>
          <w:rFonts w:ascii="Calibri" w:hAnsi="Calibri" w:eastAsia="微软雅黑"/>
        </w:rPr>
        <w:t xml:space="preserve">系统分三层：数据底座装载十七张班组台账（工时、资质证书、作业授权认证、任务、缺陷、两票、周报指标、工作量（工分）、违章、安全活动、荣誉、培训、派工记录、跨班组调配、值班、通知、操作流水，演示阶段以脱敏模拟数据装载）；画像与规则层生成班组整体画像、人员画像、星级初步评分、绩效初步系数、派工四规则、考核指标评分；应用层为班组长十二页、管理者九页与贯穿两端的小瓦特助手。</w:t>
      </w:r>
    </w:p>
    <w:p>
      <w:pPr>
        <w:pStyle w:val="Heading1"/>
        <w:pBdr>
          <w:bottom w:val="single" w:color="00367A" w:sz="8" w:space="4"/>
        </w:pBdr>
        <w:spacing w:before="340" w:after="180" w:line="300"/>
      </w:pPr>
      <w:r>
        <w:rPr>
          <w:b/>
          <w:bCs/>
          <w:color w:val="00367A"/>
          <w:sz w:val="31"/>
          <w:szCs w:val="31"/>
          <w:rFonts w:ascii="Calibri" w:hAnsi="Calibri" w:eastAsia="微软雅黑"/>
        </w:rPr>
        <w:t xml:space="preserve">五、功能需求</w:t>
      </w:r>
    </w:p>
    <w:p>
      <w:pPr>
        <w:pStyle w:val="Heading2"/>
        <w:spacing w:before="240" w:after="130" w:line="300"/>
      </w:pPr>
      <w:r>
        <w:rPr>
          <w:b/>
          <w:bCs/>
          <w:color w:val="00367A"/>
          <w:sz w:val="25"/>
          <w:szCs w:val="25"/>
          <w:rFonts w:ascii="Calibri" w:hAnsi="Calibri" w:eastAsia="微软雅黑"/>
        </w:rPr>
        <w:t xml:space="preserve">5.1 班组长 · 班组管理</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1800"/>
        <w:gridCol w:w="7950"/>
      </w:tblGrid>
      <w:tr>
        <w:trPr>
          <w:tblHeader/>
        </w:trPr>
        <w:tc>
          <w:tcPr>
            <w:tcW w:type="dxa" w:w="18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页面</w:t>
            </w:r>
          </w:p>
        </w:tc>
        <w:tc>
          <w:tcPr>
            <w:tcW w:type="dxa" w:w="79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功能要求</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班组画像</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只讲班组：名片（星级、集体荣誉、班组特色、发展目标）→ 班组核心 KPI（班长责任书四项，点看评分标准）→ 核心业务管控（终端在线率 / 遥控成功率 / 缺陷闭环率带全市名次、本周关键节点）→ 星级评价与班组发展规划（当前 / 初步评分 / 目标 / 距目标分 / 必备条件、差距指标、提升方向）→ 星级维度表（点明细看标准 / 现状 / 差距 / 措施 / 查评路径）→ 提升措施</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班员画像</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团体人员画像：人员情况指标总览（五组十五项）→ 队伍结构（年龄、政治面貌、学历、岗位）→ 技能等级结构 → 员工素质与能力（综合画像五项 + 专业画像九项的全班均值雷达）→ 核心业务自主实施能力（七个技能单元、断层风险、高风险排带教）→ 证书与资质 → 成员明细（点一行弹出个人员工画像）</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授权认证</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《技能类岗位胜任能力评价作业授权认证表》7 单元 42 模块，★按高 / 中 / 初级作业员；逐人逐格确认授权 / 培训中 / 撤销（缺证不能确认）；核心业务自主实施能力 = 已授权★模块 ÷ 本岗级应授权★模块；断层风险与排带教取证；确认本期授权报主管；导出</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培养与梯队</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师带徒（新员工 / 次新员工卡：学时、项目、竞赛、成绩、资质、师傅与带教重点）；骨干培养计划（星级工程师 / 专家评聘条件逐项打勾）；台阶式梯队；徒弟近四季度模块等级趋势</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绩效与激励</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12 人初步系数由五类履职证据与工作量（工分制考核台账）推导，证据逐条带出处、系数逐条推导；± 调整、逐人确认；物质激励按系数分配，非物质激励四类名单；确认后生成分配表存文稿并报部门</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关怀与文化</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关怀提醒（入职关键年份、谈心回访到期、连续高强度外勤）；重点关注人员 → 面谈提纲逐段生成；班组学习 / 分享 / 座谈 / 帮扶记录，记一次活动即改变星级"班组帮扶"得分</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分析参谋</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队伍现状诊断（根因标签 + 四段结论 + 趋势图，诊断报告逐段生成）；培养及队伍建设参谋（推荐培养对象排序、理由、短板、方案、风险，排进计划、报部门）</w:t>
            </w:r>
          </w:p>
        </w:tc>
      </w:tr>
    </w:tbl>
    <w:p>
      <w:pPr>
        <w:pStyle w:val="Heading2"/>
        <w:spacing w:before="240" w:after="130" w:line="300"/>
      </w:pPr>
      <w:r>
        <w:rPr>
          <w:b/>
          <w:bCs/>
          <w:color w:val="00367A"/>
          <w:sz w:val="25"/>
          <w:szCs w:val="25"/>
          <w:rFonts w:ascii="Calibri" w:hAnsi="Calibri" w:eastAsia="微软雅黑"/>
        </w:rPr>
        <w:t xml:space="preserve">5.2 班组长 · 日常业务</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1800"/>
        <w:gridCol w:w="7950"/>
      </w:tblGrid>
      <w:tr>
        <w:trPr>
          <w:tblHeader/>
        </w:trPr>
        <w:tc>
          <w:tcPr>
            <w:tcW w:type="dxa" w:w="18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页面</w:t>
            </w:r>
          </w:p>
        </w:tc>
        <w:tc>
          <w:tcPr>
            <w:tcW w:type="dxa" w:w="79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功能要求</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今日工作台</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今日作业 / 已派工 / 待派工 / 待拍板；逐单紧急程度与派工建议；周报驱动的决策卡（派工四规则理由表、按周报排本周节点、超期催办）；两票与本周关键节点图表</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用工安排</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任务池（派工 → 审票 → 开工 → 回传 → 完工 → 验收，每步写状态层）、周关键节点 19 项、周计划、值班表、两票、现场进度、班前会材料、跨班组调配待确认</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知识库</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制度政策 / 生产技术 / 行政办公三类，规程问答带出处，案例沉淀与经验闭环</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台账中心</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十七张台账，每个画像数字可跳转核对</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问小瓦特</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查数配图、决策依据、文稿逐段生成、诊断归因、经验整理；鼠标为主、语音为辅，所有语音路径都有等价点击路径</w:t>
            </w:r>
          </w:p>
        </w:tc>
      </w:tr>
    </w:tbl>
    <w:p>
      <w:pPr>
        <w:pStyle w:val="Heading2"/>
        <w:spacing w:before="240" w:after="130" w:line="300"/>
      </w:pPr>
      <w:r>
        <w:rPr>
          <w:b/>
          <w:bCs/>
          <w:color w:val="00367A"/>
          <w:sz w:val="25"/>
          <w:szCs w:val="25"/>
          <w:rFonts w:ascii="Calibri" w:hAnsi="Calibri" w:eastAsia="微软雅黑"/>
        </w:rPr>
        <w:t xml:space="preserve">5.3 部门管理者</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1800"/>
        <w:gridCol w:w="7950"/>
      </w:tblGrid>
      <w:tr>
        <w:trPr>
          <w:tblHeader/>
        </w:trPr>
        <w:tc>
          <w:tcPr>
            <w:tcW w:type="dxa" w:w="18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页面</w:t>
            </w:r>
          </w:p>
        </w:tc>
        <w:tc>
          <w:tcPr>
            <w:tcW w:type="dxa" w:w="79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功能要求</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考核指标</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按年度业绩责任书分分管副总 / 主管 / 班长三个维度：权重、基础值、满分值、挑战值与评分标准照录，预计得分实时计算，绿 / 黄 / 红按满分值与基础值判定（累计类按时间进度推算全年）；下钻班组、督办写入班长通知</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班组横向对比</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三班组 9 维看板（任务、人均外勤工时、本周外勤超 24 小时人数、两票、缺陷、人均实操量、到期证书、在岗率、高级工占比），点格说取数；分析与参谋 → 发起跨班组调配 → 影响测算 → 两位班长确认或退回</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团队画像总览</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三班组卡（星级、荣誉、特色标签、初步评分、技能结构）；班长队伍（年龄、工龄、任班长年限、后备梯队、距退休），后备培养发给班长</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班长绩效</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按员工年度业绩责任书（班长）：考核指标 50% + 重点任务 10% + 综合评价 40% + 加扣分 + 红线，单项上限 120 分按 ÷1.2 折百分制，分档不排名次；台账取数与班长工作台动作联动；确认 → 下发 → 面谈 → 评价意见 → 考评表落文稿</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人员总览</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三班组 31 人仪表盘与结构图；点班组看清单，点人看员工画像（综合 + 专业）</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班组结构对比</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11 维结构画像（含近 1 年 / 3 年新员工名单与带教提醒）；人力调配与班组轮岗建议发给相关班长待确认</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团队风险画像</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班长敏感岗位轮岗提醒（任职满 5 年）、考勤异常、绩效持续偏低、队伍稳定性，每项一个动作</w:t>
            </w:r>
          </w:p>
        </w:tc>
      </w:tr>
      <w:tr>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员工关怀</w:t>
            </w:r>
          </w:p>
        </w:tc>
        <w:tc>
          <w:tcPr>
            <w:tcW w:type="dxa" w:w="79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重点关注人员 → 辅导面谈提纲逐段生成、发给班长；部门文化活动管理</w:t>
            </w:r>
          </w:p>
        </w:tc>
      </w:tr>
      <w:tr>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分析参谋</w:t>
            </w:r>
          </w:p>
        </w:tc>
        <w:tc>
          <w:tcPr>
            <w:tcW w:type="dxa" w:w="79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综合分析报告六段逐段生成；近五年业务量与人力配置趋势，人力配置参谋预警与报告</w:t>
            </w:r>
          </w:p>
        </w:tc>
      </w:tr>
    </w:tbl>
    <w:p>
      <w:pPr>
        <w:pStyle w:val="Heading2"/>
        <w:spacing w:before="240" w:after="130" w:line="300"/>
      </w:pPr>
      <w:r>
        <w:rPr>
          <w:b/>
          <w:bCs/>
          <w:color w:val="00367A"/>
          <w:sz w:val="25"/>
          <w:szCs w:val="25"/>
          <w:rFonts w:ascii="Calibri" w:hAnsi="Calibri" w:eastAsia="微软雅黑"/>
        </w:rPr>
        <w:t xml:space="preserve">5.4 小瓦特助手与通用要求</w:t>
      </w:r>
    </w:p>
    <w:p>
      <w:pPr>
        <w:pStyle w:val="ListParagraph"/>
        <w:numPr>
          <w:ilvl w:val="0"/>
          <w:numId w:val="2"/>
        </w:numPr>
        <w:spacing w:line="320" w:after="90"/>
      </w:pPr>
      <w:r>
        <w:rPr>
          <w:b/>
          <w:bCs/>
          <w:color w:val="1A2A3A"/>
          <w:sz w:val="21"/>
          <w:szCs w:val="21"/>
          <w:rFonts w:ascii="Calibri" w:hAnsi="Calibri" w:eastAsia="微软雅黑"/>
        </w:rPr>
        <w:t xml:space="preserve">点击是班长的手，动画是小瓦特的手：</w:t>
      </w:r>
      <w:r>
        <w:rPr>
          <w:color w:val="1A2A3A"/>
          <w:sz w:val="21"/>
          <w:szCs w:val="21"/>
          <w:rFonts w:ascii="Calibri" w:hAnsi="Calibri" w:eastAsia="微软雅黑"/>
        </w:rPr>
        <w:t xml:space="preserve">每次点击之后屏幕上出现的是她在查、想、写、办，结果是过程的尾声；</w:t>
      </w:r>
    </w:p>
    <w:p>
      <w:pPr>
        <w:pStyle w:val="ListParagraph"/>
        <w:numPr>
          <w:ilvl w:val="0"/>
          <w:numId w:val="2"/>
        </w:numPr>
        <w:spacing w:line="320" w:after="90"/>
      </w:pPr>
      <w:r>
        <w:rPr>
          <w:b/>
          <w:bCs/>
          <w:color w:val="1A2A3A"/>
          <w:sz w:val="21"/>
          <w:szCs w:val="21"/>
          <w:rFonts w:ascii="Calibri" w:hAnsi="Calibri" w:eastAsia="微软雅黑"/>
        </w:rPr>
        <w:t xml:space="preserve">页面只读状态层、按钮只写状态层：</w:t>
      </w:r>
      <w:r>
        <w:rPr>
          <w:color w:val="1A2A3A"/>
          <w:sz w:val="21"/>
          <w:szCs w:val="21"/>
          <w:rFonts w:ascii="Calibri" w:hAnsi="Calibri" w:eastAsia="微软雅黑"/>
        </w:rPr>
        <w:t xml:space="preserve">派工、审票、开工、回传、完工、验收、添加任务、节点勾清、授权确认、跨班组调配，每一步都改变后面每一页的数字，流程不预设；</w:t>
      </w:r>
    </w:p>
    <w:p>
      <w:pPr>
        <w:pStyle w:val="ListParagraph"/>
        <w:numPr>
          <w:ilvl w:val="0"/>
          <w:numId w:val="2"/>
        </w:numPr>
        <w:spacing w:line="320" w:after="90"/>
      </w:pPr>
      <w:r>
        <w:rPr>
          <w:b/>
          <w:bCs/>
          <w:color w:val="1A2A3A"/>
          <w:sz w:val="21"/>
          <w:szCs w:val="21"/>
          <w:rFonts w:ascii="Calibri" w:hAnsi="Calibri" w:eastAsia="微软雅黑"/>
        </w:rPr>
        <w:t xml:space="preserve">能点的东西都会回应：</w:t>
      </w:r>
      <w:r>
        <w:rPr>
          <w:color w:val="1A2A3A"/>
          <w:sz w:val="21"/>
          <w:szCs w:val="21"/>
          <w:rFonts w:ascii="Calibri" w:hAnsi="Calibri" w:eastAsia="微软雅黑"/>
        </w:rPr>
        <w:t xml:space="preserve">人名、数字、周报指标、文稿段落可点，界面上没有点不动的按钮；</w:t>
      </w:r>
    </w:p>
    <w:p>
      <w:pPr>
        <w:pStyle w:val="ListParagraph"/>
        <w:numPr>
          <w:ilvl w:val="0"/>
          <w:numId w:val="2"/>
        </w:numPr>
        <w:spacing w:line="320" w:after="90"/>
      </w:pPr>
      <w:r>
        <w:rPr>
          <w:b/>
          <w:bCs/>
          <w:color w:val="1A2A3A"/>
          <w:sz w:val="21"/>
          <w:szCs w:val="21"/>
          <w:rFonts w:ascii="Calibri" w:hAnsi="Calibri" w:eastAsia="微软雅黑"/>
        </w:rPr>
        <w:t xml:space="preserve">每页底部有颜色说明：</w:t>
      </w:r>
      <w:r>
        <w:rPr>
          <w:color w:val="1A2A3A"/>
          <w:sz w:val="21"/>
          <w:szCs w:val="21"/>
          <w:rFonts w:ascii="Calibri" w:hAnsi="Calibri" w:eastAsia="微软雅黑"/>
        </w:rPr>
        <w:t xml:space="preserve">状态色（绿达标 / 黄需关注 / 红未达或风险）与分类色分开，三个班组固定颜色；</w:t>
      </w:r>
    </w:p>
    <w:p>
      <w:pPr>
        <w:pStyle w:val="ListParagraph"/>
        <w:numPr>
          <w:ilvl w:val="0"/>
          <w:numId w:val="2"/>
        </w:numPr>
        <w:spacing w:line="320" w:after="90"/>
      </w:pPr>
      <w:r>
        <w:rPr>
          <w:b/>
          <w:bCs/>
          <w:color w:val="1A2A3A"/>
          <w:sz w:val="21"/>
          <w:szCs w:val="21"/>
          <w:rFonts w:ascii="Calibri" w:hAnsi="Calibri" w:eastAsia="微软雅黑"/>
        </w:rPr>
        <w:t xml:space="preserve">视觉：</w:t>
      </w:r>
      <w:r>
        <w:rPr>
          <w:color w:val="1A2A3A"/>
          <w:sz w:val="21"/>
          <w:szCs w:val="21"/>
          <w:rFonts w:ascii="Calibri" w:hAnsi="Calibri" w:eastAsia="微软雅黑"/>
        </w:rPr>
        <w:t xml:space="preserve">浅色光影质感，冷珍珠底、蓝 / 紫 / 青光源与光环背景、玻璃光边卡片、发光按钮、墨色标题（Noto Sans SC Black）、工作台深邃发光面板；状态色与班组色不动；左上角为客户标识。</w:t>
      </w:r>
    </w:p>
    <w:p>
      <w:pPr>
        <w:spacing w:before="12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color w:val="5A6B7E"/>
          <w:sz w:val="18"/>
          <w:szCs w:val="18"/>
          <w:rFonts w:ascii="Calibri" w:hAnsi="Calibri" w:eastAsia="微软雅黑"/>
        </w:rPr>
        <w:t xml:space="preserve">图 4　今日工作台：派工情况、决策卡与小瓦特</w:t>
      </w:r>
    </w:p>
    <w:p>
      <w:pPr>
        <w:spacing w:before="12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color w:val="5A6B7E"/>
          <w:sz w:val="18"/>
          <w:szCs w:val="18"/>
          <w:rFonts w:ascii="Calibri" w:hAnsi="Calibri" w:eastAsia="微软雅黑"/>
        </w:rPr>
        <w:t xml:space="preserve">图 5　班组画像：名片、核心 KPI、核心业务管控、星级评价与发展规划</w:t>
      </w:r>
    </w:p>
    <w:p>
      <w:pPr>
        <w:spacing w:before="120"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color w:val="5A6B7E"/>
          <w:sz w:val="18"/>
          <w:szCs w:val="18"/>
          <w:rFonts w:ascii="Calibri" w:hAnsi="Calibri" w:eastAsia="微软雅黑"/>
        </w:rPr>
        <w:t xml:space="preserve">图 6　绩效与激励：履职证据推导初步系数，物质与非物质激励</w:t>
      </w:r>
    </w:p>
    <w:p>
      <w:pPr>
        <w:pStyle w:val="Heading1"/>
        <w:pBdr>
          <w:bottom w:val="single" w:color="00367A" w:sz="8" w:space="4"/>
        </w:pBdr>
        <w:spacing w:before="340" w:after="180" w:line="300"/>
      </w:pPr>
      <w:r>
        <w:rPr>
          <w:b/>
          <w:bCs/>
          <w:color w:val="00367A"/>
          <w:sz w:val="31"/>
          <w:szCs w:val="31"/>
          <w:rFonts w:ascii="Calibri" w:hAnsi="Calibri" w:eastAsia="微软雅黑"/>
        </w:rPr>
        <w:t xml:space="preserve">六、本届展示场景与演示范围</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2700"/>
        <w:gridCol w:w="7050"/>
      </w:tblGrid>
      <w:tr>
        <w:trPr>
          <w:tblHeader/>
        </w:trPr>
        <w:tc>
          <w:tcPr>
            <w:tcW w:type="dxa" w:w="27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维度</w:t>
            </w:r>
          </w:p>
        </w:tc>
        <w:tc>
          <w:tcPr>
            <w:tcW w:type="dxa" w:w="70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内容</w:t>
            </w:r>
          </w:p>
        </w:tc>
      </w:tr>
      <w:tr>
        <w:tc>
          <w:tcPr>
            <w:tcW w:type="dxa" w:w="27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一个主要使用者</w:t>
            </w:r>
          </w:p>
        </w:tc>
        <w:tc>
          <w:tcPr>
            <w:tcW w:type="dxa" w:w="70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配网班组长（配电自动化班），以及管辖三个班组的部门管理者</w:t>
            </w:r>
          </w:p>
        </w:tc>
      </w:tr>
      <w:tr>
        <w:tc>
          <w:tcPr>
            <w:tcW w:type="dxa" w:w="27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一个核心场景</w:t>
            </w:r>
          </w:p>
        </w:tc>
        <w:tc>
          <w:tcPr>
            <w:tcW w:type="dxa" w:w="70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周报发布日的班组管理：班组整体 → 人员情况 → 日常业务派工，再切到管理者视角跟踪指标、对比班组、确认班长绩效</w:t>
            </w:r>
          </w:p>
        </w:tc>
      </w:tr>
      <w:tr>
        <w:tc>
          <w:tcPr>
            <w:tcW w:type="dxa" w:w="27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一条完整流程</w:t>
            </w:r>
          </w:p>
        </w:tc>
        <w:tc>
          <w:tcPr>
            <w:tcW w:type="dxa" w:w="70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班组画像看差距 → 班员画像 / 授权认证看断层 → 培养与梯队排带教 → 绩效与激励推导系数并确认 → 关怀提醒 → 工作台派工（四规则理由表）→ 审票 → 开工 → 完工回写画像 → 管理者考核指标红黄绿与督办 → 横向对比 → 跨班组调配 → 班长确认；8 分钟内演完</w:t>
            </w:r>
          </w:p>
        </w:tc>
      </w:tr>
      <w:tr>
        <w:tc>
          <w:tcPr>
            <w:tcW w:type="dxa" w:w="27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一个突出亮点</w:t>
            </w:r>
          </w:p>
        </w:tc>
        <w:tc>
          <w:tcPr>
            <w:tcW w:type="dxa" w:w="70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派工四规则逐人理由表；星级评价台账驱动的初步评分与提升方向；班长绩效按责任书计分并分档</w:t>
            </w:r>
          </w:p>
        </w:tc>
      </w:tr>
      <w:tr>
        <w:tc>
          <w:tcPr>
            <w:tcW w:type="dxa" w:w="27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一个价值结果</w:t>
            </w:r>
          </w:p>
        </w:tc>
        <w:tc>
          <w:tcPr>
            <w:tcW w:type="dxa" w:w="70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每个数指到台账、每个结论由人确认、每个动作改变后面每一页——班组长的工作重心从找数抄数回到判断与确认</w:t>
            </w:r>
          </w:p>
        </w:tc>
      </w:tr>
    </w:tbl>
    <w:p>
      <w:pPr>
        <w:pStyle w:val="Heading2"/>
        <w:spacing w:before="240" w:after="130" w:line="300"/>
      </w:pPr>
      <w:r>
        <w:rPr>
          <w:b/>
          <w:bCs/>
          <w:color w:val="00367A"/>
          <w:sz w:val="25"/>
          <w:szCs w:val="25"/>
          <w:rFonts w:ascii="Calibri" w:hAnsi="Calibri" w:eastAsia="微软雅黑"/>
        </w:rPr>
        <w:t xml:space="preserve">6.1 演示必须完成的功能</w:t>
      </w:r>
    </w:p>
    <w:p>
      <w:pPr>
        <w:pStyle w:val="ListParagraph"/>
        <w:numPr>
          <w:ilvl w:val="0"/>
          <w:numId w:val="2"/>
        </w:numPr>
        <w:spacing w:line="320" w:after="90"/>
      </w:pPr>
      <w:r>
        <w:rPr>
          <w:color w:val="1A2A3A"/>
          <w:sz w:val="21"/>
          <w:szCs w:val="21"/>
          <w:rFonts w:ascii="Calibri" w:hAnsi="Calibri" w:eastAsia="微软雅黑"/>
        </w:rPr>
        <w:t xml:space="preserve">班组画像与星级评价初步评分、差距指标、提升方向；</w:t>
      </w:r>
    </w:p>
    <w:p>
      <w:pPr>
        <w:pStyle w:val="ListParagraph"/>
        <w:numPr>
          <w:ilvl w:val="0"/>
          <w:numId w:val="2"/>
        </w:numPr>
        <w:spacing w:line="320" w:after="90"/>
      </w:pPr>
      <w:r>
        <w:rPr>
          <w:color w:val="1A2A3A"/>
          <w:sz w:val="21"/>
          <w:szCs w:val="21"/>
          <w:rFonts w:ascii="Calibri" w:hAnsi="Calibri" w:eastAsia="微软雅黑"/>
        </w:rPr>
        <w:t xml:space="preserve">班员画像团体指标与个人员工画像下钻；授权认证逐格确认与断层风险；</w:t>
      </w:r>
    </w:p>
    <w:p>
      <w:pPr>
        <w:pStyle w:val="ListParagraph"/>
        <w:numPr>
          <w:ilvl w:val="0"/>
          <w:numId w:val="2"/>
        </w:numPr>
        <w:spacing w:line="320" w:after="90"/>
      </w:pPr>
      <w:r>
        <w:rPr>
          <w:b/>
          <w:bCs/>
          <w:color w:val="1A2A3A"/>
          <w:sz w:val="21"/>
          <w:szCs w:val="21"/>
          <w:rFonts w:ascii="Calibri" w:hAnsi="Calibri" w:eastAsia="微软雅黑"/>
        </w:rPr>
        <w:t xml:space="preserve">绩效与激励：</w:t>
      </w:r>
      <w:r>
        <w:rPr>
          <w:color w:val="1A2A3A"/>
          <w:sz w:val="21"/>
          <w:szCs w:val="21"/>
          <w:rFonts w:ascii="Calibri" w:hAnsi="Calibri" w:eastAsia="微软雅黑"/>
        </w:rPr>
        <w:t xml:space="preserve">履职证据、工作量、系数推导、确认、分配表；</w:t>
      </w:r>
    </w:p>
    <w:p>
      <w:pPr>
        <w:pStyle w:val="ListParagraph"/>
        <w:numPr>
          <w:ilvl w:val="0"/>
          <w:numId w:val="2"/>
        </w:numPr>
        <w:spacing w:line="320" w:after="90"/>
      </w:pPr>
      <w:r>
        <w:rPr>
          <w:color w:val="1A2A3A"/>
          <w:sz w:val="21"/>
          <w:szCs w:val="21"/>
          <w:rFonts w:ascii="Calibri" w:hAnsi="Calibri" w:eastAsia="微软雅黑"/>
        </w:rPr>
        <w:t xml:space="preserve">工作台派工四规则理由表，主线任务审票 → 开工 → 完工回写；</w:t>
      </w:r>
    </w:p>
    <w:p>
      <w:pPr>
        <w:pStyle w:val="ListParagraph"/>
        <w:numPr>
          <w:ilvl w:val="0"/>
          <w:numId w:val="2"/>
        </w:numPr>
        <w:spacing w:line="320" w:after="90"/>
      </w:pPr>
      <w:r>
        <w:rPr>
          <w:b/>
          <w:bCs/>
          <w:color w:val="1A2A3A"/>
          <w:sz w:val="21"/>
          <w:szCs w:val="21"/>
          <w:rFonts w:ascii="Calibri" w:hAnsi="Calibri" w:eastAsia="微软雅黑"/>
        </w:rPr>
        <w:t xml:space="preserve">管理者：</w:t>
      </w:r>
      <w:r>
        <w:rPr>
          <w:color w:val="1A2A3A"/>
          <w:sz w:val="21"/>
          <w:szCs w:val="21"/>
          <w:rFonts w:ascii="Calibri" w:hAnsi="Calibri" w:eastAsia="微软雅黑"/>
        </w:rPr>
        <w:t xml:space="preserve">考核指标红黄绿与督办、横向对比与跨班组调配、班长绩效确认下发。</w:t>
      </w:r>
    </w:p>
    <w:p>
      <w:pPr>
        <w:pStyle w:val="Heading2"/>
        <w:spacing w:before="240" w:after="130" w:line="300"/>
      </w:pPr>
      <w:r>
        <w:rPr>
          <w:b/>
          <w:bCs/>
          <w:color w:val="00367A"/>
          <w:sz w:val="25"/>
          <w:szCs w:val="25"/>
          <w:rFonts w:ascii="Calibri" w:hAnsi="Calibri" w:eastAsia="微软雅黑"/>
        </w:rPr>
        <w:t xml:space="preserve">6.2 本届不做</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3300"/>
        <w:gridCol w:w="6450"/>
      </w:tblGrid>
      <w:tr>
        <w:trPr>
          <w:tblHeader/>
        </w:trPr>
        <w:tc>
          <w:tcPr>
            <w:tcW w:type="dxa" w:w="33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事项</w:t>
            </w:r>
          </w:p>
        </w:tc>
        <w:tc>
          <w:tcPr>
            <w:tcW w:type="dxa" w:w="64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说明</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绩效评价自动定论</w:t>
            </w:r>
          </w:p>
        </w:tc>
        <w:tc>
          <w:tcPr>
            <w:tcW w:type="dxa" w:w="6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系统只给初步系数与初步评分，结论由班组长或部门确认</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真实数据接入</w:t>
            </w:r>
          </w:p>
        </w:tc>
        <w:tc>
          <w:tcPr>
            <w:tcW w:type="dxa" w:w="6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演示阶段全部使用脱敏模拟数据，接入方案评优后另行确定</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移动端</w:t>
            </w:r>
          </w:p>
        </w:tc>
        <w:tc>
          <w:tcPr>
            <w:tcW w:type="dxa" w:w="6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本届以大屏演示为准</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专项工作类参谋</w:t>
            </w:r>
          </w:p>
        </w:tc>
        <w:tc>
          <w:tcPr>
            <w:tcW w:type="dxa" w:w="6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按客户意见不做</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配电自动化班专用认证表与岗位说明书</w:t>
            </w:r>
          </w:p>
        </w:tc>
        <w:tc>
          <w:tcPr>
            <w:tcW w:type="dxa" w:w="6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待客户提供后替换，现按运维班口径</w:t>
            </w:r>
          </w:p>
        </w:tc>
      </w:tr>
    </w:tbl>
    <w:p>
      <w:pPr>
        <w:pStyle w:val="Heading1"/>
        <w:pBdr>
          <w:bottom w:val="single" w:color="00367A" w:sz="8" w:space="4"/>
        </w:pBdr>
        <w:spacing w:before="340" w:after="180" w:line="300"/>
      </w:pPr>
      <w:r>
        <w:rPr>
          <w:b/>
          <w:bCs/>
          <w:color w:val="00367A"/>
          <w:sz w:val="31"/>
          <w:szCs w:val="31"/>
          <w:rFonts w:ascii="Calibri" w:hAnsi="Calibri" w:eastAsia="微软雅黑"/>
        </w:rPr>
        <w:t xml:space="preserve">七、数据与素材</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2000"/>
        <w:gridCol w:w="5300"/>
        <w:gridCol w:w="2450"/>
      </w:tblGrid>
      <w:tr>
        <w:trPr>
          <w:tblHeader/>
        </w:trPr>
        <w:tc>
          <w:tcPr>
            <w:tcW w:type="dxa" w:w="20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类别</w:t>
            </w:r>
          </w:p>
        </w:tc>
        <w:tc>
          <w:tcPr>
            <w:tcW w:type="dxa" w:w="53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内容</w:t>
            </w:r>
          </w:p>
        </w:tc>
        <w:tc>
          <w:tcPr>
            <w:tcW w:type="dxa" w:w="24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来源与状态</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管理口径材料</w:t>
            </w:r>
          </w:p>
        </w:tc>
        <w:tc>
          <w:tcPr>
            <w:tcW w:type="dxa" w:w="5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组织管理六维、修改建议、负责人反馈单、关键节点管控表、星级评价标准分册、配网自动化周报第 29 期</w:t>
            </w:r>
          </w:p>
        </w:tc>
        <w:tc>
          <w:tcPr>
            <w:tcW w:type="dxa" w:w="2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业务方提供，已到位</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9/24 新材料</w:t>
            </w:r>
          </w:p>
        </w:tc>
        <w:tc>
          <w:tcPr>
            <w:tcW w:type="dxa" w:w="5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技能类岗位胜任能力评价作业授权认证表（运维班）、岗位说明书、2026 年度业绩责任书（分管副总 / 主管 / 班长）</w:t>
            </w:r>
          </w:p>
        </w:tc>
        <w:tc>
          <w:tcPr>
            <w:tcW w:type="dxa" w:w="2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业务方提供，已到位</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十七张台账</w:t>
            </w:r>
          </w:p>
        </w:tc>
        <w:tc>
          <w:tcPr>
            <w:tcW w:type="dxa" w:w="5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工时、资质证书、作业授权认证、任务、缺陷、两票、周报指标、工作量（工分）、违章、安全活动、荣誉、培训、派工记录、跨班组调配、值班、通知、操作流水</w:t>
            </w:r>
          </w:p>
        </w:tc>
        <w:tc>
          <w:tcPr>
            <w:tcW w:type="dxa" w:w="2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按客户台账样式生成脱敏模拟数据</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预设待确认</w:t>
            </w:r>
          </w:p>
        </w:tc>
        <w:tc>
          <w:tcPr>
            <w:tcW w:type="dxa" w:w="5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星级评价非台账维度的初步得分、另外两个班组的底数、考核指标当前值、配电自动化班专用认证表</w:t>
            </w:r>
          </w:p>
        </w:tc>
        <w:tc>
          <w:tcPr>
            <w:tcW w:type="dxa" w:w="24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在讲师演示台"功能实现状态清单"逐条标注</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视觉规范</w:t>
            </w:r>
          </w:p>
        </w:tc>
        <w:tc>
          <w:tcPr>
            <w:tcW w:type="dxa" w:w="5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南方电网企业色与标识使用规范</w:t>
            </w:r>
          </w:p>
        </w:tc>
        <w:tc>
          <w:tcPr>
            <w:tcW w:type="dxa" w:w="24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业务方提供</w:t>
            </w:r>
          </w:p>
        </w:tc>
      </w:tr>
    </w:tbl>
    <w:p>
      <w:pPr>
        <w:pStyle w:val="Heading1"/>
        <w:pBdr>
          <w:bottom w:val="single" w:color="00367A" w:sz="8" w:space="4"/>
        </w:pBdr>
        <w:spacing w:before="340" w:after="180" w:line="300"/>
      </w:pPr>
      <w:r>
        <w:rPr>
          <w:b/>
          <w:bCs/>
          <w:color w:val="00367A"/>
          <w:sz w:val="31"/>
          <w:szCs w:val="31"/>
          <w:rFonts w:ascii="Calibri" w:hAnsi="Calibri" w:eastAsia="微软雅黑"/>
        </w:rPr>
        <w:t xml:space="preserve">八、技术路线</w:t>
      </w:r>
    </w:p>
    <w:p>
      <w:pPr>
        <w:pStyle w:val="ListParagraph"/>
        <w:numPr>
          <w:ilvl w:val="0"/>
          <w:numId w:val="2"/>
        </w:numPr>
        <w:spacing w:line="320" w:after="90"/>
      </w:pPr>
      <w:r>
        <w:rPr>
          <w:b/>
          <w:bCs/>
          <w:color w:val="1A2A3A"/>
          <w:sz w:val="21"/>
          <w:szCs w:val="21"/>
          <w:rFonts w:ascii="Calibri" w:hAnsi="Calibri" w:eastAsia="微软雅黑"/>
        </w:rPr>
        <w:t xml:space="preserve">单文件网页应用：</w:t>
      </w:r>
      <w:r>
        <w:rPr>
          <w:color w:val="1A2A3A"/>
          <w:sz w:val="21"/>
          <w:szCs w:val="21"/>
          <w:rFonts w:ascii="Calibri" w:hAnsi="Calibri" w:eastAsia="微软雅黑"/>
        </w:rPr>
        <w:t xml:space="preserve">双击即开，内网离线运行，不依赖外部网络与外部模型服务；</w:t>
      </w:r>
    </w:p>
    <w:p>
      <w:pPr>
        <w:pStyle w:val="ListParagraph"/>
        <w:numPr>
          <w:ilvl w:val="0"/>
          <w:numId w:val="2"/>
        </w:numPr>
        <w:spacing w:line="320" w:after="90"/>
      </w:pPr>
      <w:r>
        <w:rPr>
          <w:b/>
          <w:bCs/>
          <w:color w:val="1A2A3A"/>
          <w:sz w:val="21"/>
          <w:szCs w:val="21"/>
          <w:rFonts w:ascii="Calibri" w:hAnsi="Calibri" w:eastAsia="微软雅黑"/>
        </w:rPr>
        <w:t xml:space="preserve">状态层：</w:t>
      </w:r>
      <w:r>
        <w:rPr>
          <w:color w:val="1A2A3A"/>
          <w:sz w:val="21"/>
          <w:szCs w:val="21"/>
          <w:rFonts w:ascii="Calibri" w:hAnsi="Calibri" w:eastAsia="微软雅黑"/>
        </w:rPr>
        <w:t xml:space="preserve">页面只读、按钮只写，全部操作落本机，刷新不丢，流程不预设；</w:t>
      </w:r>
    </w:p>
    <w:p>
      <w:pPr>
        <w:pStyle w:val="ListParagraph"/>
        <w:numPr>
          <w:ilvl w:val="0"/>
          <w:numId w:val="2"/>
        </w:numPr>
        <w:spacing w:line="320" w:after="90"/>
      </w:pPr>
      <w:r>
        <w:rPr>
          <w:b/>
          <w:bCs/>
          <w:color w:val="1A2A3A"/>
          <w:sz w:val="21"/>
          <w:szCs w:val="21"/>
          <w:rFonts w:ascii="Calibri" w:hAnsi="Calibri" w:eastAsia="微软雅黑"/>
        </w:rPr>
        <w:t xml:space="preserve">规则引擎：</w:t>
      </w:r>
      <w:r>
        <w:rPr>
          <w:color w:val="1A2A3A"/>
          <w:sz w:val="21"/>
          <w:szCs w:val="21"/>
          <w:rFonts w:ascii="Calibri" w:hAnsi="Calibri" w:eastAsia="微软雅黑"/>
        </w:rPr>
        <w:t xml:space="preserve">派工四规则、星级 20 维评分、绩效系数推导、考核指标评分标准、班长绩效计分全部为可配置规则，台账驱动实时计算；</w:t>
      </w:r>
    </w:p>
    <w:p>
      <w:pPr>
        <w:pStyle w:val="ListParagraph"/>
        <w:numPr>
          <w:ilvl w:val="0"/>
          <w:numId w:val="2"/>
        </w:numPr>
        <w:spacing w:line="320" w:after="90"/>
      </w:pPr>
      <w:r>
        <w:rPr>
          <w:b/>
          <w:bCs/>
          <w:color w:val="1A2A3A"/>
          <w:sz w:val="21"/>
          <w:szCs w:val="21"/>
          <w:rFonts w:ascii="Calibri" w:hAnsi="Calibri" w:eastAsia="微软雅黑"/>
        </w:rPr>
        <w:t xml:space="preserve">图表：</w:t>
      </w:r>
      <w:r>
        <w:rPr>
          <w:color w:val="1A2A3A"/>
          <w:sz w:val="21"/>
          <w:szCs w:val="21"/>
          <w:rFonts w:ascii="Calibri" w:hAnsi="Calibri" w:eastAsia="微软雅黑"/>
        </w:rPr>
        <w:t xml:space="preserve">手绘矢量图表，类型不重复，每张图可下钻到台账或成员明细，按卡片实际宽度出图；</w:t>
      </w:r>
    </w:p>
    <w:p>
      <w:pPr>
        <w:pStyle w:val="ListParagraph"/>
        <w:numPr>
          <w:ilvl w:val="0"/>
          <w:numId w:val="2"/>
        </w:numPr>
        <w:spacing w:line="320" w:after="90"/>
      </w:pPr>
      <w:r>
        <w:rPr>
          <w:b/>
          <w:bCs/>
          <w:color w:val="1A2A3A"/>
          <w:sz w:val="21"/>
          <w:szCs w:val="21"/>
          <w:rFonts w:ascii="Calibri" w:hAnsi="Calibri" w:eastAsia="微软雅黑"/>
        </w:rPr>
        <w:t xml:space="preserve">助手：</w:t>
      </w:r>
      <w:r>
        <w:rPr>
          <w:color w:val="1A2A3A"/>
          <w:sz w:val="21"/>
          <w:szCs w:val="21"/>
          <w:rFonts w:ascii="Calibri" w:hAnsi="Calibri" w:eastAsia="微软雅黑"/>
        </w:rPr>
        <w:t xml:space="preserve">结构化查询 + 文稿逐段生成，回答附数据来源；语音为辅，所有路径可点击；</w:t>
      </w:r>
    </w:p>
    <w:p>
      <w:pPr>
        <w:pStyle w:val="ListParagraph"/>
        <w:numPr>
          <w:ilvl w:val="0"/>
          <w:numId w:val="2"/>
        </w:numPr>
        <w:spacing w:line="320" w:after="90"/>
      </w:pPr>
      <w:r>
        <w:rPr>
          <w:b/>
          <w:bCs/>
          <w:color w:val="1A2A3A"/>
          <w:sz w:val="21"/>
          <w:szCs w:val="21"/>
          <w:rFonts w:ascii="Calibri" w:hAnsi="Calibri" w:eastAsia="微软雅黑"/>
        </w:rPr>
        <w:t xml:space="preserve">质量保障：</w:t>
      </w:r>
      <w:r>
        <w:rPr>
          <w:color w:val="1A2A3A"/>
          <w:sz w:val="21"/>
          <w:szCs w:val="21"/>
          <w:rFonts w:ascii="Calibri" w:hAnsi="Calibri" w:eastAsia="微软雅黑"/>
        </w:rPr>
        <w:t xml:space="preserve">130 项自动化冒烟回归（两个角色主线、禁词、状态回写）每次改动后运行；两角色 21 页视觉巡检截图。</w:t>
      </w:r>
    </w:p>
    <w:p>
      <w:pPr>
        <w:pStyle w:val="Heading1"/>
        <w:pBdr>
          <w:bottom w:val="single" w:color="00367A" w:sz="8" w:space="4"/>
        </w:pBdr>
        <w:spacing w:before="340" w:after="180" w:line="300"/>
      </w:pPr>
      <w:r>
        <w:rPr>
          <w:b/>
          <w:bCs/>
          <w:color w:val="00367A"/>
          <w:sz w:val="31"/>
          <w:szCs w:val="31"/>
          <w:rFonts w:ascii="Calibri" w:hAnsi="Calibri" w:eastAsia="微软雅黑"/>
        </w:rPr>
        <w:t xml:space="preserve">九、验收标准</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900"/>
        <w:gridCol w:w="8850"/>
      </w:tblGrid>
      <w:tr>
        <w:trPr>
          <w:tblHeader/>
        </w:trPr>
        <w:tc>
          <w:tcPr>
            <w:tcW w:type="dxa" w:w="9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序号</w:t>
            </w:r>
          </w:p>
        </w:tc>
        <w:tc>
          <w:tcPr>
            <w:tcW w:type="dxa" w:w="88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可检查的验收项</w:t>
            </w:r>
          </w:p>
        </w:tc>
      </w:tr>
      <w:tr>
        <w:tc>
          <w:tcPr>
            <w:tcW w:type="dxa" w:w="9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1</w:t>
            </w:r>
          </w:p>
        </w:tc>
        <w:tc>
          <w:tcPr>
            <w:tcW w:type="dxa" w:w="8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8 分钟演示只用鼠标可走完，两个角色各走一遍主线</w:t>
            </w:r>
          </w:p>
        </w:tc>
      </w:tr>
      <w:tr>
        <w:tc>
          <w:tcPr>
            <w:tcW w:type="dxa" w:w="9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2</w:t>
            </w:r>
          </w:p>
        </w:tc>
        <w:tc>
          <w:tcPr>
            <w:tcW w:type="dxa" w:w="8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派工卡上每个人都有推荐 / 随队 / 排除的理由，理由随派工单存进台账；换人时说出原因</w:t>
            </w:r>
          </w:p>
        </w:tc>
      </w:tr>
      <w:tr>
        <w:tc>
          <w:tcPr>
            <w:tcW w:type="dxa" w:w="9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3</w:t>
            </w:r>
          </w:p>
        </w:tc>
        <w:tc>
          <w:tcPr>
            <w:tcW w:type="dxa" w:w="8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主线任务从审票到完工每一步都改变工时、票、缺陷、关键节点、画像实操与培养页；刷新后不丢</w:t>
            </w:r>
          </w:p>
        </w:tc>
      </w:tr>
      <w:tr>
        <w:tc>
          <w:tcPr>
            <w:tcW w:type="dxa" w:w="9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4</w:t>
            </w:r>
          </w:p>
        </w:tc>
        <w:tc>
          <w:tcPr>
            <w:tcW w:type="dxa" w:w="8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班组画像每个数指到台账可跳转核对；星级 20 维初步评分标红黄绿，差距指标与提升方向逐条可查</w:t>
            </w:r>
          </w:p>
        </w:tc>
      </w:tr>
      <w:tr>
        <w:tc>
          <w:tcPr>
            <w:tcW w:type="dxa" w:w="9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5</w:t>
            </w:r>
          </w:p>
        </w:tc>
        <w:tc>
          <w:tcPr>
            <w:tcW w:type="dxa" w:w="8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授权认证 42 模块逐格可确认，缺证不能确认；核心业务自主实施能力与断层风险实时计算</w:t>
            </w:r>
          </w:p>
        </w:tc>
      </w:tr>
      <w:tr>
        <w:tc>
          <w:tcPr>
            <w:tcW w:type="dxa" w:w="9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6</w:t>
            </w:r>
          </w:p>
        </w:tc>
        <w:tc>
          <w:tcPr>
            <w:tcW w:type="dxa" w:w="8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绩效系数由履职证据与工作量推导，证据逐条带出处；确认后生成分配表</w:t>
            </w:r>
          </w:p>
        </w:tc>
      </w:tr>
      <w:tr>
        <w:tc>
          <w:tcPr>
            <w:tcW w:type="dxa" w:w="9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7</w:t>
            </w:r>
          </w:p>
        </w:tc>
        <w:tc>
          <w:tcPr>
            <w:tcW w:type="dxa" w:w="8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管理者考核指标按责任书评分标准实时计算红黄绿；督办、提醒、调配、轮岗建议全部落到班长的通知或确认</w:t>
            </w:r>
          </w:p>
        </w:tc>
      </w:tr>
      <w:tr>
        <w:tc>
          <w:tcPr>
            <w:tcW w:type="dxa" w:w="9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8</w:t>
            </w:r>
          </w:p>
        </w:tc>
        <w:tc>
          <w:tcPr>
            <w:tcW w:type="dxa" w:w="8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班长绩效按责任书五维计分、分档不排名次，确认后才下发</w:t>
            </w:r>
          </w:p>
        </w:tc>
      </w:tr>
      <w:tr>
        <w:tc>
          <w:tcPr>
            <w:tcW w:type="dxa" w:w="9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w:t>
            </w:r>
          </w:p>
        </w:tc>
        <w:tc>
          <w:tcPr>
            <w:tcW w:type="dxa" w:w="88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涉及人的结论全部标注"由班组长确认后使用"；界面无点不动的按钮、无讲解员式文字；每页底部有颜色说明</w:t>
            </w:r>
          </w:p>
        </w:tc>
      </w:tr>
      <w:tr>
        <w:tc>
          <w:tcPr>
            <w:tcW w:type="dxa" w:w="9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10</w:t>
            </w:r>
          </w:p>
        </w:tc>
        <w:tc>
          <w:tcPr>
            <w:tcW w:type="dxa" w:w="88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全部演示数据脱敏；真实 / 模拟 / 预设 / 待对接的标记只在讲师演示台状态清单出现</w:t>
            </w:r>
          </w:p>
        </w:tc>
      </w:tr>
    </w:tbl>
    <w:p>
      <w:pPr>
        <w:pStyle w:val="Heading1"/>
        <w:pBdr>
          <w:bottom w:val="single" w:color="00367A" w:sz="8" w:space="4"/>
        </w:pBdr>
        <w:spacing w:before="340" w:after="180" w:line="300"/>
      </w:pPr>
      <w:r>
        <w:rPr>
          <w:b/>
          <w:bCs/>
          <w:color w:val="00367A"/>
          <w:sz w:val="31"/>
          <w:szCs w:val="31"/>
          <w:rFonts w:ascii="Calibri" w:hAnsi="Calibri" w:eastAsia="微软雅黑"/>
        </w:rPr>
        <w:t xml:space="preserve">十、里程碑</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3300"/>
        <w:gridCol w:w="1800"/>
        <w:gridCol w:w="4650"/>
      </w:tblGrid>
      <w:tr>
        <w:trPr>
          <w:tblHeader/>
        </w:trPr>
        <w:tc>
          <w:tcPr>
            <w:tcW w:type="dxa" w:w="33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阶段</w:t>
            </w:r>
          </w:p>
        </w:tc>
        <w:tc>
          <w:tcPr>
            <w:tcW w:type="dxa" w:w="18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日期</w:t>
            </w:r>
          </w:p>
        </w:tc>
        <w:tc>
          <w:tcPr>
            <w:tcW w:type="dxa" w:w="46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交付内容</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需求澄清与范围定义</w:t>
            </w:r>
          </w:p>
        </w:tc>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8月14日</w:t>
            </w:r>
          </w:p>
        </w:tc>
        <w:tc>
          <w:tcPr>
            <w:tcW w:type="dxa" w:w="46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需求工作坊，业务口径与台账样式确认</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技术方案设计与研发启动</w:t>
            </w:r>
          </w:p>
        </w:tc>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8月21日</w:t>
            </w:r>
          </w:p>
        </w:tc>
        <w:tc>
          <w:tcPr>
            <w:tcW w:type="dxa" w:w="46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技术方案与界面框架</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需求冻结与初版演示验收</w:t>
            </w:r>
          </w:p>
        </w:tc>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8月28日</w:t>
            </w:r>
          </w:p>
        </w:tc>
        <w:tc>
          <w:tcPr>
            <w:tcW w:type="dxa" w:w="46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画像一屏初版可演示</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中期评审与关键问题攻坚</w:t>
            </w:r>
          </w:p>
        </w:tc>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9月4日</w:t>
            </w:r>
          </w:p>
        </w:tc>
        <w:tc>
          <w:tcPr>
            <w:tcW w:type="dxa" w:w="46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状态层上线，流程不预设</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比赛作品预验收</w:t>
            </w:r>
          </w:p>
        </w:tc>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9月11日</w:t>
            </w:r>
          </w:p>
        </w:tc>
        <w:tc>
          <w:tcPr>
            <w:tcW w:type="dxa" w:w="46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完整作品预演</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客户修改意见一轮</w:t>
            </w:r>
          </w:p>
        </w:tc>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9月21日–9月22日</w:t>
            </w:r>
          </w:p>
        </w:tc>
        <w:tc>
          <w:tcPr>
            <w:tcW w:type="dxa" w:w="46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业务减管理加、简约风格、知识库三类、管理者九页、班长绩效</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成果交付与模拟答辩</w:t>
            </w:r>
          </w:p>
        </w:tc>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9月23日</w:t>
            </w:r>
          </w:p>
        </w:tc>
        <w:tc>
          <w:tcPr>
            <w:tcW w:type="dxa" w:w="46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交付，现场汇报演练</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客户新需求与二轮意见</w:t>
            </w:r>
          </w:p>
        </w:tc>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9月24日–9月29日</w:t>
            </w:r>
          </w:p>
        </w:tc>
        <w:tc>
          <w:tcPr>
            <w:tcW w:type="dxa" w:w="46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作业授权认证、员工画像、考核指标三维度、每页颜色说明、班组整体画像、产品改名「高效班组管理助手」</w:t>
            </w:r>
          </w:p>
        </w:tc>
      </w:tr>
      <w:tr>
        <w:tc>
          <w:tcPr>
            <w:tcW w:type="dxa" w:w="33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视觉升级</w:t>
            </w:r>
          </w:p>
        </w:tc>
        <w:tc>
          <w:tcPr>
            <w:tcW w:type="dxa" w:w="18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10月1日–10月3日</w:t>
            </w:r>
          </w:p>
        </w:tc>
        <w:tc>
          <w:tcPr>
            <w:tcW w:type="dxa" w:w="46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评审视觉标准美化，浅色光影质感与动效</w:t>
            </w:r>
          </w:p>
        </w:tc>
      </w:tr>
      <w:tr>
        <w:tc>
          <w:tcPr>
            <w:tcW w:type="dxa" w:w="33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参赛提交</w:t>
            </w:r>
          </w:p>
        </w:tc>
        <w:tc>
          <w:tcPr>
            <w:tcW w:type="dxa" w:w="18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按评优通知</w:t>
            </w:r>
          </w:p>
        </w:tc>
        <w:tc>
          <w:tcPr>
            <w:tcW w:type="dxa" w:w="46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作品、文档、汇报材料</w:t>
            </w:r>
          </w:p>
        </w:tc>
      </w:tr>
    </w:tbl>
    <w:p>
      <w:pPr>
        <w:pStyle w:val="Heading1"/>
        <w:pBdr>
          <w:bottom w:val="single" w:color="00367A" w:sz="8" w:space="4"/>
        </w:pBdr>
        <w:spacing w:before="340" w:after="180" w:line="300"/>
      </w:pPr>
      <w:r>
        <w:rPr>
          <w:b/>
          <w:bCs/>
          <w:color w:val="00367A"/>
          <w:sz w:val="31"/>
          <w:szCs w:val="31"/>
          <w:rFonts w:ascii="Calibri" w:hAnsi="Calibri" w:eastAsia="微软雅黑"/>
        </w:rPr>
        <w:t xml:space="preserve">十一、价值与成效</w:t>
      </w:r>
    </w:p>
    <w:p>
      <w:pPr>
        <w:pStyle w:val="Heading2"/>
        <w:spacing w:before="240" w:after="130" w:line="300"/>
      </w:pPr>
      <w:r>
        <w:rPr>
          <w:b/>
          <w:bCs/>
          <w:color w:val="00367A"/>
          <w:sz w:val="25"/>
          <w:szCs w:val="25"/>
          <w:rFonts w:ascii="Calibri" w:hAnsi="Calibri" w:eastAsia="微软雅黑"/>
        </w:rPr>
        <w:t xml:space="preserve">11.1 业务价值</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2000"/>
        <w:gridCol w:w="7750"/>
      </w:tblGrid>
      <w:tr>
        <w:trPr>
          <w:tblHeader/>
        </w:trPr>
        <w:tc>
          <w:tcPr>
            <w:tcW w:type="dxa" w:w="20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对象</w:t>
            </w:r>
          </w:p>
        </w:tc>
        <w:tc>
          <w:tcPr>
            <w:tcW w:type="dxa" w:w="77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可检查的价值</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班组长</w:t>
            </w:r>
          </w:p>
        </w:tc>
        <w:tc>
          <w:tcPr>
            <w:tcW w:type="dxa" w:w="77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派工有理由、考评有证据、班组建设有差距清单；班前会材料、月度总结、分配表、面谈提纲、诊断报告逐段生成，确认即用</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部门管理者</w:t>
            </w:r>
          </w:p>
        </w:tc>
        <w:tc>
          <w:tcPr>
            <w:tcW w:type="dxa" w:w="77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三个班组的考核指标、横向对比、班长绩效、风险与人力配置在同一套数据上，督办与调配直接落到班组长</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员工</w:t>
            </w:r>
          </w:p>
        </w:tc>
        <w:tc>
          <w:tcPr>
            <w:tcW w:type="dxa" w:w="77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画像来自台账而不是印象；授权、培养、激励、关怀有据可查，涉及本人的结论由班组长确认</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公司</w:t>
            </w:r>
          </w:p>
        </w:tc>
        <w:tc>
          <w:tcPr>
            <w:tcW w:type="dxa" w:w="77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星级班组评价、业绩责任书、作业授权认证等管理要求在班组一级有了数字化执行与反馈，班组数据成为人力资源数智化的基础单元</w:t>
            </w:r>
          </w:p>
        </w:tc>
      </w:tr>
    </w:tbl>
    <w:p>
      <w:pPr>
        <w:pStyle w:val="Heading2"/>
        <w:spacing w:before="240" w:after="130" w:line="300"/>
      </w:pPr>
      <w:r>
        <w:rPr>
          <w:b/>
          <w:bCs/>
          <w:color w:val="00367A"/>
          <w:sz w:val="25"/>
          <w:szCs w:val="25"/>
          <w:rFonts w:ascii="Calibri" w:hAnsi="Calibri" w:eastAsia="微软雅黑"/>
        </w:rPr>
        <w:t xml:space="preserve">11.2 对公司数智化转型的作用</w:t>
      </w:r>
    </w:p>
    <w:p>
      <w:pPr>
        <w:spacing w:line="320" w:after="130"/>
      </w:pPr>
      <w:r>
        <w:rPr>
          <w:color w:val="1A2A3A"/>
          <w:sz w:val="21"/>
          <w:szCs w:val="21"/>
          <w:rFonts w:ascii="Calibri" w:hAnsi="Calibri" w:eastAsia="微软雅黑"/>
        </w:rPr>
        <w:t xml:space="preserve">回到开篇：公司的数据已经进了系统，本产品让这些数据在班组这一级变成管理能力，实现三个转变——</w:t>
      </w:r>
      <w:r>
        <w:rPr>
          <w:b/>
          <w:bCs/>
          <w:color w:val="1A2A3A"/>
          <w:sz w:val="21"/>
          <w:szCs w:val="21"/>
          <w:rFonts w:ascii="Calibri" w:hAnsi="Calibri" w:eastAsia="微软雅黑"/>
        </w:rPr>
        <w:t xml:space="preserve">从"分散台账"到"一屏画像"</w:t>
      </w:r>
      <w:r>
        <w:rPr>
          <w:color w:val="1A2A3A"/>
          <w:sz w:val="21"/>
          <w:szCs w:val="21"/>
          <w:rFonts w:ascii="Calibri" w:hAnsi="Calibri" w:eastAsia="微软雅黑"/>
        </w:rPr>
        <w:t xml:space="preserve">（十七张台账统一底座，每个数可追溯），</w:t>
      </w:r>
      <w:r>
        <w:rPr>
          <w:b/>
          <w:bCs/>
          <w:color w:val="1A2A3A"/>
          <w:sz w:val="21"/>
          <w:szCs w:val="21"/>
          <w:rFonts w:ascii="Calibri" w:hAnsi="Calibri" w:eastAsia="微软雅黑"/>
        </w:rPr>
        <w:t xml:space="preserve">从"凭经验"到"有理由"</w:t>
      </w:r>
      <w:r>
        <w:rPr>
          <w:color w:val="1A2A3A"/>
          <w:sz w:val="21"/>
          <w:szCs w:val="21"/>
          <w:rFonts w:ascii="Calibri" w:hAnsi="Calibri" w:eastAsia="微软雅黑"/>
        </w:rPr>
        <w:t xml:space="preserve">（派工、评分、系数、指标全部按规则推导并由人确认），</w:t>
      </w:r>
      <w:r>
        <w:rPr>
          <w:b/>
          <w:bCs/>
          <w:color w:val="1A2A3A"/>
          <w:sz w:val="21"/>
          <w:szCs w:val="21"/>
          <w:rFonts w:ascii="Calibri" w:hAnsi="Calibri" w:eastAsia="微软雅黑"/>
        </w:rPr>
        <w:t xml:space="preserve">从"事后汇总"到"过程回写"</w:t>
      </w:r>
      <w:r>
        <w:rPr>
          <w:color w:val="1A2A3A"/>
          <w:sz w:val="21"/>
          <w:szCs w:val="21"/>
          <w:rFonts w:ascii="Calibri" w:hAnsi="Calibri" w:eastAsia="微软雅黑"/>
        </w:rPr>
        <w:t xml:space="preserve">（每个动作改变后面每一页，队伍建设六环闭环持续运转）。数字化转型由此真正落到了最基层的生产组织。</w:t>
      </w:r>
    </w:p>
    <w:p>
      <w:pPr>
        <w:pStyle w:val="Heading2"/>
        <w:spacing w:before="240" w:after="130" w:line="300"/>
      </w:pPr>
      <w:r>
        <w:rPr>
          <w:b/>
          <w:bCs/>
          <w:color w:val="00367A"/>
          <w:sz w:val="25"/>
          <w:szCs w:val="25"/>
          <w:rFonts w:ascii="Calibri" w:hAnsi="Calibri" w:eastAsia="微软雅黑"/>
        </w:rPr>
        <w:t xml:space="preserve">11.3 推广价值与路径</w:t>
      </w:r>
    </w:p>
    <w:p>
      <w:pPr>
        <w:pStyle w:val="ListParagraph"/>
        <w:numPr>
          <w:ilvl w:val="0"/>
          <w:numId w:val="2"/>
        </w:numPr>
        <w:spacing w:line="320" w:after="90"/>
      </w:pPr>
      <w:r>
        <w:rPr>
          <w:b/>
          <w:bCs/>
          <w:color w:val="1A2A3A"/>
          <w:sz w:val="21"/>
          <w:szCs w:val="21"/>
          <w:rFonts w:ascii="Calibri" w:hAnsi="Calibri" w:eastAsia="微软雅黑"/>
        </w:rPr>
        <w:t xml:space="preserve">班组可复制：</w:t>
      </w:r>
      <w:r>
        <w:rPr>
          <w:color w:val="1A2A3A"/>
          <w:sz w:val="21"/>
          <w:szCs w:val="21"/>
          <w:rFonts w:ascii="Calibri" w:hAnsi="Calibri" w:eastAsia="微软雅黑"/>
        </w:rPr>
        <w:t xml:space="preserve">换一套台账与人员，规则不变，即可覆盖配电运维、试验、变电运行等各类班组；</w:t>
      </w:r>
    </w:p>
    <w:p>
      <w:pPr>
        <w:pStyle w:val="ListParagraph"/>
        <w:numPr>
          <w:ilvl w:val="0"/>
          <w:numId w:val="2"/>
        </w:numPr>
        <w:spacing w:line="320" w:after="90"/>
      </w:pPr>
      <w:r>
        <w:rPr>
          <w:b/>
          <w:bCs/>
          <w:color w:val="1A2A3A"/>
          <w:sz w:val="21"/>
          <w:szCs w:val="21"/>
          <w:rFonts w:ascii="Calibri" w:hAnsi="Calibri" w:eastAsia="微软雅黑"/>
        </w:rPr>
        <w:t xml:space="preserve">专业可复制：</w:t>
      </w:r>
      <w:r>
        <w:rPr>
          <w:color w:val="1A2A3A"/>
          <w:sz w:val="21"/>
          <w:szCs w:val="21"/>
          <w:rFonts w:ascii="Calibri" w:hAnsi="Calibri" w:eastAsia="微软雅黑"/>
        </w:rPr>
        <w:t xml:space="preserve">星级评价分册、业绩责任书、作业授权认证表按专业替换，评分与计分规则为配置项；</w:t>
      </w:r>
    </w:p>
    <w:p>
      <w:pPr>
        <w:pStyle w:val="ListParagraph"/>
        <w:numPr>
          <w:ilvl w:val="0"/>
          <w:numId w:val="2"/>
        </w:numPr>
        <w:spacing w:line="320" w:after="90"/>
      </w:pPr>
      <w:r>
        <w:rPr>
          <w:b/>
          <w:bCs/>
          <w:color w:val="1A2A3A"/>
          <w:sz w:val="21"/>
          <w:szCs w:val="21"/>
          <w:rFonts w:ascii="Calibri" w:hAnsi="Calibri" w:eastAsia="微软雅黑"/>
        </w:rPr>
        <w:t xml:space="preserve">推广路径：</w:t>
      </w:r>
      <w:r>
        <w:rPr>
          <w:color w:val="1A2A3A"/>
          <w:sz w:val="21"/>
          <w:szCs w:val="21"/>
          <w:rFonts w:ascii="Calibri" w:hAnsi="Calibri" w:eastAsia="微软雅黑"/>
        </w:rPr>
        <w:t xml:space="preserve">光明供电局配网资产部三个班组 → 深圳供电局各供电局班组 → 接入公司人资与生产系统，成为班组级的统一管理入口；</w:t>
      </w:r>
    </w:p>
    <w:p>
      <w:pPr>
        <w:pStyle w:val="ListParagraph"/>
        <w:numPr>
          <w:ilvl w:val="0"/>
          <w:numId w:val="2"/>
        </w:numPr>
        <w:spacing w:line="320" w:after="90"/>
      </w:pPr>
      <w:r>
        <w:rPr>
          <w:b/>
          <w:bCs/>
          <w:color w:val="1A2A3A"/>
          <w:sz w:val="21"/>
          <w:szCs w:val="21"/>
          <w:rFonts w:ascii="Calibri" w:hAnsi="Calibri" w:eastAsia="微软雅黑"/>
        </w:rPr>
        <w:t xml:space="preserve">复制条件：</w:t>
      </w:r>
      <w:r>
        <w:rPr>
          <w:color w:val="1A2A3A"/>
          <w:sz w:val="21"/>
          <w:szCs w:val="21"/>
          <w:rFonts w:ascii="Calibri" w:hAnsi="Calibri" w:eastAsia="微软雅黑"/>
        </w:rPr>
        <w:t xml:space="preserve">业务方确认各专业的评价标准与口径；数据接入与权限体系按公司数据管理要求确定。</w:t>
      </w:r>
    </w:p>
    <w:p>
      <w:pPr>
        <w:pStyle w:val="Heading2"/>
        <w:spacing w:before="240" w:after="130" w:line="300"/>
      </w:pPr>
      <w:r>
        <w:rPr>
          <w:b/>
          <w:bCs/>
          <w:color w:val="00367A"/>
          <w:sz w:val="25"/>
          <w:szCs w:val="25"/>
          <w:rFonts w:ascii="Calibri" w:hAnsi="Calibri" w:eastAsia="微软雅黑"/>
        </w:rPr>
        <w:t xml:space="preserve">11.4 创新点与评优维度对照</w:t>
      </w:r>
    </w:p>
    <w:tbl>
      <w:tblPr>
        <w:tblW w:type="dxa" w:w="9750"/>
        <w:tblBorders>
          <w:top w:val="single" w:color="C9D6E8" w:sz="4"/>
          <w:left w:val="single" w:color="C9D6E8" w:sz="4"/>
          <w:bottom w:val="single" w:color="C9D6E8" w:sz="4"/>
          <w:right w:val="single" w:color="C9D6E8" w:sz="4"/>
          <w:insideH w:val="single" w:color="C9D6E8" w:sz="4"/>
          <w:insideV w:val="single" w:color="C9D6E8" w:sz="4"/>
        </w:tblBorders>
      </w:tblPr>
      <w:tblGrid>
        <w:gridCol w:w="2000"/>
        <w:gridCol w:w="7750"/>
      </w:tblGrid>
      <w:tr>
        <w:trPr>
          <w:tblHeader/>
        </w:trPr>
        <w:tc>
          <w:tcPr>
            <w:tcW w:type="dxa" w:w="200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评优维度</w:t>
            </w:r>
          </w:p>
        </w:tc>
        <w:tc>
          <w:tcPr>
            <w:tcW w:type="dxa" w:w="7750"/>
            <w:shd w:fill="00367A" w:val="clear"/>
            <w:tcMar>
              <w:top w:type="dxa" w:w="70"/>
              <w:left w:type="dxa" w:w="110"/>
              <w:bottom w:type="dxa" w:w="70"/>
              <w:right w:type="dxa" w:w="110"/>
            </w:tcMar>
            <w:vAlign w:val="center"/>
          </w:tcPr>
          <w:p>
            <w:pPr>
              <w:spacing w:line="290" w:after="0"/>
            </w:pPr>
            <w:r>
              <w:rPr>
                <w:b/>
                <w:bCs/>
                <w:color w:val="FFFFFF"/>
                <w:sz w:val="20"/>
                <w:szCs w:val="20"/>
                <w:rFonts w:ascii="Calibri" w:hAnsi="Calibri" w:eastAsia="微软雅黑"/>
              </w:rPr>
              <w:t xml:space="preserve">本产品的对应</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创新性</w:t>
            </w:r>
          </w:p>
        </w:tc>
        <w:tc>
          <w:tcPr>
            <w:tcW w:type="dxa" w:w="77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有形象的班组长助手替她看、想、写、办；派工四规则逐人理由表；星级评价台账驱动实时初步评分；两级视角共用一套数据</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技术水平</w:t>
            </w:r>
          </w:p>
        </w:tc>
        <w:tc>
          <w:tcPr>
            <w:tcW w:type="dxa" w:w="77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状态层驱动的不预设流程；可配置规则引擎；手绘可下钻图表；130 项自动化回归</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业务价值</w:t>
            </w:r>
          </w:p>
        </w:tc>
        <w:tc>
          <w:tcPr>
            <w:tcW w:type="dxa" w:w="77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班组建设、人员培养、绩效激励、关怀文化、日常派工、部门管理六类场景全部落到可检查的动作与结果</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实施效益</w:t>
            </w:r>
          </w:p>
        </w:tc>
        <w:tc>
          <w:tcPr>
            <w:tcW w:type="dxa" w:w="77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班组长从找数抄数回到判断确认；管理者的督办与调配直达班组长；每个结论有据可查</w:t>
            </w:r>
          </w:p>
        </w:tc>
      </w:tr>
      <w:tr>
        <w:tc>
          <w:tcPr>
            <w:tcW w:type="dxa" w:w="200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推广价值</w:t>
            </w:r>
          </w:p>
        </w:tc>
        <w:tc>
          <w:tcPr>
            <w:tcW w:type="dxa" w:w="7750"/>
            <w:shd w:fill="FFFFFF"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换台账即可复制到各类班组，单文件离线可在任何供电局内网运行</w:t>
            </w:r>
          </w:p>
        </w:tc>
      </w:tr>
      <w:tr>
        <w:tc>
          <w:tcPr>
            <w:tcW w:type="dxa" w:w="200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展示效果</w:t>
            </w:r>
          </w:p>
        </w:tc>
        <w:tc>
          <w:tcPr>
            <w:tcW w:type="dxa" w:w="7750"/>
            <w:shd w:fill="F4F8FC" w:val="clear"/>
            <w:tcMar>
              <w:top w:type="dxa" w:w="70"/>
              <w:left w:type="dxa" w:w="110"/>
              <w:bottom w:type="dxa" w:w="70"/>
              <w:right w:type="dxa" w:w="110"/>
            </w:tcMar>
            <w:vAlign w:val="center"/>
          </w:tcPr>
          <w:p>
            <w:pPr>
              <w:spacing w:line="290" w:after="0"/>
            </w:pPr>
            <w:r>
              <w:rPr>
                <w:color w:val="1A2A3A"/>
                <w:sz w:val="20"/>
                <w:szCs w:val="20"/>
                <w:rFonts w:ascii="Calibri" w:hAnsi="Calibri" w:eastAsia="微软雅黑"/>
              </w:rPr>
              <w:t xml:space="preserve">8 分钟两角色主线可演完、演稳；浅色光影质感与动效按评审视觉标准设计</w:t>
            </w:r>
          </w:p>
        </w:tc>
      </w:tr>
    </w:tbl>
    <w:p>
      <w:pPr>
        <w:pStyle w:val="Heading2"/>
        <w:spacing w:before="240" w:after="130" w:line="300"/>
      </w:pPr>
      <w:r>
        <w:rPr>
          <w:b/>
          <w:bCs/>
          <w:color w:val="00367A"/>
          <w:sz w:val="25"/>
          <w:szCs w:val="25"/>
          <w:rFonts w:ascii="Calibri" w:hAnsi="Calibri" w:eastAsia="微软雅黑"/>
        </w:rPr>
        <w:t xml:space="preserve">11.5 结语</w:t>
      </w:r>
    </w:p>
    <w:p>
      <w:pPr>
        <w:pBdr>
          <w:left w:val="single" w:color="00367A" w:sz="18" w:space="10"/>
        </w:pBdr>
        <w:shd w:fill="EAF1F9" w:val="clear"/>
        <w:spacing w:line="330" w:before="80" w:after="200"/>
        <w:ind w:left="180" w:right="180"/>
      </w:pPr>
      <w:r>
        <w:rPr>
          <w:b/>
          <w:bCs/>
          <w:color w:val="00367A"/>
          <w:sz w:val="22"/>
          <w:szCs w:val="22"/>
          <w:rFonts w:ascii="Calibri" w:hAnsi="Calibri" w:eastAsia="微软雅黑"/>
        </w:rPr>
        <w:t xml:space="preserve">班组强则公司强。高效班组管理助手把公司已有的数据在班组这一级变成了派工的理由、考评的证据、建设的差距清单和带队伍的参谋，让班组长回到判断与确认，让管理者的每一个决定落到班组长的确认，让数字化转型在公司最基层的生产组织里持续运转。</w:t>
      </w:r>
    </w:p>
    <w:p>
      <w:pPr>
        <w:pStyle w:val="Heading1"/>
        <w:pBdr>
          <w:bottom w:val="single" w:color="00367A" w:sz="8" w:space="4"/>
        </w:pBdr>
        <w:spacing w:before="340" w:after="180" w:line="300"/>
      </w:pPr>
      <w:r>
        <w:rPr>
          <w:b/>
          <w:bCs/>
          <w:color w:val="00367A"/>
          <w:sz w:val="31"/>
          <w:szCs w:val="31"/>
          <w:rFonts w:ascii="Calibri" w:hAnsi="Calibri" w:eastAsia="微软雅黑"/>
        </w:rPr>
        <w:t xml:space="preserve">十二、边界与约定</w:t>
      </w:r>
    </w:p>
    <w:p>
      <w:pPr>
        <w:pStyle w:val="ListParagraph"/>
        <w:numPr>
          <w:ilvl w:val="0"/>
          <w:numId w:val="2"/>
        </w:numPr>
        <w:spacing w:line="320" w:after="90"/>
      </w:pPr>
      <w:r>
        <w:rPr>
          <w:color w:val="1A2A3A"/>
          <w:sz w:val="21"/>
          <w:szCs w:val="21"/>
          <w:rFonts w:ascii="Calibri" w:hAnsi="Calibri" w:eastAsia="微软雅黑"/>
        </w:rPr>
        <w:t xml:space="preserve">演示环境不接入生产系统，全部数据为脱敏模拟数据；</w:t>
      </w:r>
    </w:p>
    <w:p>
      <w:pPr>
        <w:pStyle w:val="ListParagraph"/>
        <w:numPr>
          <w:ilvl w:val="0"/>
          <w:numId w:val="2"/>
        </w:numPr>
        <w:spacing w:line="320" w:after="90"/>
      </w:pPr>
      <w:r>
        <w:rPr>
          <w:color w:val="1A2A3A"/>
          <w:sz w:val="21"/>
          <w:szCs w:val="21"/>
          <w:rFonts w:ascii="Calibri" w:hAnsi="Calibri" w:eastAsia="微软雅黑"/>
        </w:rPr>
        <w:t xml:space="preserve">涉及人员评价、资格判断、轮岗与调配的内容仅供参考，最终结论由班组长或部门确认；</w:t>
      </w:r>
    </w:p>
    <w:p>
      <w:pPr>
        <w:pStyle w:val="ListParagraph"/>
        <w:numPr>
          <w:ilvl w:val="0"/>
          <w:numId w:val="2"/>
        </w:numPr>
        <w:spacing w:line="320" w:after="90"/>
      </w:pPr>
      <w:r>
        <w:rPr>
          <w:color w:val="1A2A3A"/>
          <w:sz w:val="21"/>
          <w:szCs w:val="21"/>
          <w:rFonts w:ascii="Calibri" w:hAnsi="Calibri" w:eastAsia="微软雅黑"/>
        </w:rPr>
        <w:t xml:space="preserve">星级评价非台账维度的初步得分、另外两个班组的底数与考核指标当前值为预设，待业务方确认；</w:t>
      </w:r>
    </w:p>
    <w:p>
      <w:pPr>
        <w:pStyle w:val="ListParagraph"/>
        <w:numPr>
          <w:ilvl w:val="0"/>
          <w:numId w:val="2"/>
        </w:numPr>
        <w:spacing w:line="320" w:after="90"/>
      </w:pPr>
      <w:r>
        <w:rPr>
          <w:color w:val="1A2A3A"/>
          <w:sz w:val="21"/>
          <w:szCs w:val="21"/>
          <w:rFonts w:ascii="Calibri" w:hAnsi="Calibri" w:eastAsia="微软雅黑"/>
        </w:rPr>
        <w:t xml:space="preserve">评优结束后如转入实际部署，数据接入与权限体系按公司数据管理要求另行确定。</w:t>
      </w:r>
    </w:p>
    <w:sectPr>
      <w:headerReference w:type="default" r:id="rId6"/>
      <w:headerReference w:type="first" r:id="rId7"/>
      <w:footerReference w:type="default" r:id="rId8"/>
      <w:footerReference w:type="first" r:id="rId9"/>
      <w:pgSz w:w="11906" w:h="16838" w:orient="portrait"/>
      <w:pgMar w:top="1360" w:right="1290" w:bottom="1180" w:left="129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E"/>
        <w:sz w:val="17"/>
        <w:szCs w:val="17"/>
        <w:rFonts w:ascii="Calibri" w:hAnsi="Calibri" w:eastAsia="微软雅黑"/>
      </w:rPr>
      <w:t xml:space="preserve">第 </w:t>
    </w:r>
    <w:r>
      <w:rPr>
        <w:color w:val="5A6B7E"/>
        <w:sz w:val="17"/>
        <w:szCs w:val="17"/>
        <w:rFonts w:ascii="Calibri" w:hAnsi="Calibri" w:eastAsia="微软雅黑"/>
      </w:rPr>
      <w:fldChar w:fldCharType="begin"/>
      <w:instrText xml:space="preserve">PAGE</w:instrText>
      <w:fldChar w:fldCharType="separate"/>
      <w:fldChar w:fldCharType="end"/>
    </w:r>
    <w:r>
      <w:rPr>
        <w:color w:val="5A6B7E"/>
        <w:sz w:val="17"/>
        <w:szCs w:val="17"/>
        <w:rFonts w:ascii="Calibri" w:hAnsi="Calibri" w:eastAsia="微软雅黑"/>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67A" w:sz="6" w:space="3"/>
      </w:pBdr>
      <w:tabs>
        <w:tab w:val="right" w:pos="9750"/>
      </w:tabs>
      <w:spacing w:after="60"/>
    </w:pPr>
    <w:r>
      <w:drawing>
        <wp:inline distT="0" distB="0" distL="0" distR="0">
          <wp:extent cx="86677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66775" cy="304800"/>
                  </a:xfrm>
                  <a:prstGeom prst="rect">
                    <a:avLst/>
                  </a:prstGeom>
                </pic:spPr>
              </pic:pic>
            </a:graphicData>
          </a:graphic>
        </wp:inline>
      </w:drawing>
    </w:r>
    <w:r>
      <w:rPr>
        <w:color w:val="5A6B7E"/>
        <w:sz w:val="17"/>
        <w:szCs w:val="17"/>
        <w:rFonts w:ascii="Calibri" w:hAnsi="Calibri" w:eastAsia="微软雅黑"/>
      </w:rPr>
      <w:t xml:space="preserve">	南网人力资源数智化创新产品评优 · 高效班组管理助手 需求文档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40"/>
      </w:pPr>
      <w:rPr>
        <w:color w:val="1E63B8"/>
        <w:rFonts w:ascii="Calibri" w:hAnsi="Calibri" w:eastAsia="微软雅黑"/>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2A3A"/>
        <w:sz w:val="21"/>
        <w:szCs w:val="21"/>
        <w:rFonts w:ascii="Calibri" w:hAnsi="Calibri" w:eastAsia="微软雅黑"/>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zun0lnnsaflrgeog_gr-s.png"/><Relationship Id="rId11" Type="http://schemas.openxmlformats.org/officeDocument/2006/relationships/image" Target="media/1kplfp_df07pohwwzpv_2.png"/><Relationship Id="rId12" Type="http://schemas.openxmlformats.org/officeDocument/2006/relationships/image" Target="media/4-gb5pmychqr-iwxpvdvx.png"/><Relationship Id="rId13" Type="http://schemas.openxmlformats.org/officeDocument/2006/relationships/image" Target="media/roxcrlht9cp2okujvifwp.png"/><Relationship Id="rId14" Type="http://schemas.openxmlformats.org/officeDocument/2006/relationships/image" Target="media/tveisjzwlwad4gfbkevsi.png"/><Relationship Id="rId15" Type="http://schemas.openxmlformats.org/officeDocument/2006/relationships/image" Target="media/wzalvwdatgb4p-dc9ct-v.png"/><Relationship Id="rId16" Type="http://schemas.openxmlformats.org/officeDocument/2006/relationships/image" Target="media/ebp1yf7bucu2mql_augp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oq3aftlurkng-wcb9lkv.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2026-10-01T20:12:20.440Z</dcterms:created>
  <dcterms:modified xsi:type="dcterms:W3CDTF">2026-10-01T20:12:20.440Z</dcterms:modified>
</cp:coreProperties>
</file>

<file path=docProps/custom.xml><?xml version="1.0" encoding="utf-8"?>
<Properties xmlns="http://schemas.openxmlformats.org/officeDocument/2006/custom-properties" xmlns:vt="http://schemas.openxmlformats.org/officeDocument/2006/docPropsVTypes"/>
</file>