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320"/>
        <w:jc w:val="center"/>
      </w:pPr>
      <w:r>
        <w:drawing>
          <wp:inline distT="0" distB="0" distL="0" distR="0">
            <wp:extent cx="24574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20"/>
        <w:jc w:val="center"/>
      </w:pPr>
      <w:r>
        <w:rPr>
          <w:rFonts w:ascii="Calibri" w:eastAsia="微软雅黑" w:hAnsi="Calibri"/>
          <w:color w:val="5A6B7E"/>
          <w:sz w:val="22"/>
          <w:szCs w:val="22"/>
        </w:rPr>
        <w:t xml:space="preserve">南方电网公司人力资源数智化创新产品评优 · 参赛项目</w:t>
      </w:r>
    </w:p>
    <w:p>
      <w:pPr>
        <w:spacing w:after="140"/>
        <w:jc w:val="center"/>
      </w:pPr>
      <w:r>
        <w:rPr>
          <w:rFonts w:ascii="Calibri" w:eastAsia="微软雅黑" w:hAnsi="Calibri"/>
          <w:b/>
          <w:bCs/>
          <w:color w:val="00367A"/>
          <w:sz w:val="52"/>
          <w:szCs w:val="52"/>
        </w:rPr>
        <w:t xml:space="preserve">「小瓦特·练」</w:t>
      </w:r>
    </w:p>
    <w:p>
      <w:pPr>
        <w:spacing w:after="500"/>
        <w:jc w:val="center"/>
      </w:pPr>
      <w:r>
        <w:rPr>
          <w:rFonts w:ascii="Calibri" w:eastAsia="微软雅黑" w:hAnsi="Calibri"/>
          <w:b/>
          <w:bCs/>
          <w:color w:val="1A2A3A"/>
          <w:sz w:val="40"/>
          <w:szCs w:val="40"/>
        </w:rPr>
        <w:t xml:space="preserve">AI智能陪练底座 · 技术文档</w:t>
      </w:r>
    </w:p>
    <w:p>
      <w:pPr>
        <w:spacing w:after="900"/>
        <w:jc w:val="center"/>
      </w:pPr>
      <w:r>
        <w:rPr>
          <w:rFonts w:ascii="Calibri" w:eastAsia="微软雅黑" w:hAnsi="Calibri"/>
          <w:color w:val="1E63B8"/>
          <w:sz w:val="23"/>
          <w:szCs w:val="23"/>
        </w:rPr>
        <w:t xml:space="preserve">依据《「小瓦特·练」AI智能陪练底座 需求文档》V1.0 编制</w:t>
      </w:r>
    </w:p>
    <w:tbl>
      <w:tblPr>
        <w:tblW w:type="dxa" w:w="7600"/>
        <w:jc w:val="center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600"/>
        <w:gridCol w:w="5000"/>
      </w:tblGrid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项目编号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小瓦特·HR家族 01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业务方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深圳供电局 福田供电局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编制日期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2026年8月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文档密级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内部资料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一、文档说明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本文档描述「小瓦特·练」AI 智能陪练底座本届参赛演示形态的技术实现方案，覆盖总体架构、核心引擎设计、数据设计、数字人呈现、质量保障与部署形态。凡涉及评优后实际部署的内容，均以"部署形态"单独标注。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二、总体技术架构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微软雅黑" w:hAnsi="Calibri"/>
          <w:color w:val="5A6B7E"/>
          <w:sz w:val="18"/>
          <w:szCs w:val="18"/>
        </w:rPr>
        <w:t xml:space="preserve">图 1　技术架构：五层结构与运行环境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750"/>
        <w:gridCol w:w="3400"/>
        <w:gridCol w:w="4600"/>
      </w:tblGrid>
      <w:tr>
        <w:trPr>
          <w:tblHeader/>
        </w:trPr>
        <w:tc>
          <w:tcPr>
            <w:tcW w:type="dxa" w:w="17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34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6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实现要点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呈现层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八个页面的界面呈现与交互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网页单页应用，南方电网视觉规范，宽屏自适应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教学引导层</w:t>
            </w:r>
          </w:p>
        </w:tc>
        <w:tc>
          <w:tcPr>
            <w:tcW w:type="dxa" w:w="34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把"该做什么"随时给到学员</w:t>
            </w:r>
          </w:p>
        </w:tc>
        <w:tc>
          <w:tcPr>
            <w:tcW w:type="dxa" w:w="46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三种模式、任务指令条、知识点卡、三级提示、知识问答、阶段预习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引擎层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对练的判定与生成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剧本、角色、评分、复盘四引擎与作业面板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数据与知识层</w:t>
            </w:r>
          </w:p>
        </w:tc>
        <w:tc>
          <w:tcPr>
            <w:tcW w:type="dxa" w:w="34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剧本、知识、台词、记录</w:t>
            </w:r>
          </w:p>
        </w:tc>
        <w:tc>
          <w:tcPr>
            <w:tcW w:type="dxa" w:w="46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结构化数据内置于应用，本地留存错题记录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数字人渲染层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教练形象与口型动作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预渲染视频、实时会话、内置渲染三档，自动降级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三、运行环境与部署形态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100"/>
        <w:gridCol w:w="5100"/>
        <w:gridCol w:w="2550"/>
      </w:tblGrid>
      <w:tr>
        <w:trPr>
          <w:tblHeader/>
        </w:trPr>
        <w:tc>
          <w:tcPr>
            <w:tcW w:type="dxa" w:w="21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dxa" w:w="51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5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适用场合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本地单文件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整个应用打包为一个网页文件，浏览器双击打开，零安装、零后端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比赛现场演示（首选）</w:t>
            </w:r>
          </w:p>
        </w:tc>
      </w:tr>
      <w:tr>
        <w:tc>
          <w:tcPr>
            <w:tcW w:type="dxa" w:w="2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内网静态部署</w:t>
            </w:r>
          </w:p>
        </w:tc>
        <w:tc>
          <w:tcPr>
            <w:tcW w:type="dxa" w:w="5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同一文件放置于内网静态服务器，浏览器访问</w:t>
            </w:r>
          </w:p>
        </w:tc>
        <w:tc>
          <w:tcPr>
            <w:tcW w:type="dxa" w:w="25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局内试用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门户内嵌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以链接方式嵌入"人工智能知识课堂"门户入口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部署形态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浏览器要求：桌面版新式浏览器（谷歌内核或微软内核）；主演示分辨率 1680×950 及以上宽屏，界面自适应；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演示全程不依赖外部网络：剧本、知识库、台词、模拟数据与数字人预渲染视频全部本地装载；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语音播报使用浏览器内置中文语音；无语音包环境下自动转为静默播放，口型与字幕照常驱动。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四、剧本引擎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4.1 剧本数据结构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一份陪练剧本由操作项序列构成。本届剧本共 29 个操作项（含主、子项）、三段调度令，与业务方提供的现场电气操作票逐项对应。每个操作项包含以下字段：</w:t>
      </w:r>
    </w:p>
    <w:tbl>
      <w:tblPr>
        <w:tblW w:type="dxa" w:w="94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300"/>
        <w:gridCol w:w="3350"/>
        <w:gridCol w:w="3800"/>
      </w:tblGrid>
      <w:tr>
        <w:trPr>
          <w:tblHeader/>
        </w:trPr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3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8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示例（第 5 项）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项号 / 票面文字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与操作票一致的编号与原文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5　断开培训三线1163开关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作业位置</w:t>
            </w:r>
          </w:p>
        </w:tc>
        <w:tc>
          <w:tcPr>
            <w:tcW w:type="dxa" w:w="33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本项应在的位置（七类之一）</w:t>
            </w:r>
          </w:p>
        </w:tc>
        <w:tc>
          <w:tcPr>
            <w:tcW w:type="dxa" w:w="3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监控后台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操作对象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本项应手指并操作的设备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培训三线1163开关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复诵口径</w:t>
            </w:r>
          </w:p>
        </w:tc>
        <w:tc>
          <w:tcPr>
            <w:tcW w:type="dxa" w:w="33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学员应复诵的标准话术</w:t>
            </w:r>
          </w:p>
        </w:tc>
        <w:tc>
          <w:tcPr>
            <w:tcW w:type="dxa" w:w="3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断开培训三线1163开关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回报口径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执行后应回报的内容要点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开关已断开，位置与信号正确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判定点</w:t>
            </w:r>
          </w:p>
        </w:tc>
        <w:tc>
          <w:tcPr>
            <w:tcW w:type="dxa" w:w="33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本项启用的判定规则集合</w:t>
            </w:r>
          </w:p>
        </w:tc>
        <w:tc>
          <w:tcPr>
            <w:tcW w:type="dxa" w:w="3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缺拍、错对象、无令操作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红线埋点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本项关联的一票否决条件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（第 20 项：未验电合接地刀闸）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依据条款</w:t>
            </w:r>
          </w:p>
        </w:tc>
        <w:tc>
          <w:tcPr>
            <w:tcW w:type="dxa" w:w="33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规程原文摘录</w:t>
            </w:r>
          </w:p>
        </w:tc>
        <w:tc>
          <w:tcPr>
            <w:tcW w:type="dxa" w:w="3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附录F 2.11.3 c）断开、合上的断路器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知识点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关联的知识主题与要点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设备的四种状态；唱票复诵</w:t>
            </w:r>
          </w:p>
        </w:tc>
      </w:tr>
    </w:tbl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4.2 五拍状态机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微软雅黑" w:hAnsi="Calibri"/>
          <w:color w:val="5A6B7E"/>
          <w:sz w:val="18"/>
          <w:szCs w:val="18"/>
        </w:rPr>
        <w:t xml:space="preserve">图 2　五拍动作闭环状态机与两类分支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每个操作项在五拍状态机内流转：唱票、手指口述、对，执行、执行、检查回报、标注对勾。状态推进由学员动作驱动，监护人台词与姿态随状态自动切换；任一拍缺失、越拍或对象错误即进入判定分支。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4.3 判定点类型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750"/>
        <w:gridCol w:w="4200"/>
        <w:gridCol w:w="3800"/>
      </w:tblGrid>
      <w:tr>
        <w:trPr>
          <w:tblHeader/>
        </w:trPr>
        <w:tc>
          <w:tcPr>
            <w:tcW w:type="dxa" w:w="17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2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8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缺拍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未手指即复诵、未复诵即执行等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教学模式首次提醒，其余记不规范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无令操作</w:t>
            </w:r>
          </w:p>
        </w:tc>
        <w:tc>
          <w:tcPr>
            <w:tcW w:type="dxa" w:w="4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监护人未发"对，执行"即操作设备</w:t>
            </w:r>
          </w:p>
        </w:tc>
        <w:tc>
          <w:tcPr>
            <w:tcW w:type="dxa" w:w="3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记严重违规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对象错误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手指或操作的设备与票面不符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教学模式首次提醒，其余记违规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跳项</w:t>
            </w:r>
          </w:p>
        </w:tc>
        <w:tc>
          <w:tcPr>
            <w:tcW w:type="dxa" w:w="4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越过未完成项目直接执行后续项目</w:t>
            </w:r>
          </w:p>
        </w:tc>
        <w:tc>
          <w:tcPr>
            <w:tcW w:type="dxa" w:w="3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记严重违规并要求返回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走错间隔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在非本项间隔进行核对或操作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记严重违规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单一指示</w:t>
            </w:r>
          </w:p>
        </w:tc>
        <w:tc>
          <w:tcPr>
            <w:tcW w:type="dxa" w:w="4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刀闸位置仅核对一项指示即回报</w:t>
            </w:r>
          </w:p>
        </w:tc>
        <w:tc>
          <w:tcPr>
            <w:tcW w:type="dxa" w:w="3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不予通过，要求四项核对齐全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红线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未验电合接地刀闸、发现异常仍继续等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一票否决，展示事故后果推演与依据条款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异常处置</w:t>
            </w:r>
          </w:p>
        </w:tc>
        <w:tc>
          <w:tcPr>
            <w:tcW w:type="dxa" w:w="4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注入异常后学员的处置路径</w:t>
            </w:r>
          </w:p>
        </w:tc>
        <w:tc>
          <w:tcPr>
            <w:tcW w:type="dxa" w:w="3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按中止、上报、研判、恢复四步判定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五、角色引擎与数字人呈现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5.1 三档呈现方式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900"/>
        <w:gridCol w:w="3050"/>
        <w:gridCol w:w="1750"/>
        <w:gridCol w:w="3050"/>
      </w:tblGrid>
      <w:tr>
        <w:trPr>
          <w:tblHeader/>
        </w:trPr>
        <w:tc>
          <w:tcPr>
            <w:tcW w:type="dxa" w:w="1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0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口型与动作来源</w:t>
            </w:r>
          </w:p>
        </w:tc>
        <w:tc>
          <w:tcPr>
            <w:tcW w:type="dxa" w:w="17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适用环境</w:t>
            </w:r>
          </w:p>
        </w:tc>
        <w:tc>
          <w:tcPr>
            <w:tcW w:type="dxa" w:w="30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预渲染视频</w:t>
            </w:r>
          </w:p>
        </w:tc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数字人服务批量渲染的透明通道视频（WebM 格式）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离线，现场首选</w:t>
            </w:r>
          </w:p>
        </w:tc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117 条台词逐条渲染，按台词精确匹配播放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实时会话</w:t>
            </w:r>
          </w:p>
        </w:tc>
        <w:tc>
          <w:tcPr>
            <w:tcW w:type="dxa" w:w="30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数字人服务实时流</w:t>
            </w:r>
          </w:p>
        </w:tc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联网环境</w:t>
            </w:r>
          </w:p>
        </w:tc>
        <w:tc>
          <w:tcPr>
            <w:tcW w:type="dxa" w:w="30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用于自由问答等非固定台词场合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内置渲染</w:t>
            </w:r>
          </w:p>
        </w:tc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矢量骨骼动画，拼音转口型逐字对齐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任何环境</w:t>
            </w:r>
          </w:p>
        </w:tc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保底方式，三档自动降级的最后一档</w:t>
            </w:r>
          </w:p>
        </w:tc>
      </w:tr>
    </w:tbl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5.2 台词与口型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台词清单共 117 条、4232 字，覆盖准备讲解、风险宣读、五防模拟、逐项唱票、口令、纠错点评、异常处置与收尾，按监护人、值班调度员、值班负责人三个角色分配；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内置渲染下，台词逐字转拼音并映射为十类口型（开口、圆唇、扁唇、闭唇等），与语音时间轴逐字对齐；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肢体动作与台词语义联动：唱票抬手指票、发令掌心前推、纠错摆指、制止前倾等八种姿态。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5.3 角色切换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对练主线由监护人主导；进入接令环节自动切换为值班调度员，异常上报环节自动切换为值班负责人，环节结束切回。三个角色的形象、音色与台词相互独立。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六、评分与复盘引擎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6.1 六维计分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500"/>
        <w:gridCol w:w="3700"/>
        <w:gridCol w:w="3550"/>
      </w:tblGrid>
      <w:tr>
        <w:trPr>
          <w:tblHeader/>
        </w:trPr>
        <w:tc>
          <w:tcPr>
            <w:tcW w:type="dxa" w:w="2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采集事件</w:t>
            </w:r>
          </w:p>
        </w:tc>
        <w:tc>
          <w:tcPr>
            <w:tcW w:type="dxa" w:w="35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计分方式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规程符合性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判定点触发记录、提示使用次数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基准分逐项扣减</w:t>
            </w:r>
          </w:p>
        </w:tc>
      </w:tr>
      <w:tr>
        <w:tc>
          <w:tcPr>
            <w:tcW w:type="dxa" w:w="2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操作顺序与逻辑</w:t>
            </w:r>
          </w:p>
        </w:tc>
        <w:tc>
          <w:tcPr>
            <w:tcW w:type="dxa" w:w="3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跳项、顺序颠倒、越拍</w:t>
            </w:r>
          </w:p>
        </w:tc>
        <w:tc>
          <w:tcPr>
            <w:tcW w:type="dxa" w:w="35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按事件严重程度扣减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双人核对执行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缺拍、无令操作、对象错误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按事件扣减</w:t>
            </w:r>
          </w:p>
        </w:tc>
      </w:tr>
      <w:tr>
        <w:tc>
          <w:tcPr>
            <w:tcW w:type="dxa" w:w="2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设备状态核对</w:t>
            </w:r>
          </w:p>
        </w:tc>
        <w:tc>
          <w:tcPr>
            <w:tcW w:type="dxa" w:w="3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四项指示核对完整性、回报质量</w:t>
            </w:r>
          </w:p>
        </w:tc>
        <w:tc>
          <w:tcPr>
            <w:tcW w:type="dxa" w:w="35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按完整度记分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风险辨识与异常处置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红线规避、异常处置路径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正确处置记加分</w:t>
            </w:r>
          </w:p>
        </w:tc>
      </w:tr>
      <w:tr>
        <w:tc>
          <w:tcPr>
            <w:tcW w:type="dxa" w:w="2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调度术语与记录规范</w:t>
            </w:r>
          </w:p>
        </w:tc>
        <w:tc>
          <w:tcPr>
            <w:tcW w:type="dxa" w:w="3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复诵吻合度、记录完整性</w:t>
            </w:r>
          </w:p>
        </w:tc>
        <w:tc>
          <w:tcPr>
            <w:tcW w:type="dxa" w:w="35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按吻合度与完整度记分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红线触发即一票否决：总评按否决处理，同时保留六维得分供复盘参考；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加分项：主动发现异常并正确走完中止上报流程。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6.2 复盘生成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对练过程以事件序列全程留痕（时间、操作项、节拍、事件类型、内容）。复盘文字按本场事件序列生成：练了哪一段、用时、红线与扣分归因、提示与提问使用情况、值得肯定的表现，逐段组装，保证复盘内容与本场过程一致。评分记录同时写入本地错题存储，供"错题重练"调用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七、教学引导层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600"/>
        <w:gridCol w:w="3800"/>
        <w:gridCol w:w="2500"/>
        <w:gridCol w:w="1850"/>
      </w:tblGrid>
      <w:tr>
        <w:trPr>
          <w:tblHeader/>
        </w:trPr>
        <w:tc>
          <w:tcPr>
            <w:tcW w:type="dxa" w:w="16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8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指令与话术</w:t>
            </w:r>
          </w:p>
        </w:tc>
        <w:tc>
          <w:tcPr>
            <w:tcW w:type="dxa" w:w="2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出错处理</w:t>
            </w:r>
          </w:p>
        </w:tc>
        <w:tc>
          <w:tcPr>
            <w:tcW w:type="dxa" w:w="18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提示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教学模式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任务指令条逐步给出，标准话术可见可跟读，监护人带路自动切换位置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同类错误首次仅提醒，不计违规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三级提示可用</w:t>
            </w:r>
          </w:p>
        </w:tc>
      </w:tr>
      <w:tr>
        <w:tc>
          <w:tcPr>
            <w:tcW w:type="dxa" w:w="16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演练模式</w:t>
            </w:r>
          </w:p>
        </w:tc>
        <w:tc>
          <w:tcPr>
            <w:tcW w:type="dxa" w:w="3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指令给方向，不给标准话术</w:t>
            </w:r>
          </w:p>
        </w:tc>
        <w:tc>
          <w:tcPr>
            <w:tcW w:type="dxa" w:w="2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照常判定</w:t>
            </w:r>
          </w:p>
        </w:tc>
        <w:tc>
          <w:tcPr>
            <w:tcW w:type="dxa" w:w="1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三级提示可用，使用留痕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考核模式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无指令无话术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照常判定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不提供提示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任务指令条：按当前操作项与节拍推导"前往某处、手指某设备、复诵、执行、回报"步骤链，完成一步勾选一步；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知识点卡：随操作项自动切换，含要做什么、常见错误、为什么、依据条款；仅在引入新知识主题时自动展开；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三级提示：方向、要点、标准答案，每次使用记录并计入评分；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知识问答：九个主题的结构化知识库，采用字组匹配检索，当前操作项关联主题加权，回答附依据条款出处；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阶段预习：三段调度令前各弹出一张预习卡，列明本段必须掌握的三个知识点。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八、作业面板与防误逻辑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七类作业位置：调度电话（含记录簿）、五防电脑、监控后台、间隔现场、测控屏、保护屏、就地控制柜；位置切换与操作项联动；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监控后台一次接线图以矢量方式绘制：双母线七间隔，设备状态（带电、停电、接地）随操作实时变位，遥测数据联动；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五防模拟按操作票顺序校验，顺序错误被防误逻辑拒绝并提示；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间隔现场提供三个间隔可选，走错间隔触发判定，训练"先核对间隔名称"的习惯。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九、数据设计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900"/>
        <w:gridCol w:w="2500"/>
        <w:gridCol w:w="5350"/>
      </w:tblGrid>
      <w:tr>
        <w:trPr>
          <w:tblHeader/>
        </w:trPr>
        <w:tc>
          <w:tcPr>
            <w:tcW w:type="dxa" w:w="1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数据集</w:t>
            </w:r>
          </w:p>
        </w:tc>
        <w:tc>
          <w:tcPr>
            <w:tcW w:type="dxa" w:w="2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dxa" w:w="53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剧本数据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29 项、三段调度令</w:t>
            </w:r>
          </w:p>
        </w:tc>
        <w:tc>
          <w:tcPr>
            <w:tcW w:type="dxa" w:w="5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操作项全字段（见 4.1），六处红线埋点，一处异常注入，一处票令核对训练点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知识库</w:t>
            </w:r>
          </w:p>
        </w:tc>
        <w:tc>
          <w:tcPr>
            <w:tcW w:type="dxa" w:w="2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九个主题</w:t>
            </w:r>
          </w:p>
        </w:tc>
        <w:tc>
          <w:tcPr>
            <w:tcW w:type="dxa" w:w="53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设备状态、三审票令、五防、唱票复诵、验电接地、位置核对、二次隔离、异常处置、调度记录；每条附规程出处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台词清单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117 条、4232 字</w:t>
            </w:r>
          </w:p>
        </w:tc>
        <w:tc>
          <w:tcPr>
            <w:tcW w:type="dxa" w:w="5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按角色与环节标注，同时作为数字人预渲染的输入清单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评分记录</w:t>
            </w:r>
          </w:p>
        </w:tc>
        <w:tc>
          <w:tcPr>
            <w:tcW w:type="dxa" w:w="2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每场一份</w:t>
            </w:r>
          </w:p>
        </w:tc>
        <w:tc>
          <w:tcPr>
            <w:tcW w:type="dxa" w:w="53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事件序列、六维得分、否决与加分、提示与提问记录；错题项写入本地存储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模拟数据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学员与班组</w:t>
            </w:r>
          </w:p>
        </w:tc>
        <w:tc>
          <w:tcPr>
            <w:tcW w:type="dxa" w:w="5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人员、成绩、覆盖率等全部脱敏模拟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十、知识课堂接入设计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500"/>
        <w:gridCol w:w="2800"/>
        <w:gridCol w:w="5450"/>
      </w:tblGrid>
      <w:tr>
        <w:trPr>
          <w:tblHeader/>
        </w:trPr>
        <w:tc>
          <w:tcPr>
            <w:tcW w:type="dxa" w:w="1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28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5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课程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知识课堂 → 底座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复盘中的课程推荐直接指向知识课堂课程</w:t>
            </w:r>
          </w:p>
        </w:tc>
      </w:tr>
      <w:tr>
        <w:tc>
          <w:tcPr>
            <w:tcW w:type="dxa" w:w="1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题库</w:t>
            </w:r>
          </w:p>
        </w:tc>
        <w:tc>
          <w:tcPr>
            <w:tcW w:type="dxa" w:w="2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知识课堂 → 底座</w:t>
            </w:r>
          </w:p>
        </w:tc>
        <w:tc>
          <w:tcPr>
            <w:tcW w:type="dxa" w:w="5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知识点卡与预习卡的补充题源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学时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底座 → 知识课堂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陪练完成后按学时规则回写</w:t>
            </w:r>
          </w:p>
        </w:tc>
      </w:tr>
      <w:tr>
        <w:tc>
          <w:tcPr>
            <w:tcW w:type="dxa" w:w="1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学员画像</w:t>
            </w:r>
          </w:p>
        </w:tc>
        <w:tc>
          <w:tcPr>
            <w:tcW w:type="dxa" w:w="2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双向</w:t>
            </w:r>
          </w:p>
        </w:tc>
        <w:tc>
          <w:tcPr>
            <w:tcW w:type="dxa" w:w="5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底座读取岗位与能力标签，回写陪练能力标签</w:t>
            </w:r>
          </w:p>
        </w:tc>
      </w:tr>
    </w:tbl>
    <w:p>
      <w:pPr>
        <w:pBdr>
          <w:left w:val="single" w:color="B7791F" w:sz="14" w:space="8"/>
        </w:pBdr>
        <w:shd w:fill="FBF6EA" w:val="clear"/>
        <w:spacing w:after="160" w:before="60" w:line="300"/>
        <w:ind w:left="160"/>
      </w:pPr>
      <w:r>
        <w:rPr>
          <w:rFonts w:ascii="Calibri" w:eastAsia="微软雅黑" w:hAnsi="Calibri"/>
          <w:color w:val="5A6B7E"/>
          <w:sz w:val="19"/>
          <w:szCs w:val="19"/>
        </w:rPr>
        <w:t xml:space="preserve">本届演示以连接态视图呈现四类资源的接入关系与数据流向；实际接口对接在评优后按知识课堂接口规范实施。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十一、安全与合规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演示形态为本地单文件运行，不向任何外部地址传输数据；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全部人员与成绩数据为脱敏模拟数据，数字人为虚拟形象；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涉及人员能力评价的输出仅作训练参考，界面与报告均以"训练参考"口径呈现，结论由人确认；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部署形态的账号体系、数据接入与权限按公司数据管理要求另行设计。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十二、质量保障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12.1 自动化回归用例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750"/>
        <w:gridCol w:w="4300"/>
        <w:gridCol w:w="3700"/>
      </w:tblGrid>
      <w:tr>
        <w:trPr>
          <w:tblHeader/>
        </w:trPr>
        <w:tc>
          <w:tcPr>
            <w:tcW w:type="dxa" w:w="17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用例</w:t>
            </w:r>
          </w:p>
        </w:tc>
        <w:tc>
          <w:tcPr>
            <w:tcW w:type="dxa" w:w="4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7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全票通过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完整操作票 29 项按规范逐项执行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零违规走完，评分与复盘正常生成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红线触发</w:t>
            </w:r>
          </w:p>
        </w:tc>
        <w:tc>
          <w:tcPr>
            <w:tcW w:type="dxa" w:w="4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在第 20 项前跳过两项验电直接合接地刀闸</w:t>
            </w:r>
          </w:p>
        </w:tc>
        <w:tc>
          <w:tcPr>
            <w:tcW w:type="dxa" w:w="3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一票否决弹出，后果推演播放，依据条款正确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异常流程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注入位置指示不一致后走中止上报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五步处置流程完整，恢复后返回被中止项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票令核对</w:t>
            </w:r>
          </w:p>
        </w:tc>
        <w:tc>
          <w:tcPr>
            <w:tcW w:type="dxa" w:w="4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接令环节注入与票面不一致的下令</w:t>
            </w:r>
          </w:p>
        </w:tc>
        <w:tc>
          <w:tcPr>
            <w:tcW w:type="dxa" w:w="3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未识别记违规，识别并中止记加分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分段与专项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八种练习方式逐一进入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设备状态预置正确，范围外项目不可执行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教学宽容</w:t>
            </w:r>
          </w:p>
        </w:tc>
        <w:tc>
          <w:tcPr>
            <w:tcW w:type="dxa" w:w="4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教学模式下制造首次错误</w:t>
            </w:r>
          </w:p>
        </w:tc>
        <w:tc>
          <w:tcPr>
            <w:tcW w:type="dxa" w:w="3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仅提醒不计违规，第二次照常判定</w:t>
            </w:r>
          </w:p>
        </w:tc>
      </w:tr>
    </w:tbl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12.2 性能指标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650"/>
        <w:gridCol w:w="7100"/>
      </w:tblGrid>
      <w:tr>
        <w:trPr>
          <w:tblHeader/>
        </w:trPr>
        <w:tc>
          <w:tcPr>
            <w:tcW w:type="dxa" w:w="26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71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2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应用体积</w:t>
            </w:r>
          </w:p>
        </w:tc>
        <w:tc>
          <w:tcPr>
            <w:tcW w:type="dxa" w:w="7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单文件约 0.4 兆字节（不含数字人视频）；预渲染视频随包分发</w:t>
            </w:r>
          </w:p>
        </w:tc>
      </w:tr>
      <w:tr>
        <w:tc>
          <w:tcPr>
            <w:tcW w:type="dxa" w:w="2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打开时间</w:t>
            </w:r>
          </w:p>
        </w:tc>
        <w:tc>
          <w:tcPr>
            <w:tcW w:type="dxa" w:w="7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本地打开至可交互不超过 2 秒</w:t>
            </w:r>
          </w:p>
        </w:tc>
      </w:tr>
      <w:tr>
        <w:tc>
          <w:tcPr>
            <w:tcW w:type="dxa" w:w="2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运行流畅度</w:t>
            </w:r>
          </w:p>
        </w:tc>
        <w:tc>
          <w:tcPr>
            <w:tcW w:type="dxa" w:w="7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数字人动画与界面交互不低于每秒 30 帧</w:t>
            </w:r>
          </w:p>
        </w:tc>
      </w:tr>
      <w:tr>
        <w:tc>
          <w:tcPr>
            <w:tcW w:type="dxa" w:w="2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分辨率适配</w:t>
            </w:r>
          </w:p>
        </w:tc>
        <w:tc>
          <w:tcPr>
            <w:tcW w:type="dxa" w:w="7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1680×950 为主，1366×768 起可用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十三、运行降级设计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3300"/>
        <w:gridCol w:w="6450"/>
      </w:tblGrid>
      <w:tr>
        <w:trPr>
          <w:tblHeader/>
        </w:trPr>
        <w:tc>
          <w:tcPr>
            <w:tcW w:type="dxa" w:w="3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降级行为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数字人预渲染视频缺失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该条台词自动改用内置渲染，画面不中断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实时会话不可用</w:t>
            </w:r>
          </w:p>
        </w:tc>
        <w:tc>
          <w:tcPr>
            <w:tcW w:type="dxa" w:w="6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自动回落至预渲染或内置渲染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浏览器无中文语音包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静默播放，口型、动作与字幕照常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低分辨率屏幕</w:t>
            </w:r>
          </w:p>
        </w:tc>
        <w:tc>
          <w:tcPr>
            <w:tcW w:type="dxa" w:w="6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布局自适应收缩，功能不缺失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十四、技术任务与节点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400"/>
        <w:gridCol w:w="1500"/>
        <w:gridCol w:w="5850"/>
      </w:tblGrid>
      <w:tr>
        <w:trPr>
          <w:tblHeader/>
        </w:trPr>
        <w:tc>
          <w:tcPr>
            <w:tcW w:type="dxa" w:w="24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1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8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技术侧交付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技术方案设计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8月21日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本文档；界面框架与剧本数据结构定稿</w:t>
            </w:r>
          </w:p>
        </w:tc>
      </w:tr>
      <w:tr>
        <w:tc>
          <w:tcPr>
            <w:tcW w:type="dxa" w:w="24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初版演示验收</w:t>
            </w:r>
          </w:p>
        </w:tc>
        <w:tc>
          <w:tcPr>
            <w:tcW w:type="dxa" w:w="1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8月28日</w:t>
            </w:r>
          </w:p>
        </w:tc>
        <w:tc>
          <w:tcPr>
            <w:tcW w:type="dxa" w:w="5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陪练舱完整可演示：五拍闭环、红线、异常、评分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中期评审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9月4日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八页面联通；教学引导层完整；数字人预渲染视频接入</w:t>
            </w:r>
          </w:p>
        </w:tc>
      </w:tr>
      <w:tr>
        <w:tc>
          <w:tcPr>
            <w:tcW w:type="dxa" w:w="24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比赛预验收</w:t>
            </w:r>
          </w:p>
        </w:tc>
        <w:tc>
          <w:tcPr>
            <w:tcW w:type="dxa" w:w="1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9月11日</w:t>
            </w:r>
          </w:p>
        </w:tc>
        <w:tc>
          <w:tcPr>
            <w:tcW w:type="dxa" w:w="5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全用例回归通过；演示脚本联调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成果交付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9月23日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最终版本、部署说明与操作手册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十五、与验收标准的对应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4300"/>
        <w:gridCol w:w="5450"/>
      </w:tblGrid>
      <w:tr>
        <w:trPr>
          <w:tblHeader/>
        </w:trPr>
        <w:tc>
          <w:tcPr>
            <w:tcW w:type="dxa" w:w="4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需求文档验收项</w:t>
            </w:r>
          </w:p>
        </w:tc>
        <w:tc>
          <w:tcPr>
            <w:tcW w:type="dxa" w:w="5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技术实现落点</w:t>
            </w:r>
          </w:p>
        </w:tc>
      </w:tr>
      <w:tr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教学模式分段陪练无阻断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五拍状态机 + 教学模式宽容判定（4.2、7）</w:t>
            </w:r>
          </w:p>
        </w:tc>
      </w:tr>
      <w:tr>
        <w:tc>
          <w:tcPr>
            <w:tcW w:type="dxa" w:w="4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五拍闭环缺拍判定</w:t>
            </w:r>
          </w:p>
        </w:tc>
        <w:tc>
          <w:tcPr>
            <w:tcW w:type="dxa" w:w="5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判定点类型"缺拍"（4.3）</w:t>
            </w:r>
          </w:p>
        </w:tc>
      </w:tr>
      <w:tr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红线否决与后果推演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红线埋点 + 否决处理（4.3、6.1）</w:t>
            </w:r>
          </w:p>
        </w:tc>
      </w:tr>
      <w:tr>
        <w:tc>
          <w:tcPr>
            <w:tcW w:type="dxa" w:w="4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异常中止上报流程</w:t>
            </w:r>
          </w:p>
        </w:tc>
        <w:tc>
          <w:tcPr>
            <w:tcW w:type="dxa" w:w="5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异常处置支线（4.2、4.3）</w:t>
            </w:r>
          </w:p>
        </w:tc>
      </w:tr>
      <w:tr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复盘与本场过程一致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事件序列驱动的复盘生成（6.2）</w:t>
            </w:r>
          </w:p>
        </w:tc>
      </w:tr>
      <w:tr>
        <w:tc>
          <w:tcPr>
            <w:tcW w:type="dxa" w:w="4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操作票生成剧本初稿</w:t>
            </w:r>
          </w:p>
        </w:tc>
        <w:tc>
          <w:tcPr>
            <w:tcW w:type="dxa" w:w="5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教练编辑器按剧本数据结构解析票面生成（4.1）</w:t>
            </w:r>
          </w:p>
        </w:tc>
      </w:tr>
      <w:tr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五页面与班组看板可操作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呈现层八页面（二、图1）</w:t>
            </w:r>
          </w:p>
        </w:tc>
      </w:tr>
      <w:tr>
        <w:tc>
          <w:tcPr>
            <w:tcW w:type="dxa" w:w="4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演示数据脱敏</w:t>
            </w:r>
          </w:p>
        </w:tc>
        <w:tc>
          <w:tcPr>
            <w:tcW w:type="dxa" w:w="5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模拟数据集与合规约定（9、11）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60" w:right="1290" w:bottom="1180" w:left="129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软雅黑" w:hAnsi="Calibri"/>
        <w:color w:val="5A6B7E"/>
        <w:sz w:val="17"/>
        <w:szCs w:val="17"/>
      </w:rPr>
      <w:t xml:space="preserve">第 </w:t>
    </w:r>
    <w:r>
      <w:rPr>
        <w:rFonts w:ascii="Calibri" w:eastAsia="微软雅黑" w:hAnsi="Calibri"/>
        <w:color w:val="5A6B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微软雅黑" w:hAnsi="Calibri"/>
        <w:color w:val="5A6B7E"/>
        <w:sz w:val="17"/>
        <w:szCs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67A" w:sz="6" w:space="3"/>
      </w:pBdr>
      <w:tabs>
        <w:tab w:val="right" w:pos="9750"/>
      </w:tabs>
      <w:spacing w:after="60"/>
    </w:pPr>
    <w:r>
      <w:drawing>
        <wp:inline distT="0" distB="0" distL="0" distR="0">
          <wp:extent cx="866775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eastAsia="微软雅黑" w:hAnsi="Calibri"/>
        <w:color w:val="5A6B7E"/>
        <w:sz w:val="17"/>
        <w:szCs w:val="17"/>
      </w:rPr>
      <w:t xml:space="preserve">	小瓦特·HR家族 · AI智能陪练底座技术文档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start"/>
      <w:pPr>
        <w:ind w:left="460" w:hanging="240"/>
      </w:pPr>
      <w:rPr>
        <w:rFonts w:ascii="Calibri" w:eastAsia="微软雅黑" w:hAnsi="Calibri"/>
        <w:color w:val="1E63B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color w:val="1A2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aa8d2f1bf773c5bf9eff4f7e21959f5922e0e6a.png"/><Relationship Id="rId12" Type="http://schemas.openxmlformats.org/officeDocument/2006/relationships/image" Target="media/5e5d6d8264742958bcf1da3d64655ee67f3d2112.png"/><Relationship Id="rId13" Type="http://schemas.openxmlformats.org/officeDocument/2006/relationships/image" Target="media/3646d46d004804d2d1b72d263bd95d94327a464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aa8d2f1bf773c5bf9eff4f7e21959f5922e0e6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2026-08-31T13:37:34.897Z</dcterms:created>
  <dcterms:modified xsi:type="dcterms:W3CDTF">2026-08-31T13:37:34.909Z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