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</w:p>
    <w:p>
      <w:pPr>
        <w:spacing w:after="320"/>
        <w:jc w:val="center"/>
      </w:pPr>
      <w:r>
        <w:drawing>
          <wp:inline distT="0" distB="0" distL="0" distR="0">
            <wp:extent cx="2457450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20"/>
        <w:jc w:val="center"/>
      </w:pPr>
      <w:r>
        <w:rPr>
          <w:rFonts w:ascii="Calibri" w:eastAsia="微软雅黑" w:hAnsi="Calibri"/>
          <w:color w:val="5A6B7E"/>
          <w:sz w:val="22"/>
          <w:szCs w:val="22"/>
        </w:rPr>
        <w:t xml:space="preserve">南方电网公司人力资源数智化创新产品评优 · 参赛项目</w:t>
      </w:r>
    </w:p>
    <w:p>
      <w:pPr>
        <w:spacing w:after="140"/>
        <w:jc w:val="center"/>
      </w:pPr>
      <w:r>
        <w:rPr>
          <w:rFonts w:ascii="Calibri" w:eastAsia="微软雅黑" w:hAnsi="Calibri"/>
          <w:b/>
          <w:bCs/>
          <w:color w:val="00367A"/>
          <w:sz w:val="52"/>
          <w:szCs w:val="52"/>
        </w:rPr>
        <w:t xml:space="preserve">「小瓦特·练」</w:t>
      </w:r>
    </w:p>
    <w:p>
      <w:pPr>
        <w:spacing w:after="500"/>
        <w:jc w:val="center"/>
      </w:pPr>
      <w:r>
        <w:rPr>
          <w:rFonts w:ascii="Calibri" w:eastAsia="微软雅黑" w:hAnsi="Calibri"/>
          <w:b/>
          <w:bCs/>
          <w:color w:val="1A2A3A"/>
          <w:sz w:val="40"/>
          <w:szCs w:val="40"/>
        </w:rPr>
        <w:t xml:space="preserve">AI智能陪练底座 · 需求文档</w:t>
      </w:r>
    </w:p>
    <w:p>
      <w:pPr>
        <w:spacing w:after="900"/>
        <w:jc w:val="center"/>
      </w:pPr>
      <w:r>
        <w:rPr>
          <w:rFonts w:ascii="Calibri" w:eastAsia="微软雅黑" w:hAnsi="Calibri"/>
          <w:color w:val="1E63B8"/>
          <w:sz w:val="23"/>
          <w:szCs w:val="23"/>
        </w:rPr>
        <w:t xml:space="preserve">本届展示模块：变电站倒闸操作陪练</w:t>
      </w:r>
    </w:p>
    <w:tbl>
      <w:tblPr>
        <w:tblW w:type="dxa" w:w="7600"/>
        <w:jc w:val="center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2600"/>
        <w:gridCol w:w="5000"/>
      </w:tblGrid>
      <w:tr>
        <w:tc>
          <w:tcPr>
            <w:tcW w:type="dxa" w:w="2600"/>
            <w:shd w:fill="EAF1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Calibri" w:eastAsia="微软雅黑" w:hAnsi="Calibri"/>
                <w:b/>
                <w:bCs/>
                <w:color w:val="1A2A3A"/>
                <w:sz w:val="21"/>
                <w:szCs w:val="21"/>
              </w:rPr>
              <w:t xml:space="preserve">项目编号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1"/>
                <w:szCs w:val="21"/>
              </w:rPr>
              <w:t xml:space="preserve">小瓦特·HR家族 01</w:t>
            </w:r>
          </w:p>
        </w:tc>
      </w:tr>
      <w:tr>
        <w:tc>
          <w:tcPr>
            <w:tcW w:type="dxa" w:w="2600"/>
            <w:shd w:fill="EAF1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Calibri" w:eastAsia="微软雅黑" w:hAnsi="Calibri"/>
                <w:b/>
                <w:bCs/>
                <w:color w:val="1A2A3A"/>
                <w:sz w:val="21"/>
                <w:szCs w:val="21"/>
              </w:rPr>
              <w:t xml:space="preserve">业务方</w:t>
            </w:r>
          </w:p>
        </w:tc>
        <w:tc>
          <w:tcPr>
            <w:tcW w:type="dxa" w:w="50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1"/>
                <w:szCs w:val="21"/>
              </w:rPr>
              <w:t xml:space="preserve">深圳供电局 福田供电局</w:t>
            </w:r>
          </w:p>
        </w:tc>
      </w:tr>
      <w:tr>
        <w:tc>
          <w:tcPr>
            <w:tcW w:type="dxa" w:w="2600"/>
            <w:shd w:fill="EAF1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Calibri" w:eastAsia="微软雅黑" w:hAnsi="Calibri"/>
                <w:b/>
                <w:bCs/>
                <w:color w:val="1A2A3A"/>
                <w:sz w:val="21"/>
                <w:szCs w:val="21"/>
              </w:rPr>
              <w:t xml:space="preserve">业务联系人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1"/>
                <w:szCs w:val="21"/>
              </w:rPr>
              <w:t xml:space="preserve">于然</w:t>
            </w:r>
          </w:p>
        </w:tc>
      </w:tr>
      <w:tr>
        <w:tc>
          <w:tcPr>
            <w:tcW w:type="dxa" w:w="2600"/>
            <w:shd w:fill="EAF1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Calibri" w:eastAsia="微软雅黑" w:hAnsi="Calibri"/>
                <w:b/>
                <w:bCs/>
                <w:color w:val="1A2A3A"/>
                <w:sz w:val="21"/>
                <w:szCs w:val="21"/>
              </w:rPr>
              <w:t xml:space="preserve">文档版本</w:t>
            </w:r>
          </w:p>
        </w:tc>
        <w:tc>
          <w:tcPr>
            <w:tcW w:type="dxa" w:w="50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1"/>
                <w:szCs w:val="21"/>
              </w:rPr>
              <w:t xml:space="preserve">V1.0</w:t>
            </w:r>
          </w:p>
        </w:tc>
      </w:tr>
      <w:tr>
        <w:tc>
          <w:tcPr>
            <w:tcW w:type="dxa" w:w="2600"/>
            <w:shd w:fill="EAF1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Calibri" w:eastAsia="微软雅黑" w:hAnsi="Calibri"/>
                <w:b/>
                <w:bCs/>
                <w:color w:val="1A2A3A"/>
                <w:sz w:val="21"/>
                <w:szCs w:val="21"/>
              </w:rPr>
              <w:t xml:space="preserve">编制日期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1"/>
                <w:szCs w:val="21"/>
              </w:rPr>
              <w:t xml:space="preserve">2026年8月</w:t>
            </w:r>
          </w:p>
        </w:tc>
      </w:tr>
      <w:tr>
        <w:tc>
          <w:tcPr>
            <w:tcW w:type="dxa" w:w="2600"/>
            <w:shd w:fill="EAF1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Calibri" w:eastAsia="微软雅黑" w:hAnsi="Calibri"/>
                <w:b/>
                <w:bCs/>
                <w:color w:val="1A2A3A"/>
                <w:sz w:val="21"/>
                <w:szCs w:val="21"/>
              </w:rPr>
              <w:t xml:space="preserve">文档密级</w:t>
            </w:r>
          </w:p>
        </w:tc>
        <w:tc>
          <w:tcPr>
            <w:tcW w:type="dxa" w:w="50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1"/>
                <w:szCs w:val="21"/>
              </w:rPr>
              <w:t xml:space="preserve">内部资料</w:t>
            </w:r>
          </w:p>
        </w:tc>
      </w:tr>
    </w:tbl>
    <w:p/>
    <w:p>
      <w:pPr>
        <w:pageBreakBefore/>
      </w:pPr>
    </w:p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一、项目概述</w:t>
      </w:r>
    </w:p>
    <w:p>
      <w:pPr>
        <w:pStyle w:val="Heading2"/>
        <w:spacing w:after="130" w:before="240" w:line="300"/>
      </w:pPr>
      <w:r>
        <w:rPr>
          <w:rFonts w:ascii="Calibri" w:eastAsia="微软雅黑" w:hAnsi="Calibri"/>
          <w:b/>
          <w:bCs/>
          <w:color w:val="00367A"/>
          <w:sz w:val="25"/>
          <w:szCs w:val="25"/>
        </w:rPr>
        <w:t xml:space="preserve">1.1 项目定位</w:t>
      </w:r>
    </w:p>
    <w:p>
      <w:pPr>
        <w:spacing w:after="13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「小瓦特·练」是面向深圳供电局生产技能人员的对练式训练系统：学员与 AI 数字人教练在真实作业规程的约束下进行一对一对练，完成"听、指、说、做"的完整动作闭环，系统对每一个操作项逐项判定、逐项留痕，形成可追溯的训练记录。项目口径：大瓦特练机器，小瓦特练人。</w:t>
      </w:r>
    </w:p>
    <w:p>
      <w:pPr>
        <w:pStyle w:val="Heading2"/>
        <w:spacing w:after="130" w:before="240" w:line="300"/>
      </w:pPr>
      <w:r>
        <w:rPr>
          <w:rFonts w:ascii="Calibri" w:eastAsia="微软雅黑" w:hAnsi="Calibri"/>
          <w:b/>
          <w:bCs/>
          <w:color w:val="00367A"/>
          <w:sz w:val="25"/>
          <w:szCs w:val="25"/>
        </w:rPr>
        <w:t xml:space="preserve">1.2 业务问题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倒闸操作等高风险作业的行为规范训练（唱票复诵、手指口述、验电接地顺序），目前依赖师带徒与集中演练，组织一次需要协调仿真场地、监护人与教员，人均可获得的演练频次有限；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演练中的不规范动作依靠教员现场指出，纠错依赖教员个人经验，过程缺少逐项记录，训练结果难以量化与比对；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新入职、转岗人员在取得独立操作资格前，缺少一个可以反复练习、允许出错的对练环境。</w:t>
      </w:r>
    </w:p>
    <w:p>
      <w:pPr>
        <w:pStyle w:val="Heading2"/>
        <w:spacing w:after="130" w:before="240" w:line="300"/>
      </w:pPr>
      <w:r>
        <w:rPr>
          <w:rFonts w:ascii="Calibri" w:eastAsia="微软雅黑" w:hAnsi="Calibri"/>
          <w:b/>
          <w:bCs/>
          <w:color w:val="00367A"/>
          <w:sz w:val="25"/>
          <w:szCs w:val="25"/>
        </w:rPr>
        <w:t xml:space="preserve">1.3 建设目标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建成一个陪练底座与首个展示模块（倒闸操作）：学员可随时进入，与数字人监护人完成一次完整的"运行转检修"操作票对练；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每次陪练形成六维评分与逐项过程记录；触碰安全红线即一票否决，并向学员展示事故后果推演；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底座具备扩展能力：培训管理员基于一张现场电气操作票即可生成新的陪练剧本初稿，经人工校核后发布。</w:t>
      </w:r>
    </w:p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二、使用人员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2950"/>
        <w:gridCol w:w="2300"/>
        <w:gridCol w:w="4500"/>
      </w:tblGrid>
      <w:tr>
        <w:trPr>
          <w:tblHeader/>
        </w:trPr>
        <w:tc>
          <w:tcPr>
            <w:tcW w:type="dxa" w:w="29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3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5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在系统中做什么</w:t>
            </w:r>
          </w:p>
        </w:tc>
      </w:tr>
      <w:tr>
        <w:tc>
          <w:tcPr>
            <w:tcW w:type="dxa" w:w="29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变电运行操作人（主要使用者）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学员</w:t>
            </w:r>
          </w:p>
        </w:tc>
        <w:tc>
          <w:tcPr>
            <w:tcW w:type="dxa" w:w="4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进入陪练舱与数字人监护人对练，查看评分复盘与成长档案</w:t>
            </w:r>
          </w:p>
        </w:tc>
      </w:tr>
      <w:tr>
        <w:tc>
          <w:tcPr>
            <w:tcW w:type="dxa" w:w="29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监护人（陈志远）</w:t>
            </w:r>
          </w:p>
        </w:tc>
        <w:tc>
          <w:tcPr>
            <w:tcW w:type="dxa" w:w="2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数字人（系统扮演）</w:t>
            </w:r>
          </w:p>
        </w:tc>
        <w:tc>
          <w:tcPr>
            <w:tcW w:type="dxa" w:w="45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唱票、发出执行令、纠错、标注对勾，全程主导对练</w:t>
            </w:r>
          </w:p>
        </w:tc>
      </w:tr>
      <w:tr>
        <w:tc>
          <w:tcPr>
            <w:tcW w:type="dxa" w:w="29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值班调度员（林岚）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数字人（系统扮演）</w:t>
            </w:r>
          </w:p>
        </w:tc>
        <w:tc>
          <w:tcPr>
            <w:tcW w:type="dxa" w:w="4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三段调度下令与接受汇报</w:t>
            </w:r>
          </w:p>
        </w:tc>
      </w:tr>
      <w:tr>
        <w:tc>
          <w:tcPr>
            <w:tcW w:type="dxa" w:w="29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值班负责人（周建国）</w:t>
            </w:r>
          </w:p>
        </w:tc>
        <w:tc>
          <w:tcPr>
            <w:tcW w:type="dxa" w:w="2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数字人（系统扮演）</w:t>
            </w:r>
          </w:p>
        </w:tc>
        <w:tc>
          <w:tcPr>
            <w:tcW w:type="dxa" w:w="45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异常情况的接报与处置指挥</w:t>
            </w:r>
          </w:p>
        </w:tc>
      </w:tr>
      <w:tr>
        <w:tc>
          <w:tcPr>
            <w:tcW w:type="dxa" w:w="29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班组长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管理使用者</w:t>
            </w:r>
          </w:p>
        </w:tc>
        <w:tc>
          <w:tcPr>
            <w:tcW w:type="dxa" w:w="4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查看班组看板，掌握覆盖率、频次与共性短板</w:t>
            </w:r>
          </w:p>
        </w:tc>
      </w:tr>
      <w:tr>
        <w:tc>
          <w:tcPr>
            <w:tcW w:type="dxa" w:w="29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培训管理员</w:t>
            </w:r>
          </w:p>
        </w:tc>
        <w:tc>
          <w:tcPr>
            <w:tcW w:type="dxa" w:w="2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管理使用者</w:t>
            </w:r>
          </w:p>
        </w:tc>
        <w:tc>
          <w:tcPr>
            <w:tcW w:type="dxa" w:w="45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教练编辑、剧本生成与任务下发</w:t>
            </w:r>
          </w:p>
        </w:tc>
      </w:tr>
    </w:tbl>
    <w:p>
      <w:pPr>
        <w:pBdr>
          <w:left w:val="single" w:color="B7791F" w:sz="14" w:space="8"/>
        </w:pBdr>
        <w:shd w:fill="FBF6EA" w:val="clear"/>
        <w:spacing w:after="160" w:before="60" w:line="300"/>
        <w:ind w:left="160"/>
      </w:pPr>
      <w:r>
        <w:rPr>
          <w:rFonts w:ascii="Calibri" w:eastAsia="微软雅黑" w:hAnsi="Calibri"/>
          <w:color w:val="5A6B7E"/>
          <w:sz w:val="19"/>
          <w:szCs w:val="19"/>
        </w:rPr>
        <w:t xml:space="preserve">演示环节中出现的全部人员均为脱敏模拟人物，数字人形象为虚拟形象。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2200"/>
        <w:gridCol w:w="5250"/>
        <w:gridCol w:w="2300"/>
      </w:tblGrid>
      <w:tr>
        <w:trPr>
          <w:tblHeader/>
        </w:trPr>
        <w:tc>
          <w:tcPr>
            <w:tcW w:type="dxa" w:w="22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项目组责任</w:t>
            </w:r>
          </w:p>
        </w:tc>
        <w:tc>
          <w:tcPr>
            <w:tcW w:type="dxa" w:w="52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主要职责</w:t>
            </w:r>
          </w:p>
        </w:tc>
        <w:tc>
          <w:tcPr>
            <w:tcW w:type="dxa" w:w="23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承担方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业务负责人</w:t>
            </w:r>
          </w:p>
        </w:tc>
        <w:tc>
          <w:tcPr>
            <w:tcW w:type="dxa" w:w="52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把关业务事实与规程口径，提供素材，确认需求与验收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业务方</w:t>
            </w:r>
          </w:p>
        </w:tc>
      </w:tr>
      <w:tr>
        <w:tc>
          <w:tcPr>
            <w:tcW w:type="dxa" w:w="22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技术负责人</w:t>
            </w:r>
          </w:p>
        </w:tc>
        <w:tc>
          <w:tcPr>
            <w:tcW w:type="dxa" w:w="52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技术路线选择与实现质量</w:t>
            </w:r>
          </w:p>
        </w:tc>
        <w:tc>
          <w:tcPr>
            <w:tcW w:type="dxa" w:w="2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项目组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项目负责人</w:t>
            </w:r>
          </w:p>
        </w:tc>
        <w:tc>
          <w:tcPr>
            <w:tcW w:type="dxa" w:w="52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进度、节点与资源协调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项目组</w:t>
            </w:r>
          </w:p>
        </w:tc>
      </w:tr>
      <w:tr>
        <w:tc>
          <w:tcPr>
            <w:tcW w:type="dxa" w:w="22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演示负责人</w:t>
            </w:r>
          </w:p>
        </w:tc>
        <w:tc>
          <w:tcPr>
            <w:tcW w:type="dxa" w:w="52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现场演示流程设计与讲解</w:t>
            </w:r>
          </w:p>
        </w:tc>
        <w:tc>
          <w:tcPr>
            <w:tcW w:type="dxa" w:w="2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业务方与项目组共同</w:t>
            </w:r>
          </w:p>
        </w:tc>
      </w:tr>
    </w:tbl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三、现状流程与目标流程</w:t>
      </w:r>
    </w:p>
    <w:p>
      <w:pPr>
        <w:pStyle w:val="Heading2"/>
        <w:spacing w:after="130" w:before="240" w:line="300"/>
      </w:pPr>
      <w:r>
        <w:rPr>
          <w:rFonts w:ascii="Calibri" w:eastAsia="微软雅黑" w:hAnsi="Calibri"/>
          <w:b/>
          <w:bCs/>
          <w:color w:val="00367A"/>
          <w:sz w:val="25"/>
          <w:szCs w:val="25"/>
        </w:rPr>
        <w:t xml:space="preserve">3.1 现状：集中演练方式</w:t>
      </w:r>
    </w:p>
    <w:p>
      <w:pPr>
        <w:spacing w:after="13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制定演练计划 → 协调仿真场地与教员 → 组织集中演练 → 教员现场口头点评 → 纸面记录归档。一次演练覆盖人数有限，两次演练之间学员没有可用的练习手段。</w:t>
      </w:r>
    </w:p>
    <w:p>
      <w:pPr>
        <w:pStyle w:val="Heading2"/>
        <w:spacing w:after="130" w:before="240" w:line="300"/>
      </w:pPr>
      <w:r>
        <w:rPr>
          <w:rFonts w:ascii="Calibri" w:eastAsia="微软雅黑" w:hAnsi="Calibri"/>
          <w:b/>
          <w:bCs/>
          <w:color w:val="00367A"/>
          <w:sz w:val="25"/>
          <w:szCs w:val="25"/>
        </w:rPr>
        <w:t xml:space="preserve">3.2 目标：随时可练的对练闭环</w:t>
      </w:r>
    </w:p>
    <w:p>
      <w:pPr>
        <w:spacing w:after="13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学员登录工作台 → 选择陪练教练与练习方式 → 进入陪练舱与数字人监护人对练 → 系统逐项判定并生成评分复盘 → 结果写入个人成长档案，班组看板自动汇总。</w:t>
      </w:r>
    </w:p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四、总体框架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eastAsia="微软雅黑" w:hAnsi="Calibri"/>
          <w:color w:val="5A6B7E"/>
          <w:sz w:val="18"/>
          <w:szCs w:val="18"/>
        </w:rPr>
        <w:t xml:space="preserve">图 1　「小瓦特·练」AI 智能陪练底座总体框架</w:t>
      </w:r>
    </w:p>
    <w:p>
      <w:pPr>
        <w:pStyle w:val="Heading2"/>
        <w:spacing w:after="130" w:before="240" w:line="300"/>
      </w:pPr>
      <w:r>
        <w:rPr>
          <w:rFonts w:ascii="Calibri" w:eastAsia="微软雅黑" w:hAnsi="Calibri"/>
          <w:b/>
          <w:bCs/>
          <w:color w:val="00367A"/>
          <w:sz w:val="25"/>
          <w:szCs w:val="25"/>
        </w:rPr>
        <w:t xml:space="preserve">4.1 陪练底座四引擎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1900"/>
        <w:gridCol w:w="7850"/>
      </w:tblGrid>
      <w:tr>
        <w:trPr>
          <w:tblHeader/>
        </w:trPr>
        <w:tc>
          <w:tcPr>
            <w:tcW w:type="dxa" w:w="19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引擎</w:t>
            </w:r>
          </w:p>
        </w:tc>
        <w:tc>
          <w:tcPr>
            <w:tcW w:type="dxa" w:w="78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角色引擎</w:t>
            </w:r>
          </w:p>
        </w:tc>
        <w:tc>
          <w:tcPr>
            <w:tcW w:type="dxa" w:w="78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数字人教练的人物设定、语音、口型、肢体动作与情绪反应；一场对练中按环节切换监护人、调度员、值班负责人三个角色</w:t>
            </w:r>
          </w:p>
        </w:tc>
      </w:tr>
      <w:tr>
        <w:tc>
          <w:tcPr>
            <w:tcW w:type="dxa" w:w="19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剧本引擎</w:t>
            </w:r>
          </w:p>
        </w:tc>
        <w:tc>
          <w:tcPr>
            <w:tcW w:type="dxa" w:w="78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把一项作业流程组织为逐项对练步骤，定义每一项的操作对象、位置、判定点与红线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评分引擎</w:t>
            </w:r>
          </w:p>
        </w:tc>
        <w:tc>
          <w:tcPr>
            <w:tcW w:type="dxa" w:w="78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六维计分（规程符合、操作顺序、双人核对、设备状态核对、风险辨识与异常处置、术语与记录）、红线一票否决、加分项</w:t>
            </w:r>
          </w:p>
        </w:tc>
      </w:tr>
      <w:tr>
        <w:tc>
          <w:tcPr>
            <w:tcW w:type="dxa" w:w="19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复盘引擎</w:t>
            </w:r>
          </w:p>
        </w:tc>
        <w:tc>
          <w:tcPr>
            <w:tcW w:type="dxa" w:w="78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按本场实际过程生成复盘：逐项回放、错误归因、依据条款、改进建议与课程推荐</w:t>
            </w:r>
          </w:p>
        </w:tc>
      </w:tr>
    </w:tbl>
    <w:p>
      <w:pPr>
        <w:pStyle w:val="Heading2"/>
        <w:spacing w:after="130" w:before="240" w:line="300"/>
      </w:pPr>
      <w:r>
        <w:rPr>
          <w:rFonts w:ascii="Calibri" w:eastAsia="微软雅黑" w:hAnsi="Calibri"/>
          <w:b/>
          <w:bCs/>
          <w:color w:val="00367A"/>
          <w:sz w:val="25"/>
          <w:szCs w:val="25"/>
        </w:rPr>
        <w:t xml:space="preserve">4.2 与"人工智能知识课堂"的关系</w:t>
      </w:r>
    </w:p>
    <w:p>
      <w:pPr>
        <w:spacing w:after="13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底座为主体，知识课堂作为供给层被底座调用：课程、题库、学时、学员画像四类资源接入底座；陪练完成后按学时规则回写知识课堂，复盘中的课程推荐直接指向知识课堂课程。</w:t>
      </w:r>
    </w:p>
    <w:p>
      <w:pPr>
        <w:pStyle w:val="Heading2"/>
        <w:spacing w:after="130" w:before="240" w:line="300"/>
      </w:pPr>
      <w:r>
        <w:rPr>
          <w:rFonts w:ascii="Calibri" w:eastAsia="微软雅黑" w:hAnsi="Calibri"/>
          <w:b/>
          <w:bCs/>
          <w:color w:val="00367A"/>
          <w:sz w:val="25"/>
          <w:szCs w:val="25"/>
        </w:rPr>
        <w:t xml:space="preserve">4.3 数字人教练</w:t>
      </w:r>
    </w:p>
    <w:p>
      <w:pPr>
        <w:spacing w:after="13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三种呈现方式按运行环境自动选择：预渲染视频（离线环境可用，现场演示首选）、实时会话（联网环境，用于自由问答）、内置渲染（任何环境可用的保底方式）。三种方式下口型、肢体动作与语音均同源驱动。</w:t>
      </w:r>
    </w:p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五、功能需求</w:t>
      </w:r>
    </w:p>
    <w:p>
      <w:pPr>
        <w:pStyle w:val="Heading2"/>
        <w:spacing w:after="130" w:before="240" w:line="300"/>
      </w:pPr>
      <w:r>
        <w:rPr>
          <w:rFonts w:ascii="Calibri" w:eastAsia="微软雅黑" w:hAnsi="Calibri"/>
          <w:b/>
          <w:bCs/>
          <w:color w:val="00367A"/>
          <w:sz w:val="25"/>
          <w:szCs w:val="25"/>
        </w:rPr>
        <w:t xml:space="preserve">5.1 学员端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2300"/>
        <w:gridCol w:w="7450"/>
      </w:tblGrid>
      <w:tr>
        <w:trPr>
          <w:tblHeader/>
        </w:trPr>
        <w:tc>
          <w:tcPr>
            <w:tcW w:type="dxa" w:w="23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74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功能要求</w:t>
            </w:r>
          </w:p>
        </w:tc>
      </w:tr>
      <w:tr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工作台</w:t>
            </w:r>
          </w:p>
        </w:tc>
        <w:tc>
          <w:tcPr>
            <w:tcW w:type="dxa" w:w="7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待练任务、近期成绩、成长趋势、教练推荐；以数据看板形式呈现，图表可下钻</w:t>
            </w:r>
          </w:p>
        </w:tc>
      </w:tr>
      <w:tr>
        <w:tc>
          <w:tcPr>
            <w:tcW w:type="dxa" w:w="2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AI教练中心</w:t>
            </w:r>
          </w:p>
        </w:tc>
        <w:tc>
          <w:tcPr>
            <w:tcW w:type="dxa" w:w="74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按岗位族、业务域、能力项筛选陪练教练；教练卡展示难度、时长、已练人数；本届首发"倒闸操作·监护人陈志远"</w:t>
            </w:r>
          </w:p>
        </w:tc>
      </w:tr>
      <w:tr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陪练舱（核心）</w:t>
            </w:r>
          </w:p>
        </w:tc>
        <w:tc>
          <w:tcPr>
            <w:tcW w:type="dxa" w:w="7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功能明细见下表</w:t>
            </w:r>
          </w:p>
        </w:tc>
      </w:tr>
      <w:tr>
        <w:tc>
          <w:tcPr>
            <w:tcW w:type="dxa" w:w="2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评分复盘</w:t>
            </w:r>
          </w:p>
        </w:tc>
        <w:tc>
          <w:tcPr>
            <w:tcW w:type="dxa" w:w="74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六维雷达、否决项、逐项过程记录、依据条款、按本场过程生成的复盘文字、课程推荐</w:t>
            </w:r>
          </w:p>
        </w:tc>
      </w:tr>
      <w:tr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成长档案</w:t>
            </w:r>
          </w:p>
        </w:tc>
        <w:tc>
          <w:tcPr>
            <w:tcW w:type="dxa" w:w="7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能力雷达随时间演进、学习地图、学时记录</w:t>
            </w:r>
          </w:p>
        </w:tc>
      </w:tr>
    </w:tbl>
    <w:p>
      <w:pPr>
        <w:spacing w:after="60"/>
      </w:pP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2300"/>
        <w:gridCol w:w="7450"/>
      </w:tblGrid>
      <w:tr>
        <w:trPr>
          <w:tblHeader/>
        </w:trPr>
        <w:tc>
          <w:tcPr>
            <w:tcW w:type="dxa" w:w="23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陪练舱功能</w:t>
            </w:r>
          </w:p>
        </w:tc>
        <w:tc>
          <w:tcPr>
            <w:tcW w:type="dxa" w:w="74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数字人教练</w:t>
            </w:r>
          </w:p>
        </w:tc>
        <w:tc>
          <w:tcPr>
            <w:tcW w:type="dxa" w:w="7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监护人唱票、发令、纠错、标注对勾；接令环节切换值班调度员，异常上报环节切换值班负责人</w:t>
            </w:r>
          </w:p>
        </w:tc>
      </w:tr>
      <w:tr>
        <w:tc>
          <w:tcPr>
            <w:tcW w:type="dxa" w:w="2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五拍动作闭环</w:t>
            </w:r>
          </w:p>
        </w:tc>
        <w:tc>
          <w:tcPr>
            <w:tcW w:type="dxa" w:w="74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唱票 → 手指口述 → 对，执行 → 执行 → 检查回报 → 标注对勾；任何一拍缺失即触发判定</w:t>
            </w:r>
          </w:p>
        </w:tc>
      </w:tr>
      <w:tr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作业面板</w:t>
            </w:r>
          </w:p>
        </w:tc>
        <w:tc>
          <w:tcPr>
            <w:tcW w:type="dxa" w:w="7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调度电话、五防电脑、监控后台一次接线图（设备状态实时变位）、间隔现场、测控屏、保护屏、就地控制柜七类作业位置</w:t>
            </w:r>
          </w:p>
        </w:tc>
      </w:tr>
      <w:tr>
        <w:tc>
          <w:tcPr>
            <w:tcW w:type="dxa" w:w="2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教学引导</w:t>
            </w:r>
          </w:p>
        </w:tc>
        <w:tc>
          <w:tcPr>
            <w:tcW w:type="dxa" w:w="74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教学、演练、考核三种模式；常驻任务指令条；随操作项自动切换的知识点卡；三级提示；知识地图；阶段预习</w:t>
            </w:r>
          </w:p>
        </w:tc>
      </w:tr>
      <w:tr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红线判定</w:t>
            </w:r>
          </w:p>
        </w:tc>
        <w:tc>
          <w:tcPr>
            <w:tcW w:type="dxa" w:w="7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未验电合接地刀闸等安全红线，触发即一票否决，并以动画展示事故后果推演与规程依据</w:t>
            </w:r>
          </w:p>
        </w:tc>
      </w:tr>
      <w:tr>
        <w:tc>
          <w:tcPr>
            <w:tcW w:type="dxa" w:w="2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异常处置</w:t>
            </w:r>
          </w:p>
        </w:tc>
        <w:tc>
          <w:tcPr>
            <w:tcW w:type="dxa" w:w="74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注入"设备位置指示不一致"等异常，训练"立即中止、逐级上报、研判恢复"的处置流程</w:t>
            </w:r>
          </w:p>
        </w:tc>
      </w:tr>
      <w:tr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票令核对</w:t>
            </w:r>
          </w:p>
        </w:tc>
        <w:tc>
          <w:tcPr>
            <w:tcW w:type="dxa" w:w="7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调度下令与操作票任务不一致的识别训练</w:t>
            </w:r>
          </w:p>
        </w:tc>
      </w:tr>
      <w:tr>
        <w:tc>
          <w:tcPr>
            <w:tcW w:type="dxa" w:w="2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练习方式</w:t>
            </w:r>
          </w:p>
        </w:tc>
        <w:tc>
          <w:tcPr>
            <w:tcW w:type="dxa" w:w="74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完整操作票、按状态分段、专项（验电接地、位置核对、接令核对）、错题重练</w:t>
            </w:r>
          </w:p>
        </w:tc>
      </w:tr>
      <w:tr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随时提问</w:t>
            </w:r>
          </w:p>
        </w:tc>
        <w:tc>
          <w:tcPr>
            <w:tcW w:type="dxa" w:w="7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学员任意时刻向教练提问，从安规与操作票管理细则知识库检索作答，并标注依据条款</w:t>
            </w:r>
          </w:p>
        </w:tc>
      </w:tr>
    </w:tbl>
    <w:p>
      <w:pPr>
        <w:pStyle w:val="Heading2"/>
        <w:spacing w:after="130" w:before="240" w:line="300"/>
      </w:pPr>
      <w:r>
        <w:rPr>
          <w:rFonts w:ascii="Calibri" w:eastAsia="微软雅黑" w:hAnsi="Calibri"/>
          <w:b/>
          <w:bCs/>
          <w:color w:val="00367A"/>
          <w:sz w:val="25"/>
          <w:szCs w:val="25"/>
        </w:rPr>
        <w:t xml:space="preserve">5.2 管理端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2300"/>
        <w:gridCol w:w="7450"/>
      </w:tblGrid>
      <w:tr>
        <w:trPr>
          <w:tblHeader/>
        </w:trPr>
        <w:tc>
          <w:tcPr>
            <w:tcW w:type="dxa" w:w="23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74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功能要求</w:t>
            </w:r>
          </w:p>
        </w:tc>
      </w:tr>
      <w:tr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班组看板</w:t>
            </w:r>
          </w:p>
        </w:tc>
        <w:tc>
          <w:tcPr>
            <w:tcW w:type="dxa" w:w="7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陪练覆盖率、人均演练频次、班组与能力项交叉的短板分布、红线触发统计</w:t>
            </w:r>
          </w:p>
        </w:tc>
      </w:tr>
      <w:tr>
        <w:tc>
          <w:tcPr>
            <w:tcW w:type="dxa" w:w="2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任务下发</w:t>
            </w:r>
          </w:p>
        </w:tc>
        <w:tc>
          <w:tcPr>
            <w:tcW w:type="dxa" w:w="74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向班组指派陪练教练与完成期限，查看完成情况</w:t>
            </w:r>
          </w:p>
        </w:tc>
      </w:tr>
    </w:tbl>
    <w:p>
      <w:pPr>
        <w:pStyle w:val="Heading2"/>
        <w:spacing w:after="130" w:before="240" w:line="300"/>
      </w:pPr>
      <w:r>
        <w:rPr>
          <w:rFonts w:ascii="Calibri" w:eastAsia="微软雅黑" w:hAnsi="Calibri"/>
          <w:b/>
          <w:bCs/>
          <w:color w:val="00367A"/>
          <w:sz w:val="25"/>
          <w:szCs w:val="25"/>
        </w:rPr>
        <w:t xml:space="preserve">5.3 底座层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2300"/>
        <w:gridCol w:w="7450"/>
      </w:tblGrid>
      <w:tr>
        <w:trPr>
          <w:tblHeader/>
        </w:trPr>
        <w:tc>
          <w:tcPr>
            <w:tcW w:type="dxa" w:w="23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74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功能要求</w:t>
            </w:r>
          </w:p>
        </w:tc>
      </w:tr>
      <w:tr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教练编辑器</w:t>
            </w:r>
          </w:p>
        </w:tc>
        <w:tc>
          <w:tcPr>
            <w:tcW w:type="dxa" w:w="7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角色设定、剧本步骤、评分规则、知识库挂载的可视化编辑；支持由一张现场电气操作票生成剧本初稿，人工校核后发布——这是底座扩展能力的核心证据</w:t>
            </w:r>
          </w:p>
        </w:tc>
      </w:tr>
      <w:tr>
        <w:tc>
          <w:tcPr>
            <w:tcW w:type="dxa" w:w="2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知识课堂接入</w:t>
            </w:r>
          </w:p>
        </w:tc>
        <w:tc>
          <w:tcPr>
            <w:tcW w:type="dxa" w:w="74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课程、题库、学时、学员画像四类资源的接入与学时回写</w:t>
            </w:r>
          </w:p>
        </w:tc>
      </w:tr>
    </w:tbl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六、本届展示模块：变电站倒闸操作</w:t>
      </w:r>
    </w:p>
    <w:p>
      <w:pPr>
        <w:pStyle w:val="Heading2"/>
        <w:spacing w:after="130" w:before="240" w:line="300"/>
      </w:pPr>
      <w:r>
        <w:rPr>
          <w:rFonts w:ascii="Calibri" w:eastAsia="微软雅黑" w:hAnsi="Calibri"/>
          <w:b/>
          <w:bCs/>
          <w:color w:val="00367A"/>
          <w:sz w:val="25"/>
          <w:szCs w:val="25"/>
        </w:rPr>
        <w:t xml:space="preserve">6.1 素材依据（业务方已提供）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《110kV培训三线1163线路由运行转检修操作细则及流程图》，含模拟操作脚本；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现场电气操作票（27个操作项，三段调度令）及答案；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《变电现场电气操作票管理细则》（脱敏版），含不合格、不规范判据附录；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操作流程图五页（含异常处置流程）。</w:t>
      </w:r>
    </w:p>
    <w:p>
      <w:pPr>
        <w:pStyle w:val="Heading2"/>
        <w:spacing w:after="130" w:before="240" w:line="300"/>
      </w:pPr>
      <w:r>
        <w:rPr>
          <w:rFonts w:ascii="Calibri" w:eastAsia="微软雅黑" w:hAnsi="Calibri"/>
          <w:b/>
          <w:bCs/>
          <w:color w:val="00367A"/>
          <w:sz w:val="25"/>
          <w:szCs w:val="25"/>
        </w:rPr>
        <w:t xml:space="preserve">6.2 场景内容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2300"/>
        <w:gridCol w:w="7450"/>
      </w:tblGrid>
      <w:tr>
        <w:trPr>
          <w:tblHeader/>
        </w:trPr>
        <w:tc>
          <w:tcPr>
            <w:tcW w:type="dxa" w:w="23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环节</w:t>
            </w:r>
          </w:p>
        </w:tc>
        <w:tc>
          <w:tcPr>
            <w:tcW w:type="dxa" w:w="74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上岗前准备</w:t>
            </w:r>
          </w:p>
        </w:tc>
        <w:tc>
          <w:tcPr>
            <w:tcW w:type="dxa" w:w="7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操作票三审与资格核对、着装互检、人员状态确认、12项风险逐条确认</w:t>
            </w:r>
          </w:p>
        </w:tc>
      </w:tr>
      <w:tr>
        <w:tc>
          <w:tcPr>
            <w:tcW w:type="dxa" w:w="2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五防模拟</w:t>
            </w:r>
          </w:p>
        </w:tc>
        <w:tc>
          <w:tcPr>
            <w:tcW w:type="dxa" w:w="74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按操作票顺序完成模拟预演，顺序错误被防误逻辑拒绝</w:t>
            </w:r>
          </w:p>
        </w:tc>
      </w:tr>
      <w:tr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逐项对练</w:t>
            </w:r>
          </w:p>
        </w:tc>
        <w:tc>
          <w:tcPr>
            <w:tcW w:type="dxa" w:w="7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29个操作项（含主、子项），三段调度令，覆盖运行→热备用→冷备用→检修全过程</w:t>
            </w:r>
          </w:p>
        </w:tc>
      </w:tr>
      <w:tr>
        <w:tc>
          <w:tcPr>
            <w:tcW w:type="dxa" w:w="2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安全红线</w:t>
            </w:r>
          </w:p>
        </w:tc>
        <w:tc>
          <w:tcPr>
            <w:tcW w:type="dxa" w:w="74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6处红线判定点（未验电合接地刀闸、发现异常未中止等），触发即否决并推演后果</w:t>
            </w:r>
          </w:p>
        </w:tc>
      </w:tr>
      <w:tr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异常注入</w:t>
            </w:r>
          </w:p>
        </w:tc>
        <w:tc>
          <w:tcPr>
            <w:tcW w:type="dxa" w:w="7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1处"刀闸机械指示与后台显示不一致"，训练中止上报流程</w:t>
            </w:r>
          </w:p>
        </w:tc>
      </w:tr>
      <w:tr>
        <w:tc>
          <w:tcPr>
            <w:tcW w:type="dxa" w:w="2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接令训练</w:t>
            </w:r>
          </w:p>
        </w:tc>
        <w:tc>
          <w:tcPr>
            <w:tcW w:type="dxa" w:w="74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1处调度下令与票面不一致的核对训练点</w:t>
            </w:r>
          </w:p>
        </w:tc>
      </w:tr>
    </w:tbl>
    <w:p>
      <w:pPr>
        <w:pStyle w:val="Heading2"/>
        <w:spacing w:after="130" w:before="240" w:line="300"/>
      </w:pPr>
      <w:r>
        <w:rPr>
          <w:rFonts w:ascii="Calibri" w:eastAsia="微软雅黑" w:hAnsi="Calibri"/>
          <w:b/>
          <w:bCs/>
          <w:color w:val="00367A"/>
          <w:sz w:val="25"/>
          <w:szCs w:val="25"/>
        </w:rPr>
        <w:t xml:space="preserve">6.3 数字人角色</w:t>
      </w:r>
    </w:p>
    <w:p>
      <w:pPr>
        <w:spacing w:after="13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监护人陈志远、值班调度员林岚、值班负责人周建国，均为虚拟人物，按对练环节自动切换。</w:t>
      </w:r>
    </w:p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七、演示范围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2700"/>
        <w:gridCol w:w="7050"/>
      </w:tblGrid>
      <w:tr>
        <w:trPr>
          <w:tblHeader/>
        </w:trPr>
        <w:tc>
          <w:tcPr>
            <w:tcW w:type="dxa" w:w="27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0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一个主要使用者</w:t>
            </w:r>
          </w:p>
        </w:tc>
        <w:tc>
          <w:tcPr>
            <w:tcW w:type="dxa" w:w="70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变电运行操作人</w:t>
            </w:r>
          </w:p>
        </w:tc>
      </w:tr>
      <w:tr>
        <w:tc>
          <w:tcPr>
            <w:tcW w:type="dxa" w:w="27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一个核心场景</w:t>
            </w:r>
          </w:p>
        </w:tc>
        <w:tc>
          <w:tcPr>
            <w:tcW w:type="dxa" w:w="70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倒闸操作陪练（110kV线路由运行转检修）</w:t>
            </w:r>
          </w:p>
        </w:tc>
      </w:tr>
      <w:tr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一条完整流程</w:t>
            </w:r>
          </w:p>
        </w:tc>
        <w:tc>
          <w:tcPr>
            <w:tcW w:type="dxa" w:w="70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接令 → 逐项操作 → 汇报 → 评分复盘；现场可选分段方式，8分钟内完整演示</w:t>
            </w:r>
          </w:p>
        </w:tc>
      </w:tr>
      <w:tr>
        <w:tc>
          <w:tcPr>
            <w:tcW w:type="dxa" w:w="27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一个突出亮点</w:t>
            </w:r>
          </w:p>
        </w:tc>
        <w:tc>
          <w:tcPr>
            <w:tcW w:type="dxa" w:w="70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数字人监护人主导的五拍动作闭环，与安全红线的事故后果推演</w:t>
            </w:r>
          </w:p>
        </w:tc>
      </w:tr>
      <w:tr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一个价值结果</w:t>
            </w:r>
          </w:p>
        </w:tc>
        <w:tc>
          <w:tcPr>
            <w:tcW w:type="dxa" w:w="70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一次对练全程逐项留痕，生成六维评分与复盘报告，写入成长档案</w:t>
            </w:r>
          </w:p>
        </w:tc>
      </w:tr>
    </w:tbl>
    <w:p>
      <w:pPr>
        <w:pStyle w:val="Heading2"/>
        <w:spacing w:after="130" w:before="240" w:line="300"/>
      </w:pPr>
      <w:r>
        <w:rPr>
          <w:rFonts w:ascii="Calibri" w:eastAsia="微软雅黑" w:hAnsi="Calibri"/>
          <w:b/>
          <w:bCs/>
          <w:color w:val="00367A"/>
          <w:sz w:val="25"/>
          <w:szCs w:val="25"/>
        </w:rPr>
        <w:t xml:space="preserve">7.1 演示必须完成的功能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陪练舱完整对练（教学模式，分段方式）；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红线触发与事故后果推演；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异常注入与中止上报流程；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评分复盘与成长档案展示；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教练编辑器"由操作票生成剧本初稿"演示。</w:t>
      </w:r>
    </w:p>
    <w:p>
      <w:pPr>
        <w:pStyle w:val="Heading2"/>
        <w:spacing w:after="130" w:before="240" w:line="300"/>
      </w:pPr>
      <w:r>
        <w:rPr>
          <w:rFonts w:ascii="Calibri" w:eastAsia="微软雅黑" w:hAnsi="Calibri"/>
          <w:b/>
          <w:bCs/>
          <w:color w:val="00367A"/>
          <w:sz w:val="25"/>
          <w:szCs w:val="25"/>
        </w:rPr>
        <w:t xml:space="preserve">7.2 本届不做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3300"/>
        <w:gridCol w:w="6450"/>
      </w:tblGrid>
      <w:tr>
        <w:trPr>
          <w:tblHeader/>
        </w:trPr>
        <w:tc>
          <w:tcPr>
            <w:tcW w:type="dxa" w:w="33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dxa" w:w="64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监护人视角对练</w:t>
            </w:r>
          </w:p>
        </w:tc>
        <w:tc>
          <w:tcPr>
            <w:tcW w:type="dxa" w:w="6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进阶视角，列入下一版本</w:t>
            </w:r>
          </w:p>
        </w:tc>
      </w:tr>
      <w:tr>
        <w:tc>
          <w:tcPr>
            <w:tcW w:type="dxa" w:w="3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语音发音质量评测计分</w:t>
            </w:r>
          </w:p>
        </w:tc>
        <w:tc>
          <w:tcPr>
            <w:tcW w:type="dxa" w:w="64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本届以内容正确性判定为准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移动端</w:t>
            </w:r>
          </w:p>
        </w:tc>
        <w:tc>
          <w:tcPr>
            <w:tcW w:type="dxa" w:w="6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本届以大屏演示为准</w:t>
            </w:r>
          </w:p>
        </w:tc>
      </w:tr>
      <w:tr>
        <w:tc>
          <w:tcPr>
            <w:tcW w:type="dxa" w:w="3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与生产系统对接</w:t>
            </w:r>
          </w:p>
        </w:tc>
        <w:tc>
          <w:tcPr>
            <w:tcW w:type="dxa" w:w="64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演示环境独立运行，全部数据脱敏模拟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虚拟现实设备</w:t>
            </w:r>
          </w:p>
        </w:tc>
        <w:tc>
          <w:tcPr>
            <w:tcW w:type="dxa" w:w="6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本项目为纯软件形态</w:t>
            </w:r>
          </w:p>
        </w:tc>
      </w:tr>
    </w:tbl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八、数据与素材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2200"/>
        <w:gridCol w:w="5100"/>
        <w:gridCol w:w="2450"/>
      </w:tblGrid>
      <w:tr>
        <w:trPr>
          <w:tblHeader/>
        </w:trPr>
        <w:tc>
          <w:tcPr>
            <w:tcW w:type="dxa" w:w="22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51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4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作业规程素材</w:t>
            </w:r>
          </w:p>
        </w:tc>
        <w:tc>
          <w:tcPr>
            <w:tcW w:type="dxa" w:w="5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操作细则、现场电气操作票、操作流程图、管理细则（脱敏版）</w:t>
            </w:r>
          </w:p>
        </w:tc>
        <w:tc>
          <w:tcPr>
            <w:tcW w:type="dxa" w:w="2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业务方提供（已到位）</w:t>
            </w:r>
          </w:p>
        </w:tc>
      </w:tr>
      <w:tr>
        <w:tc>
          <w:tcPr>
            <w:tcW w:type="dxa" w:w="22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知识内容</w:t>
            </w:r>
          </w:p>
        </w:tc>
        <w:tc>
          <w:tcPr>
            <w:tcW w:type="dxa" w:w="51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知识点卡、教练台词、评分规则、知识地图九个主题</w:t>
            </w:r>
          </w:p>
        </w:tc>
        <w:tc>
          <w:tcPr>
            <w:tcW w:type="dxa" w:w="24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项目组依据规程素材整理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知识课堂资源</w:t>
            </w:r>
          </w:p>
        </w:tc>
        <w:tc>
          <w:tcPr>
            <w:tcW w:type="dxa" w:w="5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课程、题库、学时规则、学员画像的接口口径</w:t>
            </w:r>
          </w:p>
        </w:tc>
        <w:tc>
          <w:tcPr>
            <w:tcW w:type="dxa" w:w="2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业务方按需提供</w:t>
            </w:r>
          </w:p>
        </w:tc>
      </w:tr>
      <w:tr>
        <w:tc>
          <w:tcPr>
            <w:tcW w:type="dxa" w:w="22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视觉规范</w:t>
            </w:r>
          </w:p>
        </w:tc>
        <w:tc>
          <w:tcPr>
            <w:tcW w:type="dxa" w:w="51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南方电网企业色与标识使用规范</w:t>
            </w:r>
          </w:p>
        </w:tc>
        <w:tc>
          <w:tcPr>
            <w:tcW w:type="dxa" w:w="24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业务方提供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演示数据</w:t>
            </w:r>
          </w:p>
        </w:tc>
        <w:tc>
          <w:tcPr>
            <w:tcW w:type="dxa" w:w="5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学员、班组、成绩等全部为脱敏模拟数据</w:t>
            </w:r>
          </w:p>
        </w:tc>
        <w:tc>
          <w:tcPr>
            <w:tcW w:type="dxa" w:w="2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项目组生成</w:t>
            </w:r>
          </w:p>
        </w:tc>
      </w:tr>
    </w:tbl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九、技术路线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网页端应用，内网环境可运行，演示环境不依赖外部网络；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数字人：预渲染视频、实时会话、内置渲染三档，按环境自动选择；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语音：合成语音播报台词，学员可用语音输入完成复诵与回报；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知识问答：基于安规与管理细则构建的结构化知识库检索作答；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界面遵循南方电网视觉规范，页面左上角为深圳供电局标识。</w:t>
      </w:r>
    </w:p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十、验收标准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900"/>
        <w:gridCol w:w="8850"/>
      </w:tblGrid>
      <w:tr>
        <w:trPr>
          <w:tblHeader/>
        </w:trPr>
        <w:tc>
          <w:tcPr>
            <w:tcW w:type="dxa" w:w="9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88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可检查的验收项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1</w:t>
            </w:r>
          </w:p>
        </w:tc>
        <w:tc>
          <w:tcPr>
            <w:tcW w:type="dxa" w:w="88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以教学模式完成一次分段陪练（冷备用转检修），全流程无阻断</w:t>
            </w:r>
          </w:p>
        </w:tc>
      </w:tr>
      <w:tr>
        <w:tc>
          <w:tcPr>
            <w:tcW w:type="dxa" w:w="9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2</w:t>
            </w:r>
          </w:p>
        </w:tc>
        <w:tc>
          <w:tcPr>
            <w:tcW w:type="dxa" w:w="88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五拍动作闭环逐项可见，任一拍缺失触发判定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3</w:t>
            </w:r>
          </w:p>
        </w:tc>
        <w:tc>
          <w:tcPr>
            <w:tcW w:type="dxa" w:w="88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未验电合接地刀闸触发一票否决，并展示事故后果推演与依据条款</w:t>
            </w:r>
          </w:p>
        </w:tc>
      </w:tr>
      <w:tr>
        <w:tc>
          <w:tcPr>
            <w:tcW w:type="dxa" w:w="9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4</w:t>
            </w:r>
          </w:p>
        </w:tc>
        <w:tc>
          <w:tcPr>
            <w:tcW w:type="dxa" w:w="88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注入位置指示不一致后，中止、上报、研判、恢复流程可完整走通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5</w:t>
            </w:r>
          </w:p>
        </w:tc>
        <w:tc>
          <w:tcPr>
            <w:tcW w:type="dxa" w:w="88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陪练结束生成六维评分、否决项与复盘文字，复盘内容与本场实际过程一致</w:t>
            </w:r>
          </w:p>
        </w:tc>
      </w:tr>
      <w:tr>
        <w:tc>
          <w:tcPr>
            <w:tcW w:type="dxa" w:w="9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6</w:t>
            </w:r>
          </w:p>
        </w:tc>
        <w:tc>
          <w:tcPr>
            <w:tcW w:type="dxa" w:w="88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教练编辑器完成"由操作票生成剧本初稿"演示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7</w:t>
            </w:r>
          </w:p>
        </w:tc>
        <w:tc>
          <w:tcPr>
            <w:tcW w:type="dxa" w:w="88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工作台、AI教练中心、评分复盘、成长档案、班组看板页面完整可操作</w:t>
            </w:r>
          </w:p>
        </w:tc>
      </w:tr>
      <w:tr>
        <w:tc>
          <w:tcPr>
            <w:tcW w:type="dxa" w:w="9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8</w:t>
            </w:r>
          </w:p>
        </w:tc>
        <w:tc>
          <w:tcPr>
            <w:tcW w:type="dxa" w:w="88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全部演示数据为脱敏模拟数据</w:t>
            </w:r>
          </w:p>
        </w:tc>
      </w:tr>
    </w:tbl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十一、里程碑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3300"/>
        <w:gridCol w:w="1500"/>
        <w:gridCol w:w="4950"/>
      </w:tblGrid>
      <w:tr>
        <w:trPr>
          <w:tblHeader/>
        </w:trPr>
        <w:tc>
          <w:tcPr>
            <w:tcW w:type="dxa" w:w="33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5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49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交付内容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需求澄清与范围定义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8月14日</w:t>
            </w:r>
          </w:p>
        </w:tc>
        <w:tc>
          <w:tcPr>
            <w:tcW w:type="dxa" w:w="49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需求工作坊，业务流程与素材确认</w:t>
            </w:r>
          </w:p>
        </w:tc>
      </w:tr>
      <w:tr>
        <w:tc>
          <w:tcPr>
            <w:tcW w:type="dxa" w:w="3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技术方案设计与研发启动</w:t>
            </w:r>
          </w:p>
        </w:tc>
        <w:tc>
          <w:tcPr>
            <w:tcW w:type="dxa" w:w="15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8月21日</w:t>
            </w:r>
          </w:p>
        </w:tc>
        <w:tc>
          <w:tcPr>
            <w:tcW w:type="dxa" w:w="49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技术方案与界面框架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需求冻结与初版演示验收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8月28日</w:t>
            </w:r>
          </w:p>
        </w:tc>
        <w:tc>
          <w:tcPr>
            <w:tcW w:type="dxa" w:w="49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陪练舱初版可演示</w:t>
            </w:r>
          </w:p>
        </w:tc>
      </w:tr>
      <w:tr>
        <w:tc>
          <w:tcPr>
            <w:tcW w:type="dxa" w:w="3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中期评审与关键问题攻坚</w:t>
            </w:r>
          </w:p>
        </w:tc>
        <w:tc>
          <w:tcPr>
            <w:tcW w:type="dxa" w:w="15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9月4日</w:t>
            </w:r>
          </w:p>
        </w:tc>
        <w:tc>
          <w:tcPr>
            <w:tcW w:type="dxa" w:w="49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全部页面联通，数字人接入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比赛作品预验收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9月11日</w:t>
            </w:r>
          </w:p>
        </w:tc>
        <w:tc>
          <w:tcPr>
            <w:tcW w:type="dxa" w:w="49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完整作品预演</w:t>
            </w:r>
          </w:p>
        </w:tc>
      </w:tr>
      <w:tr>
        <w:tc>
          <w:tcPr>
            <w:tcW w:type="dxa" w:w="3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成果交付与模拟答辩</w:t>
            </w:r>
          </w:p>
        </w:tc>
        <w:tc>
          <w:tcPr>
            <w:tcW w:type="dxa" w:w="15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9月23日</w:t>
            </w:r>
          </w:p>
        </w:tc>
        <w:tc>
          <w:tcPr>
            <w:tcW w:type="dxa" w:w="49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最终交付，现场汇报演练</w:t>
            </w:r>
          </w:p>
        </w:tc>
      </w:tr>
    </w:tbl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十二、边界与约定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演示环境不接入生产系统，不使用真实人员数据；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涉及人员能力评价的输出仅作为训练参考，最终结论由人确认；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数字人形象为虚拟人物，不对应任何真实员工；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评优结束后如转入实际部署，数据接入与账号体系按公司数据管理要求另行确定。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60" w:right="1290" w:bottom="1180" w:left="129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微软雅黑" w:hAnsi="Calibri"/>
        <w:color w:val="5A6B7E"/>
        <w:sz w:val="17"/>
        <w:szCs w:val="17"/>
      </w:rPr>
      <w:t xml:space="preserve">第 </w:t>
    </w:r>
    <w:r>
      <w:rPr>
        <w:rFonts w:ascii="Calibri" w:eastAsia="微软雅黑" w:hAnsi="Calibri"/>
        <w:color w:val="5A6B7E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eastAsia="微软雅黑" w:hAnsi="Calibri"/>
        <w:color w:val="5A6B7E"/>
        <w:sz w:val="17"/>
        <w:szCs w:val="17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67A" w:sz="6" w:space="3"/>
      </w:pBdr>
      <w:tabs>
        <w:tab w:val="right" w:pos="9750"/>
      </w:tabs>
      <w:spacing w:after="60"/>
    </w:pPr>
    <w:r>
      <w:drawing>
        <wp:inline distT="0" distB="0" distL="0" distR="0">
          <wp:extent cx="866775" cy="3048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30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eastAsia="微软雅黑" w:hAnsi="Calibri"/>
        <w:color w:val="5A6B7E"/>
        <w:sz w:val="17"/>
        <w:szCs w:val="17"/>
      </w:rPr>
      <w:t xml:space="preserve">	小瓦特·HR家族 · AI智能陪练底座需求文档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start"/>
      <w:pPr>
        <w:ind w:left="460" w:hanging="240"/>
      </w:pPr>
      <w:rPr>
        <w:rFonts w:ascii="Calibri" w:eastAsia="微软雅黑" w:hAnsi="Calibri"/>
        <w:color w:val="1E63B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微软雅黑" w:hAnsi="Calibri"/>
        <w:color w:val="1A2A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baa8d2f1bf773c5bf9eff4f7e21959f5922e0e6a.png"/><Relationship Id="rId12" Type="http://schemas.openxmlformats.org/officeDocument/2006/relationships/image" Target="media/006bf36e3b2a2355763817437739c981dbdf9ab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aa8d2f1bf773c5bf9eff4f7e21959f5922e0e6a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2026-08-31T13:26:12.194Z</dcterms:created>
  <dcterms:modified xsi:type="dcterms:W3CDTF">2026-08-31T13:26:12.211Z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