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 </w:t>
      </w:r>
      <w:r>
        <w:rPr>
          <w:rStyle w:val="afffff9"/>
          <w:rtl/>
          <w:rPrChange w:id="9123" w:author="מנוע אמוראים" w:date="2026-10-05T16:40:51Z">
            <w:rPr>
              <w:rtl/>
            </w:rPr>
          </w:rPrChange>
        </w:rPr>
        <w:t xml:space="preserve">קר"ש</w:t>
      </w:r>
      <w:r>
        <w:rPr>
          <w:rtl/>
        </w:rPr>
        <w:t xml:space="preserve">,</w:t>
      </w:r>
      <w:r w:rsidR="00A3611D" w:rsidRPr="000528DA">
        <w:rPr>
          <w:rFonts w:hint="cs"/>
          <w:rtl/>
        </w:rPr>
        <w:t xml:space="preserve"> </w:t>
      </w:r>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r>
        <w:rPr>
          <w:rtl/>
          <w:rPrChange w:id="9001" w:author="עריכה מהאתר" w:date="2026-10-13T14:44:43Z">
            <w:rPr>
              <w:rtl/>
            </w:rPr>
          </w:rPrChange>
        </w:rPr>
        <w:t xml:space="preserve">ספק התפלל</w:t>
      </w:r>
      <w:bookmarkEnd w:id="481"/>
      <w:bookmarkEnd w:id="482"/>
      <w:r w:rsidRPr="00724E73">
        <w:rPr>
          <w:rStyle w:val="afffffd"/>
          <w:rtl/>
        </w:rPr>
        <w:t xml:space="preserve"> </w:t>
      </w:r>
      <w:r w:rsidR="00DA51A5" w:rsidRPr="00FE3D07">
        <w:rPr>
          <w:rtl/>
        </w:rPr>
        <w:t>אינו חוזר ומתפלל.</w:t>
      </w:r>
      <w:r>
        <w:rPr>
          <w:rFonts w:cs="Guttman Vilna" w:hint="cs"/>
          <w:rtl/>
        </w:rPr>
        <w:t xml:space="preserve"> </w:t>
      </w:r>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sidRPr="00660D7A">
        <w:rPr>
          <w:rFonts w:hint="cs"/>
          <w:rtl/>
        </w:rPr>
        <w:t>והך</w:t>
      </w:r>
      <w:r w:rsidR="00A24328">
        <w:rPr>
          <w:rtl/>
        </w:rPr>
        <w:t>:</w:t>
      </w:r>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sidRPr="000528DA">
        <w:rPr>
          <w:rFonts w:hint="cs"/>
          <w:rtl/>
        </w:rPr>
        <w:t>כ בקמח.</w:t>
      </w:r>
    </w:p>
    <w:p w14:paraId="004F5406" w14:textId="534B0896" w:rsidR="00A24328" w:rsidRDefault="005175F4" w:rsidP="009A59D1">
      <w:pPr>
        <w:pStyle w:val="38"/>
        <w:framePr w:wrap="notBeside"/>
        <w:rPr>
          <w:rtl/>
        </w:rPr>
      </w:pPr>
      <w:r w:rsidRPr="00660D7A">
        <w:rPr>
          <w:rFonts w:hint="cs"/>
          <w:rtl/>
        </w:rPr>
        <w:t>והך</w:t>
      </w:r>
      <w:r w:rsidR="009B14FE">
        <w:rPr>
          <w:rFonts w:hint="cs"/>
          <w:rtl/>
        </w:rPr>
        <w:t>:</w:t>
      </w:r>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sidRPr="00660D7A">
        <w:rPr>
          <w:rFonts w:hint="cs"/>
          <w:rtl/>
        </w:rPr>
        <w:t>והך</w:t>
      </w:r>
      <w:r w:rsidR="009B14FE">
        <w:rPr>
          <w:rFonts w:hint="cs"/>
          <w:rtl/>
        </w:rPr>
        <w:t>:</w:t>
      </w:r>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sidR="00627F77" w:rsidRPr="0039339B">
        <w:rPr>
          <w:rFonts w:hint="cs"/>
          <w:spacing w:val="-2"/>
          <w:rtl/>
        </w:rPr>
        <w:t>שנוטעים על דעת הפרח</w:t>
      </w:r>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sidRPr="00660D7A">
        <w:rPr>
          <w:rFonts w:hint="cs"/>
          <w:rtl/>
        </w:rPr>
        <w:t>והך</w:t>
      </w:r>
      <w:r w:rsidR="009B14FE">
        <w:rPr>
          <w:rFonts w:hint="cs"/>
          <w:rtl/>
        </w:rPr>
        <w:t>:</w:t>
      </w:r>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r w:rsidRPr="00660D7A">
        <w:rPr>
          <w:rFonts w:hint="cs"/>
          <w:rtl/>
        </w:rPr>
        <w:t>ודחי</w:t>
      </w:r>
      <w:r w:rsidRPr="00660D7A">
        <w:rPr>
          <w:rtl/>
        </w:rPr>
        <w:t>'</w:t>
      </w:r>
      <w:r w:rsidR="009B14FE">
        <w:rPr>
          <w:rFonts w:hint="cs"/>
          <w:rtl/>
        </w:rPr>
        <w:t>:</w:t>
      </w:r>
    </w:p>
    <w:p w14:paraId="5D7EFFC5" w14:textId="2F2AA45E" w:rsidR="003E358C" w:rsidRPr="000528DA" w:rsidRDefault="005175F4" w:rsidP="000528DA">
      <w:pPr>
        <w:rPr>
          <w:rtl/>
        </w:rPr>
      </w:pPr>
      <w:r w:rsidRPr="000528DA">
        <w:rPr>
          <w:rFonts w:hint="cs"/>
          <w:rtl/>
        </w:rPr>
        <w:t xml:space="preserve">דבשאר אילני </w:t>
      </w:r>
      <w:r w:rsidR="00A72708" w:rsidRPr="00A10336">
        <w:rPr>
          <w:rStyle w:val="30"/>
          <w:rFonts w:hint="cs"/>
          <w:rtl/>
        </w:rPr>
        <w:t>חלקו</w:t>
      </w:r>
      <w:r w:rsidRPr="000528DA">
        <w:rPr>
          <w:rFonts w:hint="cs"/>
          <w:rtl/>
        </w:rPr>
        <w:t xml:space="preserve"> רבנן </w:t>
      </w:r>
    </w:p>
    <w:p w14:paraId="3F16766E" w14:textId="0044CCA8" w:rsidR="00A24328" w:rsidRDefault="005175F4" w:rsidP="009A59D1">
      <w:pPr>
        <w:pStyle w:val="38"/>
        <w:framePr w:wrap="notBeside"/>
        <w:rPr>
          <w:rtl/>
        </w:rPr>
      </w:pPr>
      <w:r w:rsidRPr="00660D7A">
        <w:rPr>
          <w:rFonts w:hint="cs"/>
          <w:rtl/>
        </w:rPr>
        <w:t>והך</w:t>
      </w:r>
      <w:r w:rsidR="009B14FE">
        <w:rPr>
          <w:rFonts w:hint="cs"/>
          <w:rtl/>
        </w:rPr>
        <w:t>:</w:t>
      </w:r>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r w:rsidRPr="000528DA">
        <w:rPr>
          <w:rtl/>
        </w:rPr>
        <w:t xml:space="preserve">הוא בוסר, הוא גרוע, </w:t>
      </w:r>
      <w:r w:rsidRPr="000528DA">
        <w:rPr>
          <w:rFonts w:hint="cs"/>
          <w:rtl/>
        </w:rPr>
        <w:t>ושיעורו כפול הלבן</w:t>
      </w:r>
      <w:r w:rsidRPr="000528DA">
        <w:rPr>
          <w:rtl/>
        </w:rPr>
        <w:t>.</w:t>
      </w:r>
      <w:r w:rsidR="00351EF6" w:rsidRPr="00A10336">
        <w:rPr>
          <w:rStyle w:val="30"/>
          <w:rFonts w:hint="cs"/>
          <w:rtl/>
        </w:rPr>
        <w:t xml:space="preserve"> </w:t>
      </w:r>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r w:rsidRPr="000528DA">
        <w:rPr>
          <w:rFonts w:hint="cs"/>
          <w:rtl/>
        </w:rPr>
        <w:t xml:space="preserve">הוא דאמרי </w:t>
      </w:r>
      <w:r w:rsidR="00351EF6" w:rsidRPr="000528DA">
        <w:rPr>
          <w:rtl/>
        </w:rPr>
        <w:t>בוסר</w:t>
      </w:r>
      <w:r w:rsidRPr="000528DA">
        <w:rPr>
          <w:rtl/>
        </w:rPr>
        <w:t>,</w:t>
      </w:r>
      <w:r w:rsidRPr="000528DA">
        <w:rPr>
          <w:rFonts w:hint="cs"/>
          <w:rtl/>
        </w:rPr>
        <w:t xml:space="preserve"> ולא</w:t>
      </w:r>
      <w:r w:rsidRPr="000528DA">
        <w:rPr>
          <w:rtl/>
        </w:rPr>
        <w:t xml:space="preserve"> סמדר </w:t>
      </w:r>
      <w:r w:rsidRPr="00E34F28">
        <w:rPr>
          <w:rStyle w:val="afffff9"/>
          <w:rFonts w:hint="cs"/>
          <w:rtl/>
        </w:rPr>
        <w:t xml:space="preserve">ואהך </w:t>
      </w:r>
      <w:r w:rsidRPr="00E34F28">
        <w:rPr>
          <w:rStyle w:val="afffff9"/>
          <w:rtl/>
        </w:rPr>
        <w:t>קתני:</w:t>
      </w:r>
      <w:r w:rsidRPr="000528DA">
        <w:rPr>
          <w:rtl/>
        </w:rPr>
        <w:t xml:space="preserve"> שאר כל האילנות משיוציאו!</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