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7.jpg" ContentType="image/jpeg"/>
  <Override PartName="/word/media/rId29.jpg" ContentType="image/jpeg"/>
  <Override PartName="/word/media/rId20.png" ContentType="image/png"/>
  <Override PartName="/word/media/rId43.png" ContentType="image/png"/>
  <Override PartName="/word/media/rId4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终极玩家操作流程"/>
    <w:p>
      <w:pPr>
        <w:pStyle w:val="Heading1"/>
      </w:pPr>
      <w:r>
        <w:t xml:space="preserve">终极玩家操作流程</w:t>
      </w:r>
    </w:p>
    <w:p>
      <w:pPr>
        <w:pStyle w:val="FirstParagraph"/>
      </w:pPr>
      <w:r>
        <w:rPr>
          <w:b/>
          <w:bCs/>
        </w:rPr>
        <w:t xml:space="preserve">玩家端</w:t>
      </w:r>
      <w:r>
        <w:t xml:space="preserve">：https://tp.ceeeb64.workers.dev/</w:t>
      </w:r>
      <w:r>
        <w:br/>
      </w:r>
      <w:r>
        <w:rPr>
          <w:b/>
          <w:bCs/>
        </w:rPr>
        <w:t xml:space="preserve">管理员端</w:t>
      </w:r>
      <w:r>
        <w:t xml:space="preserve">：https://tp.ceeeb64.workers.dev/admin</w:t>
      </w:r>
    </w:p>
    <w:p>
      <w:r>
        <w:pict>
          <v:rect style="width:0;height:1.5pt" o:hralign="center" o:hrstd="t" o:hr="t"/>
        </w:pict>
      </w:r>
    </w:p>
    <w:bookmarkStart w:id="41" w:name="玩家流程"/>
    <w:p>
      <w:pPr>
        <w:pStyle w:val="Heading2"/>
      </w:pPr>
      <w:r>
        <w:t xml:space="preserve">玩家流程</w:t>
      </w:r>
    </w:p>
    <w:bookmarkStart w:id="23" w:name="添加-bsc-测试网链配置"/>
    <w:p>
      <w:pPr>
        <w:pStyle w:val="Heading3"/>
      </w:pPr>
      <w:r>
        <w:t xml:space="preserve">1. 添加 BSC 测试网（链配置）</w:t>
      </w:r>
    </w:p>
    <w:p>
      <w:pPr>
        <w:pStyle w:val="Compact"/>
        <w:numPr>
          <w:ilvl w:val="0"/>
          <w:numId w:val="1001"/>
        </w:numPr>
      </w:pPr>
      <w:r>
        <w:t xml:space="preserve">推荐用 Chainlist 自动添加：https://chainlist.org/ 搜索</w:t>
      </w:r>
      <w:r>
        <w:t xml:space="preserve"> </w:t>
      </w:r>
      <w:r>
        <w:t xml:space="preserve">“</w:t>
      </w:r>
      <w:r>
        <w:t xml:space="preserve">BSC Testnet</w:t>
      </w:r>
      <w:r>
        <w:t xml:space="preserve">”</w:t>
      </w:r>
      <w:r>
        <w:t xml:space="preserve">，点击</w:t>
      </w:r>
      <w:r>
        <w:t xml:space="preserve"> </w:t>
      </w:r>
      <w:r>
        <w:t xml:space="preserve">“</w:t>
      </w:r>
      <w:r>
        <w:t xml:space="preserve">Connect Wallet</w:t>
      </w:r>
      <w:r>
        <w:t xml:space="preserve">”</w:t>
      </w:r>
      <w:r>
        <w:t xml:space="preserve"> </w:t>
      </w:r>
      <w:r>
        <w:t xml:space="preserve">再</w:t>
      </w:r>
      <w:r>
        <w:t xml:space="preserve"> </w:t>
      </w:r>
      <w:r>
        <w:t xml:space="preserve">“</w:t>
      </w:r>
      <w:r>
        <w:t xml:space="preserve">Add to Wallet</w:t>
      </w:r>
      <w:r>
        <w:t xml:space="preserve">”</w:t>
      </w:r>
      <w:r>
        <w:t xml:space="preserve">，在钱包里确认即可。</w:t>
      </w:r>
    </w:p>
    <w:p>
      <w:pPr>
        <w:pStyle w:val="Compact"/>
        <w:numPr>
          <w:ilvl w:val="0"/>
          <w:numId w:val="1001"/>
        </w:numPr>
      </w:pPr>
      <w:r>
        <w:t xml:space="preserve">若手动添加，可在钱包里新增网络并填入：</w:t>
      </w:r>
    </w:p>
    <w:p>
      <w:pPr>
        <w:pStyle w:val="Compact"/>
        <w:numPr>
          <w:ilvl w:val="1"/>
          <w:numId w:val="1002"/>
        </w:numPr>
      </w:pPr>
      <w:r>
        <w:t xml:space="preserve">网络名称：BSC Testnet</w:t>
      </w:r>
    </w:p>
    <w:p>
      <w:pPr>
        <w:pStyle w:val="Compact"/>
        <w:numPr>
          <w:ilvl w:val="1"/>
          <w:numId w:val="1002"/>
        </w:numPr>
      </w:pPr>
      <w:r>
        <w:t xml:space="preserve">新 RPC URL：https://data-seed-prebsc-1-s1.binance.org:8545</w:t>
      </w:r>
    </w:p>
    <w:p>
      <w:pPr>
        <w:pStyle w:val="Compact"/>
        <w:numPr>
          <w:ilvl w:val="1"/>
          <w:numId w:val="1002"/>
        </w:numPr>
      </w:pPr>
      <w:r>
        <w:t xml:space="preserve">链 ID：97</w:t>
      </w:r>
    </w:p>
    <w:p>
      <w:pPr>
        <w:pStyle w:val="Compact"/>
        <w:numPr>
          <w:ilvl w:val="1"/>
          <w:numId w:val="1002"/>
        </w:numPr>
      </w:pPr>
      <w:r>
        <w:t xml:space="preserve">货币符号：tBNB</w:t>
      </w:r>
    </w:p>
    <w:p>
      <w:pPr>
        <w:pStyle w:val="Compact"/>
        <w:numPr>
          <w:ilvl w:val="1"/>
          <w:numId w:val="1002"/>
        </w:numPr>
      </w:pPr>
      <w:r>
        <w:t xml:space="preserve">浏览器：https://testnet.bscscan.com</w:t>
      </w:r>
    </w:p>
    <w:p>
      <w:pPr>
        <w:pStyle w:val="FirstParagraph"/>
      </w:pPr>
      <w:r>
        <w:t xml:space="preserve">示例截图：</w:t>
      </w:r>
      <w:r>
        <w:t xml:space="preserve"> </w:t>
      </w:r>
      <w:r>
        <w:drawing>
          <wp:inline>
            <wp:extent cx="5334000" cy="11559778"/>
            <wp:effectExtent b="0" l="0" r="0" t="0"/>
            <wp:docPr descr="测试网添加" title="" id="21" name="Picture"/>
            <a:graphic>
              <a:graphicData uri="http://schemas.openxmlformats.org/drawingml/2006/picture">
                <pic:pic>
                  <pic:nvPicPr>
                    <pic:cNvPr descr="pic/测试网添加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连接钱包"/>
    <w:p>
      <w:pPr>
        <w:pStyle w:val="Heading3"/>
      </w:pPr>
      <w:r>
        <w:t xml:space="preserve">2. 连接钱包</w:t>
      </w:r>
    </w:p>
    <w:p>
      <w:pPr>
        <w:pStyle w:val="Compact"/>
        <w:numPr>
          <w:ilvl w:val="0"/>
          <w:numId w:val="1003"/>
        </w:numPr>
      </w:pPr>
      <w:r>
        <w:t xml:space="preserve">打开玩家端，点击右上角「连接钱包」，选择 BSC 测试网（或正式部署后的主网）。</w:t>
      </w:r>
    </w:p>
    <w:p>
      <w:pPr>
        <w:pStyle w:val="Compact"/>
        <w:numPr>
          <w:ilvl w:val="0"/>
          <w:numId w:val="1003"/>
        </w:numPr>
      </w:pPr>
      <w:r>
        <w:t xml:space="preserve">成功连接后，界面会显示当前账号缩写。</w:t>
      </w:r>
    </w:p>
    <w:bookmarkEnd w:id="24"/>
    <w:bookmarkStart w:id="28" w:name="购票步骤"/>
    <w:p>
      <w:pPr>
        <w:pStyle w:val="Heading3"/>
      </w:pPr>
      <w:r>
        <w:t xml:space="preserve">3. 购票步骤</w:t>
      </w:r>
    </w:p>
    <w:p>
      <w:pPr>
        <w:pStyle w:val="Compact"/>
        <w:numPr>
          <w:ilvl w:val="0"/>
          <w:numId w:val="1004"/>
        </w:numPr>
      </w:pPr>
      <w:r>
        <w:t xml:space="preserve">在「购票中心」选择 1/10/100/1000 张；如有推荐人，在「推荐人地址」填入上级地址（示例：</w:t>
      </w:r>
      <w:r>
        <w:rPr>
          <w:rStyle w:val="VerbatimChar"/>
        </w:rPr>
        <w:t xml:space="preserve">0x2cf5⋯</w:t>
      </w:r>
      <w:r>
        <w:t xml:space="preserve">）。</w:t>
      </w:r>
    </w:p>
    <w:p>
      <w:pPr>
        <w:pStyle w:val="Compact"/>
        <w:numPr>
          <w:ilvl w:val="0"/>
          <w:numId w:val="1004"/>
        </w:numPr>
      </w:pPr>
      <w:r>
        <w:t xml:space="preserve">确保本次购票金额 ≥ 空投门槛（默认 1 USDT），否则不会增加抽奖概率。</w:t>
      </w:r>
    </w:p>
    <w:p>
      <w:pPr>
        <w:pStyle w:val="Compact"/>
        <w:numPr>
          <w:ilvl w:val="0"/>
          <w:numId w:val="1004"/>
        </w:numPr>
      </w:pPr>
      <w:r>
        <w:t xml:space="preserve">若担心票价浮动，在「最大可接受成本」输入上限。</w:t>
      </w:r>
    </w:p>
    <w:p>
      <w:pPr>
        <w:pStyle w:val="Compact"/>
        <w:numPr>
          <w:ilvl w:val="0"/>
          <w:numId w:val="1004"/>
        </w:numPr>
      </w:pPr>
      <w:r>
        <w:t xml:space="preserve">点击购票按钮，钱包弹窗确认即可；系统会自动结算分红、推广、空投。</w:t>
      </w:r>
    </w:p>
    <w:p>
      <w:pPr>
        <w:pStyle w:val="BlockText"/>
      </w:pPr>
      <w:r>
        <w:t xml:space="preserve">示例推荐关系：</w:t>
      </w:r>
      <w:r>
        <w:br/>
      </w:r>
      <w:r>
        <w:t xml:space="preserve">买票人：</w:t>
      </w:r>
      <w:r>
        <w:rPr>
          <w:rStyle w:val="VerbatimChar"/>
        </w:rPr>
        <w:t xml:space="preserve">0x122e268a49b3b617af62be87393b214894c7a674</w:t>
      </w:r>
      <w:r>
        <w:br/>
      </w:r>
      <w:r>
        <w:t xml:space="preserve">直推：</w:t>
      </w:r>
      <w:r>
        <w:rPr>
          <w:rStyle w:val="VerbatimChar"/>
        </w:rPr>
        <w:t xml:space="preserve">0x2cf5446b1d01fbf0be6e895f1c26b2a6a40ad3d7</w:t>
      </w:r>
      <w:r>
        <w:br/>
      </w:r>
      <w:r>
        <w:t xml:space="preserve">间推：</w:t>
      </w:r>
      <w:r>
        <w:rPr>
          <w:rStyle w:val="VerbatimChar"/>
        </w:rPr>
        <w:t xml:space="preserve">0xb8ee25e6f4e993406180fe9fdfca0c935605a39c</w:t>
      </w:r>
    </w:p>
    <w:p>
      <w:pPr>
        <w:pStyle w:val="FirstParagraph"/>
      </w:pPr>
      <w:r>
        <w:t xml:space="preserve">页面示例：</w:t>
      </w:r>
      <w:r>
        <w:br/>
      </w:r>
      <w:r>
        <w:drawing>
          <wp:inline>
            <wp:extent cx="5334000" cy="11559778"/>
            <wp:effectExtent b="0" l="0" r="0" t="0"/>
            <wp:docPr descr="购票界面" title="" id="26" name="Picture"/>
            <a:graphic>
              <a:graphicData uri="http://schemas.openxmlformats.org/drawingml/2006/picture">
                <pic:pic>
                  <pic:nvPicPr>
                    <pic:cNvPr descr="pic/购买门票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收益查看"/>
    <w:p>
      <w:pPr>
        <w:pStyle w:val="Heading3"/>
      </w:pPr>
      <w:r>
        <w:t xml:space="preserve">3. 收益查看</w:t>
      </w:r>
    </w:p>
    <w:p>
      <w:pPr>
        <w:pStyle w:val="Compact"/>
        <w:numPr>
          <w:ilvl w:val="0"/>
          <w:numId w:val="1005"/>
        </w:numPr>
      </w:pPr>
      <w:r>
        <w:t xml:space="preserve">「收益面板」显示三项：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总收益</w:t>
      </w:r>
      <w:r>
        <w:t xml:space="preserve">：当前可提的 USDT。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分红收益</w:t>
      </w:r>
      <w:r>
        <w:t xml:space="preserve">：未结算分红，点「提现收益」即可累加到总收益。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推广收益</w:t>
      </w:r>
      <w:r>
        <w:t xml:space="preserve">：直推/间推累计金额。</w:t>
      </w:r>
    </w:p>
    <w:p>
      <w:pPr>
        <w:pStyle w:val="Compact"/>
        <w:numPr>
          <w:ilvl w:val="0"/>
          <w:numId w:val="1005"/>
        </w:numPr>
      </w:pPr>
      <w:r>
        <w:t xml:space="preserve">「我的钱包」卡片提供快速提现：</w:t>
      </w:r>
    </w:p>
    <w:p>
      <w:pPr>
        <w:pStyle w:val="Compact"/>
        <w:numPr>
          <w:ilvl w:val="1"/>
          <w:numId w:val="1007"/>
        </w:numPr>
      </w:pPr>
      <w:r>
        <w:t xml:space="preserve">点击「提现 USDT」即可把总收益转回钱包。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若有空投奖励，点「提取空投奖励」领取。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「下一轮提示」会显示回合状态，如果显示“当前轮已结束”，请等待管理员结算并开启新一轮。</w:t>
      </w:r>
    </w:p>
    <w:p>
      <w:pPr>
        <w:pStyle w:val="FirstParagraph"/>
      </w:pPr>
      <w:r>
        <w:t xml:space="preserve">界面示例：</w:t>
      </w:r>
      <w:r>
        <w:br/>
      </w:r>
      <w:r>
        <w:drawing>
          <wp:inline>
            <wp:extent cx="5334000" cy="11559778"/>
            <wp:effectExtent b="0" l="0" r="0" t="0"/>
            <wp:docPr descr="收益面板" title="" id="30" name="Picture"/>
            <a:graphic>
              <a:graphicData uri="http://schemas.openxmlformats.org/drawingml/2006/picture">
                <pic:pic>
                  <pic:nvPicPr>
                    <pic:cNvPr descr="pic/查看收益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11559778"/>
            <wp:effectExtent b="0" l="0" r="0" t="0"/>
            <wp:docPr descr="可提现资金与空投" title="" id="33" name="Picture"/>
            <a:graphic>
              <a:graphicData uri="http://schemas.openxmlformats.org/drawingml/2006/picture">
                <pic:pic>
                  <pic:nvPicPr>
                    <pic:cNvPr descr="pic/可提现的资金和空投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空投信息"/>
    <w:p>
      <w:pPr>
        <w:pStyle w:val="Heading3"/>
      </w:pPr>
      <w:r>
        <w:t xml:space="preserve">4. 空投信息</w:t>
      </w:r>
    </w:p>
    <w:p>
      <w:pPr>
        <w:pStyle w:val="Compact"/>
        <w:numPr>
          <w:ilvl w:val="0"/>
          <w:numId w:val="1008"/>
        </w:numPr>
      </w:pPr>
      <w:r>
        <w:t xml:space="preserve">「空投挂单」会显示最近中奖者（地址 + 奖金 + 下一区块可领取），若显示“当前无挂单”说明还没人中奖或已结算。</w:t>
      </w:r>
    </w:p>
    <w:p>
      <w:pPr>
        <w:pStyle w:val="Compact"/>
        <w:numPr>
          <w:ilvl w:val="0"/>
          <w:numId w:val="1008"/>
        </w:numPr>
      </w:pPr>
      <w:r>
        <w:t xml:space="preserve">若中奖，需要等待至少 1 个区块，再点击「结算空投」或等待系统自动结算。</w:t>
      </w:r>
    </w:p>
    <w:bookmarkEnd w:id="36"/>
    <w:bookmarkStart w:id="40" w:name="邀请列表"/>
    <w:p>
      <w:pPr>
        <w:pStyle w:val="Heading3"/>
      </w:pPr>
      <w:r>
        <w:t xml:space="preserve">5. 邀请列表</w:t>
      </w:r>
    </w:p>
    <w:p>
      <w:pPr>
        <w:pStyle w:val="Compact"/>
        <w:numPr>
          <w:ilvl w:val="0"/>
          <w:numId w:val="1009"/>
        </w:numPr>
      </w:pPr>
      <w:r>
        <w:t xml:space="preserve">进入「邀请玩家」选项卡，可分页查看直推和间推地址，方便管理团队关系。</w:t>
      </w:r>
    </w:p>
    <w:p>
      <w:pPr>
        <w:pStyle w:val="FirstParagraph"/>
      </w:pPr>
      <w:r>
        <w:t xml:space="preserve">界面示例：</w:t>
      </w:r>
      <w:r>
        <w:br/>
      </w:r>
      <w:r>
        <w:drawing>
          <wp:inline>
            <wp:extent cx="5334000" cy="11559778"/>
            <wp:effectExtent b="0" l="0" r="0" t="0"/>
            <wp:docPr descr="邀请列表示例" title="" id="38" name="Picture"/>
            <a:graphic>
              <a:graphicData uri="http://schemas.openxmlformats.org/drawingml/2006/picture">
                <pic:pic>
                  <pic:nvPicPr>
                    <pic:cNvPr descr="pic/推荐列表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管理员流程"/>
    <w:p>
      <w:pPr>
        <w:pStyle w:val="Heading2"/>
      </w:pPr>
      <w:r>
        <w:t xml:space="preserve">管理员流程</w:t>
      </w:r>
    </w:p>
    <w:bookmarkStart w:id="42" w:name="连接后台"/>
    <w:p>
      <w:pPr>
        <w:pStyle w:val="Heading3"/>
      </w:pPr>
      <w:r>
        <w:t xml:space="preserve">1. 连接后台</w:t>
      </w:r>
    </w:p>
    <w:p>
      <w:pPr>
        <w:pStyle w:val="Compact"/>
        <w:numPr>
          <w:ilvl w:val="0"/>
          <w:numId w:val="1010"/>
        </w:numPr>
      </w:pPr>
      <w:r>
        <w:t xml:space="preserve">使用 Owner 钱包访问管理员端并点击「连接钱包」。非 Owner 无法编辑参数。</w:t>
      </w:r>
    </w:p>
    <w:bookmarkEnd w:id="42"/>
    <w:bookmarkStart w:id="49" w:name="基本配置"/>
    <w:p>
      <w:pPr>
        <w:pStyle w:val="Heading3"/>
      </w:pPr>
      <w:r>
        <w:t xml:space="preserve">2. 基本配置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票价参数</w:t>
      </w:r>
      <w:r>
        <w:t xml:space="preserve">：可调整基础价与递增价（默认 0.001 / 0.001）。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回合时间/冷却时间</w:t>
      </w:r>
      <w:r>
        <w:t xml:space="preserve">：默认 24 小时 / 1 小时，可按需求修改。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空投门槛</w:t>
      </w:r>
      <w:r>
        <w:t xml:space="preserve">：默认 1 USDT。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开发者国库地址</w:t>
      </w:r>
      <w:r>
        <w:t xml:space="preserve">：</w:t>
      </w:r>
      <w:r>
        <w:rPr>
          <w:rStyle w:val="VerbatimChar"/>
        </w:rPr>
        <w:t xml:space="preserve">0x8224fbbdc261759cbf861c16394a9141c5575c25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社区基金地址</w:t>
      </w:r>
      <w:r>
        <w:t xml:space="preserve">：</w:t>
      </w:r>
      <w:r>
        <w:rPr>
          <w:rStyle w:val="VerbatimChar"/>
        </w:rPr>
        <w:t xml:space="preserve">0xb11b018c1d6f093cbe5e50e76fd9ed4c70f90c79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空投预留账号（示例，可换成正式账号）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0x9e77389505ccd3d89e11109b3ec96d8458603ffe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0xdf122a018c12d6129205f98a8c8758f4f2ff37c3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0x02b6438f76d32d6195f25e122af0a71d9067f9f8</w:t>
      </w:r>
    </w:p>
    <w:p>
      <w:pPr>
        <w:pStyle w:val="FirstParagraph"/>
      </w:pPr>
      <w:r>
        <w:t xml:space="preserve">后台示例：</w:t>
      </w:r>
      <w:r>
        <w:br/>
      </w:r>
      <w:r>
        <w:drawing>
          <wp:inline>
            <wp:extent cx="5334000" cy="11559778"/>
            <wp:effectExtent b="0" l="0" r="0" t="0"/>
            <wp:docPr descr="管理员页面配置" title="" id="44" name="Picture"/>
            <a:graphic>
              <a:graphicData uri="http://schemas.openxmlformats.org/drawingml/2006/picture">
                <pic:pic>
                  <pic:nvPicPr>
                    <pic:cNvPr descr="pic/管理员页面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11559778"/>
            <wp:effectExtent b="0" l="0" r="0" t="0"/>
            <wp:docPr descr="管理员页面操作" title="" id="47" name="Picture"/>
            <a:graphic>
              <a:graphicData uri="http://schemas.openxmlformats.org/drawingml/2006/picture">
                <pic:pic>
                  <pic:nvPicPr>
                    <pic:cNvPr descr="pic/管理员页面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注资与回收"/>
    <w:p>
      <w:pPr>
        <w:pStyle w:val="Heading3"/>
      </w:pPr>
      <w:r>
        <w:t xml:space="preserve">3. 注资与回收</w:t>
      </w:r>
    </w:p>
    <w:p>
      <w:pPr>
        <w:pStyle w:val="Compact"/>
        <w:numPr>
          <w:ilvl w:val="0"/>
          <w:numId w:val="1013"/>
        </w:numPr>
      </w:pPr>
      <w:r>
        <w:t xml:space="preserve">「注入奖池或空投」：输入金额并选择方向（奖池/空投）后提交，合约会从管理员钱包划转相应 USDT。</w:t>
      </w:r>
    </w:p>
    <w:p>
      <w:pPr>
        <w:pStyle w:val="Compact"/>
        <w:numPr>
          <w:ilvl w:val="0"/>
          <w:numId w:val="1013"/>
        </w:numPr>
      </w:pPr>
      <w:r>
        <w:t xml:space="preserve">「回收合约中的任意代币」：输入代币地址与数量，执行后可将合约中多余资产转回管理员钱包。</w:t>
      </w:r>
    </w:p>
    <w:bookmarkEnd w:id="50"/>
    <w:bookmarkStart w:id="51" w:name="回合管理"/>
    <w:p>
      <w:pPr>
        <w:pStyle w:val="Heading3"/>
      </w:pPr>
      <w:r>
        <w:t xml:space="preserve">4. 回合管理</w:t>
      </w:r>
    </w:p>
    <w:p>
      <w:pPr>
        <w:pStyle w:val="Compact"/>
        <w:numPr>
          <w:ilvl w:val="0"/>
          <w:numId w:val="1014"/>
        </w:numPr>
      </w:pPr>
      <w:r>
        <w:t xml:space="preserve">若玩家端显示“当前轮已结束”，请先点击后台的「结算当前轮」按钮，系统会按 50%/25%/15%/10% 分配奖池。</w:t>
      </w:r>
    </w:p>
    <w:p>
      <w:pPr>
        <w:pStyle w:val="Compact"/>
        <w:numPr>
          <w:ilvl w:val="0"/>
          <w:numId w:val="1014"/>
        </w:numPr>
      </w:pPr>
      <w:r>
        <w:t xml:space="preserve">结算完成后，点击「开启下一轮」，新的回合立即开始。</w:t>
      </w:r>
    </w:p>
    <w:p>
      <w:pPr>
        <w:pStyle w:val="Compact"/>
        <w:numPr>
          <w:ilvl w:val="0"/>
          <w:numId w:val="1014"/>
        </w:numPr>
      </w:pPr>
      <w:r>
        <w:t xml:space="preserve">当 25% 排行榜奖励发放完毕，新一轮的排行榜会自动清零、重新统计。</w:t>
      </w:r>
    </w:p>
    <w:bookmarkEnd w:id="51"/>
    <w:bookmarkStart w:id="52" w:name="切换空投代币如有需要"/>
    <w:p>
      <w:pPr>
        <w:pStyle w:val="Heading3"/>
      </w:pPr>
      <w:r>
        <w:t xml:space="preserve">5. 切换空投代币（如有需要）</w:t>
      </w:r>
    </w:p>
    <w:p>
      <w:pPr>
        <w:pStyle w:val="Compact"/>
        <w:numPr>
          <w:ilvl w:val="0"/>
          <w:numId w:val="1015"/>
        </w:numPr>
      </w:pPr>
      <w:r>
        <w:t xml:space="preserve">确保空投池和</w:t>
      </w:r>
      <w:r>
        <w:t xml:space="preserve"> </w:t>
      </w:r>
      <w:r>
        <w:rPr>
          <w:rStyle w:val="VerbatimChar"/>
        </w:rPr>
        <w:t xml:space="preserve">pendingAirdropRewards</w:t>
      </w:r>
      <w:r>
        <w:t xml:space="preserve"> </w:t>
      </w:r>
      <w:r>
        <w:t xml:space="preserve">都为 0。</w:t>
      </w:r>
    </w:p>
    <w:p>
      <w:pPr>
        <w:pStyle w:val="Compact"/>
        <w:numPr>
          <w:ilvl w:val="0"/>
          <w:numId w:val="1015"/>
        </w:numPr>
      </w:pPr>
      <w:r>
        <w:t xml:space="preserve">输入新的代币合约地址，点击「切换空投代币」。</w:t>
      </w:r>
    </w:p>
    <w:p>
      <w:pPr>
        <w:pStyle w:val="Compact"/>
        <w:numPr>
          <w:ilvl w:val="0"/>
          <w:numId w:val="1015"/>
        </w:numPr>
      </w:pPr>
      <w:r>
        <w:t xml:space="preserve">立即通过「注入空投」补充等值新代币，保证 1:1 发放。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通过以上步骤，即可完成完整的玩家购票、收益查看、空投领取流程，以及管理员的调参、注资、结算与新轮开启。整个操作不需要修改代码，只需按照页面提示点击对应按钮即可。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测试数据与地址请勿暴露生产环境"/>
    <w:p>
      <w:pPr>
        <w:pStyle w:val="Heading2"/>
      </w:pPr>
      <w:r>
        <w:t xml:space="preserve">测试数据与地址（请勿暴露生产环境）</w:t>
      </w:r>
    </w:p>
    <w:p>
      <w:pPr>
        <w:pStyle w:val="BlockText"/>
      </w:pPr>
      <w:r>
        <w:t xml:space="preserve">仅供测试使用，包含私钥和敏感地址，请勿泄露或在主网使用。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管理员地址</w:t>
      </w:r>
      <w:r>
        <w:t xml:space="preserve">：</w:t>
      </w:r>
      <w:r>
        <w:rPr>
          <w:rStyle w:val="VerbatimChar"/>
        </w:rPr>
        <w:t xml:space="preserve">0x6c62d0c68071335f6fdf7bfe7d866659ad1b0061</w:t>
      </w:r>
      <w:r>
        <w:br/>
      </w:r>
      <w:r>
        <w:rPr>
          <w:b/>
          <w:bCs/>
        </w:rPr>
        <w:t xml:space="preserve">管理员私钥</w:t>
      </w:r>
      <w:r>
        <w:t xml:space="preserve">：</w:t>
      </w:r>
      <w:r>
        <w:rPr>
          <w:rStyle w:val="VerbatimChar"/>
        </w:rPr>
        <w:t xml:space="preserve">7cc046fe6c3a6528d9861d1d162edadb90cd818a584c705d172b7d619bdde140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开发者国库地址</w:t>
      </w:r>
      <w:r>
        <w:t xml:space="preserve">：</w:t>
      </w:r>
      <w:r>
        <w:rPr>
          <w:rStyle w:val="VerbatimChar"/>
        </w:rPr>
        <w:t xml:space="preserve">0x8224fbbdc261759cbf861c16394a9141c5575c25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d74168aed1725675c2041c4d34bdfa32530ee6575241354ef6b84963a571e59c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社区基金地址</w:t>
      </w:r>
      <w:r>
        <w:t xml:space="preserve">：</w:t>
      </w:r>
      <w:r>
        <w:rPr>
          <w:rStyle w:val="VerbatimChar"/>
        </w:rPr>
        <w:t xml:space="preserve">0xb11b018c1d6f093cbe5e50e76fd9ed4c70f90c79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9e7d9b96c2306237b8c1ff8ee4094c03761b835f183f6519b3a7567f7c4bcd02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USDT 测试代币地址</w:t>
      </w:r>
      <w:r>
        <w:t xml:space="preserve">：</w:t>
      </w:r>
      <w:r>
        <w:rPr>
          <w:rStyle w:val="VerbatimChar"/>
        </w:rPr>
        <w:t xml:space="preserve">0x26dd16D5B9708032872a7cD10C100b0FcE4E79a9</w:t>
      </w:r>
    </w:p>
    <w:bookmarkStart w:id="54" w:name="推荐关系测试地址"/>
    <w:p>
      <w:pPr>
        <w:pStyle w:val="Heading3"/>
      </w:pPr>
      <w:r>
        <w:t xml:space="preserve">推荐关系测试地址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买票人</w:t>
      </w:r>
      <w:r>
        <w:t xml:space="preserve">：</w:t>
      </w:r>
      <w:r>
        <w:rPr>
          <w:rStyle w:val="VerbatimChar"/>
        </w:rPr>
        <w:t xml:space="preserve">0x122e268a49b3b617af62be87393b214894c7a674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89cc918e6bdb4c46c49c8a3c5f2807f98f55109fa64d088fcbdef6099a47a89a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邀请人（直推）</w:t>
      </w:r>
      <w:r>
        <w:t xml:space="preserve">：</w:t>
      </w:r>
      <w:r>
        <w:rPr>
          <w:rStyle w:val="VerbatimChar"/>
        </w:rPr>
        <w:t xml:space="preserve">0x2cf5446b1d01fbf0be6e895f1c26b2a6a40ad3d7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113f848e2c433dcefd7bd62227fcda34269e12f138ebf430189277a63ecbdacb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间接邀请人</w:t>
      </w:r>
      <w:r>
        <w:t xml:space="preserve">：</w:t>
      </w:r>
      <w:r>
        <w:rPr>
          <w:rStyle w:val="VerbatimChar"/>
        </w:rPr>
        <w:t xml:space="preserve">0xb8ee25e6f4e993406180fe9fdfca0c935605a39c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fa3cdf14159a270ca6da44567b3d99dfcbe007f42b8bceab62e01110fc57ba84</w:t>
      </w:r>
    </w:p>
    <w:bookmarkEnd w:id="54"/>
    <w:bookmarkStart w:id="55" w:name="管理员预置空投地址"/>
    <w:p>
      <w:pPr>
        <w:pStyle w:val="Heading3"/>
      </w:pPr>
      <w:r>
        <w:t xml:space="preserve">管理员预置空投地址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0x9e77389505ccd3d89e11109b3ec96d8458603ffe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418fd094258cd4f17e8ad197fe07e15321c3f07deac1b59cea98cf6342ae4549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0xdf122a018c12d6129205f98a8c8758f4f2ff37c3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1fe977553945e7a7d960654020cb8b378229bf42607ad174616732ba04886533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0x02b6438f76d32d6195f25e122af0a71d9067f9f8</w:t>
      </w:r>
      <w:r>
        <w:br/>
      </w:r>
      <w:r>
        <w:rPr>
          <w:b/>
          <w:bCs/>
        </w:rPr>
        <w:t xml:space="preserve">私钥</w:t>
      </w:r>
      <w:r>
        <w:t xml:space="preserve">：</w:t>
      </w:r>
      <w:r>
        <w:rPr>
          <w:rStyle w:val="VerbatimChar"/>
        </w:rPr>
        <w:t xml:space="preserve">93bc67ddaea266c3fcba97d2fd146972d8f60d52d5e4cc0d0e7cdb5604cab442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29" Target="media/rId29.jpg" /><Relationship Type="http://schemas.openxmlformats.org/officeDocument/2006/relationships/image" Id="rId20" Target="media/rId2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2025-11-26T03:39:35Z</dcterms:created>
  <dcterms:modified xsi:type="dcterms:W3CDTF">2025-11-26T03:39:35Z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