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BFE5C" w14:textId="77777777" w:rsidR="00626296" w:rsidRDefault="00626296" w:rsidP="0015217A">
      <w:pPr>
        <w:jc w:val="center"/>
        <w:rPr>
          <w:b/>
          <w:bCs/>
        </w:rPr>
      </w:pPr>
    </w:p>
    <w:p w14:paraId="3D706600" w14:textId="77777777" w:rsidR="00626296" w:rsidRDefault="00626296" w:rsidP="0015217A">
      <w:pPr>
        <w:jc w:val="center"/>
        <w:rPr>
          <w:b/>
          <w:bCs/>
        </w:rPr>
      </w:pPr>
    </w:p>
    <w:p w14:paraId="27F287EB" w14:textId="77777777" w:rsidR="00626296" w:rsidRDefault="00626296" w:rsidP="0015217A">
      <w:pPr>
        <w:jc w:val="center"/>
        <w:rPr>
          <w:b/>
          <w:bCs/>
        </w:rPr>
      </w:pPr>
    </w:p>
    <w:p w14:paraId="41815CCA" w14:textId="77777777" w:rsidR="00626296" w:rsidRDefault="00626296" w:rsidP="0015217A">
      <w:pPr>
        <w:jc w:val="center"/>
        <w:rPr>
          <w:b/>
          <w:bCs/>
        </w:rPr>
      </w:pPr>
    </w:p>
    <w:p w14:paraId="7518CCE4" w14:textId="77777777" w:rsidR="00626296" w:rsidRDefault="00626296" w:rsidP="0015217A">
      <w:pPr>
        <w:jc w:val="center"/>
        <w:rPr>
          <w:b/>
          <w:bCs/>
        </w:rPr>
      </w:pPr>
    </w:p>
    <w:p w14:paraId="6E67927F" w14:textId="77777777" w:rsidR="00626296" w:rsidRDefault="00626296" w:rsidP="0015217A">
      <w:pPr>
        <w:jc w:val="center"/>
        <w:rPr>
          <w:b/>
          <w:bCs/>
        </w:rPr>
      </w:pPr>
    </w:p>
    <w:p w14:paraId="48596430" w14:textId="77777777" w:rsidR="00626296" w:rsidRDefault="00626296" w:rsidP="0015217A">
      <w:pPr>
        <w:jc w:val="center"/>
        <w:rPr>
          <w:b/>
          <w:bCs/>
        </w:rPr>
      </w:pPr>
    </w:p>
    <w:p w14:paraId="5213AED6" w14:textId="77777777" w:rsidR="00626296" w:rsidRDefault="00626296" w:rsidP="0015217A">
      <w:pPr>
        <w:jc w:val="center"/>
        <w:rPr>
          <w:b/>
          <w:bCs/>
        </w:rPr>
      </w:pPr>
    </w:p>
    <w:p w14:paraId="738A5CE8" w14:textId="77777777" w:rsidR="00626296" w:rsidRDefault="00626296" w:rsidP="0015217A">
      <w:pPr>
        <w:jc w:val="center"/>
        <w:rPr>
          <w:b/>
          <w:bCs/>
        </w:rPr>
      </w:pPr>
    </w:p>
    <w:p w14:paraId="11541713" w14:textId="77777777" w:rsidR="00626296" w:rsidRDefault="00626296" w:rsidP="0015217A">
      <w:pPr>
        <w:jc w:val="center"/>
        <w:rPr>
          <w:b/>
          <w:bCs/>
        </w:rPr>
      </w:pPr>
    </w:p>
    <w:p w14:paraId="5AF97293" w14:textId="1E1B1DD4" w:rsidR="00E4255E" w:rsidRPr="0015217A" w:rsidRDefault="00E4255E" w:rsidP="0015217A">
      <w:pPr>
        <w:jc w:val="center"/>
        <w:rPr>
          <w:b/>
          <w:bCs/>
        </w:rPr>
      </w:pPr>
      <w:r w:rsidRPr="0015217A">
        <w:rPr>
          <w:b/>
          <w:bCs/>
        </w:rPr>
        <w:t>Text Analysis with Python</w:t>
      </w:r>
    </w:p>
    <w:p w14:paraId="30848A75" w14:textId="77777777" w:rsidR="0015217A" w:rsidRDefault="0015217A" w:rsidP="0015217A">
      <w:pPr>
        <w:jc w:val="center"/>
      </w:pPr>
    </w:p>
    <w:p w14:paraId="5BE7A093" w14:textId="77777777" w:rsidR="0015217A" w:rsidRDefault="0015217A" w:rsidP="0015217A">
      <w:pPr>
        <w:jc w:val="center"/>
      </w:pPr>
    </w:p>
    <w:p w14:paraId="31E48E00" w14:textId="32C3BC21" w:rsidR="0015217A" w:rsidRDefault="0015217A" w:rsidP="0015217A">
      <w:pPr>
        <w:jc w:val="center"/>
      </w:pPr>
      <w:r>
        <w:t>Michael A. Adams</w:t>
      </w:r>
    </w:p>
    <w:p w14:paraId="3307024E" w14:textId="743BED18" w:rsidR="0015217A" w:rsidRDefault="0015217A" w:rsidP="0015217A">
      <w:pPr>
        <w:jc w:val="center"/>
      </w:pPr>
      <w:r>
        <w:t>University of Maryland Global Campus</w:t>
      </w:r>
    </w:p>
    <w:p w14:paraId="372A2662" w14:textId="643D153B" w:rsidR="0015217A" w:rsidRDefault="0015217A" w:rsidP="0015217A">
      <w:pPr>
        <w:jc w:val="center"/>
      </w:pPr>
      <w:r>
        <w:t>Data 620 9080 Data Management and Visualization (2242)</w:t>
      </w:r>
    </w:p>
    <w:p w14:paraId="2580AD64" w14:textId="78DD5734" w:rsidR="0015217A" w:rsidRDefault="0015217A" w:rsidP="0015217A">
      <w:pPr>
        <w:jc w:val="center"/>
      </w:pPr>
      <w:r>
        <w:t>Dr. Rosiji Ajayi</w:t>
      </w:r>
    </w:p>
    <w:p w14:paraId="40543200" w14:textId="18AE2C4F" w:rsidR="0015217A" w:rsidRDefault="0015217A" w:rsidP="0015217A">
      <w:pPr>
        <w:jc w:val="center"/>
      </w:pPr>
      <w:r>
        <w:t>May 7</w:t>
      </w:r>
      <w:r w:rsidR="00FC267A">
        <w:t>, 2024</w:t>
      </w:r>
    </w:p>
    <w:p w14:paraId="66A2D737" w14:textId="77777777" w:rsidR="00CD7997" w:rsidRDefault="00CD7997" w:rsidP="0015217A">
      <w:pPr>
        <w:jc w:val="center"/>
      </w:pPr>
    </w:p>
    <w:p w14:paraId="4B6DCD1B" w14:textId="77777777" w:rsidR="00CD7997" w:rsidRDefault="00CD7997" w:rsidP="0015217A">
      <w:pPr>
        <w:jc w:val="center"/>
      </w:pPr>
    </w:p>
    <w:p w14:paraId="3087E473" w14:textId="77777777" w:rsidR="00CD7997" w:rsidRDefault="00CD7997" w:rsidP="0015217A">
      <w:pPr>
        <w:jc w:val="center"/>
      </w:pPr>
    </w:p>
    <w:p w14:paraId="74E01375" w14:textId="77777777" w:rsidR="00CD7997" w:rsidRDefault="00CD7997" w:rsidP="0015217A">
      <w:pPr>
        <w:jc w:val="center"/>
      </w:pPr>
    </w:p>
    <w:p w14:paraId="5B14F3B5" w14:textId="77777777" w:rsidR="00CD7997" w:rsidRDefault="00CD7997" w:rsidP="0015217A">
      <w:pPr>
        <w:jc w:val="center"/>
      </w:pPr>
    </w:p>
    <w:p w14:paraId="2F02FE32" w14:textId="77777777" w:rsidR="00CD7997" w:rsidRDefault="00CD7997" w:rsidP="0015217A">
      <w:pPr>
        <w:jc w:val="center"/>
      </w:pPr>
    </w:p>
    <w:p w14:paraId="13E26642" w14:textId="77777777" w:rsidR="00CD7997" w:rsidRDefault="00CD7997" w:rsidP="0015217A">
      <w:pPr>
        <w:jc w:val="center"/>
      </w:pPr>
    </w:p>
    <w:p w14:paraId="2B14AA90" w14:textId="77777777" w:rsidR="00CD7997" w:rsidRDefault="00CD7997" w:rsidP="0015217A">
      <w:pPr>
        <w:jc w:val="center"/>
      </w:pPr>
    </w:p>
    <w:p w14:paraId="78F28FE5" w14:textId="77777777" w:rsidR="00CD7997" w:rsidRDefault="00CD7997" w:rsidP="0015217A">
      <w:pPr>
        <w:jc w:val="center"/>
      </w:pPr>
    </w:p>
    <w:p w14:paraId="181CDF51" w14:textId="77777777" w:rsidR="00626296" w:rsidRDefault="00626296" w:rsidP="00626296"/>
    <w:p w14:paraId="2664BEC7" w14:textId="6205EB33" w:rsidR="00626296" w:rsidRPr="00626296" w:rsidRDefault="00626296" w:rsidP="00626296">
      <w:pPr>
        <w:rPr>
          <w:b/>
          <w:bCs/>
        </w:rPr>
      </w:pPr>
      <w:r w:rsidRPr="00626296">
        <w:rPr>
          <w:b/>
          <w:bCs/>
        </w:rPr>
        <w:lastRenderedPageBreak/>
        <w:t>Executive Summary</w:t>
      </w:r>
    </w:p>
    <w:p w14:paraId="01F796DD" w14:textId="10ECB899" w:rsidR="00626296" w:rsidRPr="00626296" w:rsidRDefault="00626296" w:rsidP="00626296">
      <w:r w:rsidRPr="00626296">
        <w:rPr>
          <w:b/>
          <w:bCs/>
        </w:rPr>
        <w:t>Company:</w:t>
      </w:r>
      <w:r w:rsidRPr="00626296">
        <w:t xml:space="preserve"> </w:t>
      </w:r>
      <w:r>
        <w:t>UMGC</w:t>
      </w:r>
    </w:p>
    <w:p w14:paraId="1263431A" w14:textId="01799275" w:rsidR="00626296" w:rsidRPr="00626296" w:rsidRDefault="00626296" w:rsidP="00626296">
      <w:r w:rsidRPr="00626296">
        <w:rPr>
          <w:b/>
          <w:bCs/>
        </w:rPr>
        <w:t>Data Source:</w:t>
      </w:r>
      <w:r w:rsidRPr="00626296">
        <w:t xml:space="preserve"> [</w:t>
      </w:r>
      <w:r w:rsidR="001B60F5">
        <w:t>NVIDIA</w:t>
      </w:r>
      <w:r w:rsidRPr="00626296">
        <w:t xml:space="preserve"> Letters to Shareholders]</w:t>
      </w:r>
    </w:p>
    <w:p w14:paraId="0511F360" w14:textId="2243910C" w:rsidR="00626296" w:rsidRPr="00626296" w:rsidRDefault="00626296" w:rsidP="00626296">
      <w:r w:rsidRPr="00626296">
        <w:rPr>
          <w:b/>
          <w:bCs/>
        </w:rPr>
        <w:t>Time Periods Analyzed:</w:t>
      </w:r>
      <w:r w:rsidRPr="00626296">
        <w:t xml:space="preserve"> </w:t>
      </w:r>
      <w:r w:rsidR="001B60F5">
        <w:t xml:space="preserve">2011, 2016, </w:t>
      </w:r>
      <w:proofErr w:type="gramStart"/>
      <w:r w:rsidR="001B60F5">
        <w:t>2022</w:t>
      </w:r>
      <w:proofErr w:type="gramEnd"/>
    </w:p>
    <w:p w14:paraId="1CB25376" w14:textId="77777777" w:rsidR="00626296" w:rsidRPr="00626296" w:rsidRDefault="00626296" w:rsidP="00626296">
      <w:r w:rsidRPr="00626296">
        <w:rPr>
          <w:b/>
          <w:bCs/>
        </w:rPr>
        <w:t>Introduction</w:t>
      </w:r>
    </w:p>
    <w:p w14:paraId="0038A871" w14:textId="551B4CA3" w:rsidR="00626296" w:rsidRPr="00626296" w:rsidRDefault="00626296" w:rsidP="00626296">
      <w:r w:rsidRPr="00626296">
        <w:t>This executive summary presents key findings from a comprehensive analysis of text data spanning [</w:t>
      </w:r>
      <w:r w:rsidR="001B60F5">
        <w:t>3</w:t>
      </w:r>
      <w:r w:rsidRPr="00626296">
        <w:t>] distinct time periods for [</w:t>
      </w:r>
      <w:r w:rsidR="001B60F5">
        <w:t>NVIDIA</w:t>
      </w:r>
      <w:r w:rsidRPr="00626296">
        <w:t>]. Utilizing Python for text processing and Tableau for data visualization, we aimed to identify significant trends and their potential impact on the company's future. This report focuses on uncovering valuable business insights from the changing language used within the chosen data source.</w:t>
      </w:r>
    </w:p>
    <w:p w14:paraId="18A2B0F9" w14:textId="77777777" w:rsidR="00626296" w:rsidRPr="00626296" w:rsidRDefault="00626296" w:rsidP="00626296">
      <w:r w:rsidRPr="00626296">
        <w:rPr>
          <w:b/>
          <w:bCs/>
        </w:rPr>
        <w:t>Key Findings</w:t>
      </w:r>
    </w:p>
    <w:p w14:paraId="346C0398" w14:textId="60A32984" w:rsidR="00626296" w:rsidRPr="00626296" w:rsidRDefault="00626296" w:rsidP="00626296">
      <w:pPr>
        <w:numPr>
          <w:ilvl w:val="0"/>
          <w:numId w:val="1"/>
        </w:numPr>
      </w:pPr>
      <w:r w:rsidRPr="00626296">
        <w:rPr>
          <w:b/>
          <w:bCs/>
        </w:rPr>
        <w:t>Shifting Priorities:</w:t>
      </w:r>
      <w:r w:rsidRPr="00626296">
        <w:t xml:space="preserve"> Our analysis revealed a clear shift in the company's focus from [top word 2] to [top word 3] over the analyzed timeframes. This trend, evident in the increasing prominence of [top word 3] within the data, suggests a strategic move towards change in focus</w:t>
      </w:r>
      <w:r w:rsidR="00E85BD9">
        <w:t xml:space="preserve"> to AI</w:t>
      </w:r>
      <w:r w:rsidRPr="00626296">
        <w:t>. By prioritizing [top word 3], the company positions itself to capitalize on emerging market opportunities and address evolving customer needs.</w:t>
      </w:r>
    </w:p>
    <w:p w14:paraId="2ED2BCD6" w14:textId="77777777" w:rsidR="00626296" w:rsidRPr="00626296" w:rsidRDefault="00626296" w:rsidP="00626296">
      <w:pPr>
        <w:numPr>
          <w:ilvl w:val="0"/>
          <w:numId w:val="1"/>
        </w:numPr>
      </w:pPr>
      <w:r w:rsidRPr="00626296">
        <w:rPr>
          <w:b/>
          <w:bCs/>
        </w:rPr>
        <w:t>Evolving Landscape:</w:t>
      </w:r>
      <w:r w:rsidRPr="00626296">
        <w:t xml:space="preserve"> The analysis identified the growing importance of [top word 1]. The frequency of [top word 1] within the data significantly increased across the periods, indicating its rising prominence within the company's strategy. This trend highlights the crucial role of [explain the impact of top word 1 on the business] in the company's future success.</w:t>
      </w:r>
    </w:p>
    <w:p w14:paraId="65A328E5" w14:textId="77777777" w:rsidR="00626296" w:rsidRPr="00626296" w:rsidRDefault="00626296" w:rsidP="00626296">
      <w:pPr>
        <w:numPr>
          <w:ilvl w:val="0"/>
          <w:numId w:val="1"/>
        </w:numPr>
      </w:pPr>
      <w:r w:rsidRPr="00626296">
        <w:rPr>
          <w:b/>
          <w:bCs/>
        </w:rPr>
        <w:t>Actionable Insights:</w:t>
      </w:r>
      <w:r w:rsidRPr="00626296">
        <w:t xml:space="preserve"> The identified trends offer valuable insights for [decision-makers, e.g., company executives] to capitalize on emerging opportunities. By strategically leveraging [top word 3] and effectively integrating [top word 1] into operations, the company can:</w:t>
      </w:r>
    </w:p>
    <w:p w14:paraId="3F64BA26" w14:textId="77777777" w:rsidR="00626296" w:rsidRPr="00626296" w:rsidRDefault="00626296" w:rsidP="00626296">
      <w:pPr>
        <w:numPr>
          <w:ilvl w:val="1"/>
          <w:numId w:val="1"/>
        </w:numPr>
      </w:pPr>
      <w:r w:rsidRPr="00626296">
        <w:t>[Actionable outcome 1]: This action will directly address the identified trend and its implications.</w:t>
      </w:r>
    </w:p>
    <w:p w14:paraId="16461F4C" w14:textId="77777777" w:rsidR="00626296" w:rsidRPr="00626296" w:rsidRDefault="00626296" w:rsidP="00626296">
      <w:pPr>
        <w:numPr>
          <w:ilvl w:val="1"/>
          <w:numId w:val="1"/>
        </w:numPr>
      </w:pPr>
      <w:r w:rsidRPr="00626296">
        <w:t>[Actionable outcome 2]: This action will further capitalize on the identified trend for improved business performance.</w:t>
      </w:r>
    </w:p>
    <w:p w14:paraId="6203B3A1" w14:textId="77777777" w:rsidR="0056093B" w:rsidRDefault="0056093B" w:rsidP="00830C3F">
      <w:pPr>
        <w:rPr>
          <w:b/>
          <w:bCs/>
        </w:rPr>
      </w:pPr>
    </w:p>
    <w:p w14:paraId="32200046" w14:textId="77777777" w:rsidR="0056093B" w:rsidRDefault="0056093B" w:rsidP="00830C3F">
      <w:pPr>
        <w:rPr>
          <w:b/>
          <w:bCs/>
        </w:rPr>
      </w:pPr>
    </w:p>
    <w:p w14:paraId="6411C9F2" w14:textId="77777777" w:rsidR="0056093B" w:rsidRDefault="0056093B" w:rsidP="00830C3F">
      <w:pPr>
        <w:rPr>
          <w:b/>
          <w:bCs/>
        </w:rPr>
      </w:pPr>
    </w:p>
    <w:p w14:paraId="717FCE36" w14:textId="77777777" w:rsidR="0056093B" w:rsidRDefault="0056093B" w:rsidP="00830C3F">
      <w:pPr>
        <w:rPr>
          <w:b/>
          <w:bCs/>
        </w:rPr>
      </w:pPr>
    </w:p>
    <w:p w14:paraId="57BE9EA6" w14:textId="77777777" w:rsidR="0056093B" w:rsidRDefault="0056093B" w:rsidP="00830C3F">
      <w:pPr>
        <w:rPr>
          <w:b/>
          <w:bCs/>
        </w:rPr>
      </w:pPr>
    </w:p>
    <w:p w14:paraId="463B6E7F" w14:textId="6C01F85D" w:rsidR="00830C3F" w:rsidRDefault="00E85BD9" w:rsidP="00830C3F">
      <w:r>
        <w:rPr>
          <w:noProof/>
        </w:rPr>
        <w:lastRenderedPageBreak/>
        <w:drawing>
          <wp:anchor distT="0" distB="0" distL="114300" distR="114300" simplePos="0" relativeHeight="251658240" behindDoc="0" locked="0" layoutInCell="1" allowOverlap="1" wp14:anchorId="7DE05770" wp14:editId="0565139B">
            <wp:simplePos x="0" y="0"/>
            <wp:positionH relativeFrom="margin">
              <wp:posOffset>0</wp:posOffset>
            </wp:positionH>
            <wp:positionV relativeFrom="paragraph">
              <wp:posOffset>234950</wp:posOffset>
            </wp:positionV>
            <wp:extent cx="4138930" cy="4417695"/>
            <wp:effectExtent l="0" t="0" r="0" b="1905"/>
            <wp:wrapSquare wrapText="bothSides"/>
            <wp:docPr id="1214027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27167"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t="5058"/>
                    <a:stretch/>
                  </pic:blipFill>
                  <pic:spPr bwMode="auto">
                    <a:xfrm>
                      <a:off x="0" y="0"/>
                      <a:ext cx="4138930" cy="4417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6093B">
        <w:rPr>
          <w:noProof/>
        </w:rPr>
        <mc:AlternateContent>
          <mc:Choice Requires="wps">
            <w:drawing>
              <wp:anchor distT="0" distB="0" distL="114300" distR="114300" simplePos="0" relativeHeight="251660288" behindDoc="0" locked="0" layoutInCell="1" allowOverlap="1" wp14:anchorId="26037418" wp14:editId="22A1FFE6">
                <wp:simplePos x="0" y="0"/>
                <wp:positionH relativeFrom="column">
                  <wp:posOffset>0</wp:posOffset>
                </wp:positionH>
                <wp:positionV relativeFrom="paragraph">
                  <wp:posOffset>4710430</wp:posOffset>
                </wp:positionV>
                <wp:extent cx="4138930" cy="635"/>
                <wp:effectExtent l="0" t="0" r="0" b="0"/>
                <wp:wrapSquare wrapText="bothSides"/>
                <wp:docPr id="241516778" name="Text Box 1"/>
                <wp:cNvGraphicFramePr/>
                <a:graphic xmlns:a="http://schemas.openxmlformats.org/drawingml/2006/main">
                  <a:graphicData uri="http://schemas.microsoft.com/office/word/2010/wordprocessingShape">
                    <wps:wsp>
                      <wps:cNvSpPr txBox="1"/>
                      <wps:spPr>
                        <a:xfrm>
                          <a:off x="0" y="0"/>
                          <a:ext cx="4138930" cy="635"/>
                        </a:xfrm>
                        <a:prstGeom prst="rect">
                          <a:avLst/>
                        </a:prstGeom>
                        <a:solidFill>
                          <a:prstClr val="white"/>
                        </a:solidFill>
                        <a:ln>
                          <a:noFill/>
                        </a:ln>
                      </wps:spPr>
                      <wps:txbx>
                        <w:txbxContent>
                          <w:p w14:paraId="5B02270A" w14:textId="3BE895BB" w:rsidR="0056093B" w:rsidRPr="00F24C0C" w:rsidRDefault="0056093B" w:rsidP="0056093B">
                            <w:pPr>
                              <w:pStyle w:val="Caption"/>
                              <w:rPr>
                                <w:noProof/>
                                <w:szCs w:val="22"/>
                              </w:rPr>
                            </w:pPr>
                            <w:r>
                              <w:t xml:space="preserve">Figure </w:t>
                            </w:r>
                            <w:r>
                              <w:fldChar w:fldCharType="begin"/>
                            </w:r>
                            <w:r>
                              <w:instrText xml:space="preserve"> SEQ Figure \* ARABIC </w:instrText>
                            </w:r>
                            <w:r>
                              <w:fldChar w:fldCharType="separate"/>
                            </w:r>
                            <w:r w:rsidR="002A34C5">
                              <w:rPr>
                                <w:noProof/>
                              </w:rPr>
                              <w:t>1</w:t>
                            </w:r>
                            <w:r>
                              <w:fldChar w:fldCharType="end"/>
                            </w:r>
                            <w:r w:rsidRPr="006E1CFD">
                              <w:t>Frequency of technology-related words in NVIDIA's CEO letter to shareholders (2011, 2016, and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37418" id="_x0000_t202" coordsize="21600,21600" o:spt="202" path="m,l,21600r21600,l21600,xe">
                <v:stroke joinstyle="miter"/>
                <v:path gradientshapeok="t" o:connecttype="rect"/>
              </v:shapetype>
              <v:shape id="Text Box 1" o:spid="_x0000_s1026" type="#_x0000_t202" style="position:absolute;margin-left:0;margin-top:370.9pt;width:32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YQFgIAADg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PjbH5zO6eUpNz1/F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" stroked="f">
                <v:textbox style="mso-fit-shape-to-text:t" inset="0,0,0,0">
                  <w:txbxContent>
                    <w:p w14:paraId="5B02270A" w14:textId="3BE895BB" w:rsidR="0056093B" w:rsidRPr="00F24C0C" w:rsidRDefault="0056093B" w:rsidP="0056093B">
                      <w:pPr>
                        <w:pStyle w:val="Caption"/>
                        <w:rPr>
                          <w:noProof/>
                          <w:szCs w:val="22"/>
                        </w:rPr>
                      </w:pPr>
                      <w:r>
                        <w:t xml:space="preserve">Figure </w:t>
                      </w:r>
                      <w:r>
                        <w:fldChar w:fldCharType="begin"/>
                      </w:r>
                      <w:r>
                        <w:instrText xml:space="preserve"> SEQ Figure \* ARABIC </w:instrText>
                      </w:r>
                      <w:r>
                        <w:fldChar w:fldCharType="separate"/>
                      </w:r>
                      <w:r w:rsidR="002A34C5">
                        <w:rPr>
                          <w:noProof/>
                        </w:rPr>
                        <w:t>1</w:t>
                      </w:r>
                      <w:r>
                        <w:fldChar w:fldCharType="end"/>
                      </w:r>
                      <w:r w:rsidRPr="006E1CFD">
                        <w:t>Frequency of technology-related words in NVIDIA's CEO letter to shareholders (2011, 2016, and 2022)</w:t>
                      </w:r>
                    </w:p>
                  </w:txbxContent>
                </v:textbox>
                <w10:wrap type="square"/>
              </v:shape>
            </w:pict>
          </mc:Fallback>
        </mc:AlternateContent>
      </w:r>
      <w:r w:rsidR="00830C3F" w:rsidRPr="00830C3F">
        <w:t xml:space="preserve">Introduction </w:t>
      </w:r>
    </w:p>
    <w:p w14:paraId="214C2962" w14:textId="5AAB9051" w:rsidR="00830C3F" w:rsidRPr="00830C3F" w:rsidRDefault="00830C3F" w:rsidP="00830C3F">
      <w:r w:rsidRPr="00830C3F">
        <w:t xml:space="preserve">The data presented in </w:t>
      </w:r>
      <w:r w:rsidR="0056093B">
        <w:t>Figure 1</w:t>
      </w:r>
      <w:r w:rsidRPr="00830C3F">
        <w:t>, extracted from NVIDIA's CEO letter to shareholders, provides a fascinating glimpse into the evolving landscape of technology and its impact on the company's strategic focus over the past decade. By analyzing the frequency of specific words across the years 2011, 2016, and 2022, we can gain valuable insights into the trends and shifts that have shaped NVIDIA's business and the broader technology industry.</w:t>
      </w:r>
    </w:p>
    <w:p w14:paraId="01DC575E" w14:textId="77777777" w:rsidR="00830C3F" w:rsidRPr="00830C3F" w:rsidRDefault="00830C3F" w:rsidP="00830C3F">
      <w:r w:rsidRPr="00830C3F">
        <w:t>NVIDIA's Embrace of Artificial Intelligence One of the most striking observations from the data is the exponential growth in the usage of the word "ai" (artificial intelligence). In 2011, "ai" had a relatively low frequency of 12, which increased slightly to 14 by 2016. However, by 2022, the frequency of "ai" skyrocketed to 36, marking a threefold increase from 2011. This dramatic rise in the mention of artificial intelligence highlights NVIDIA's increasing focus on AI technologies and their potential to drive growth and innovation across various sectors.</w:t>
      </w:r>
    </w:p>
    <w:p w14:paraId="7D105E8D" w14:textId="77777777" w:rsidR="00830C3F" w:rsidRPr="00830C3F" w:rsidRDefault="00830C3F" w:rsidP="00830C3F">
      <w:r w:rsidRPr="00830C3F">
        <w:t xml:space="preserve">NVIDIA's emphasis on AI can be attributed to several factors. Firstly, the company's expertise in graphics processing units (GPUs) has positioned it as a leader in the development of hardware optimized for AI workloads. NVIDIA's GPUs have become the de facto standard for training and deploying deep learning models, enabling organizations to leverage AI for a wide range of applications, from autonomous vehicles to healthcare diagnostics. Secondly, NVIDIA has made significant investments in AI software and frameworks, such as the NVIDIA CUDA platform and the </w:t>
      </w:r>
      <w:proofErr w:type="spellStart"/>
      <w:r w:rsidRPr="00830C3F">
        <w:t>TensorRT</w:t>
      </w:r>
      <w:proofErr w:type="spellEnd"/>
      <w:r w:rsidRPr="00830C3F">
        <w:t xml:space="preserve"> inference optimizer, which have further accelerated the adoption of AI technologies.</w:t>
      </w:r>
    </w:p>
    <w:p w14:paraId="4B9135E6" w14:textId="77777777" w:rsidR="009703D3" w:rsidRDefault="00830C3F" w:rsidP="009703D3">
      <w:pPr>
        <w:keepNext/>
      </w:pPr>
      <w:r w:rsidRPr="00830C3F">
        <w:t xml:space="preserve">The Continued Importance of Computing and Graphics Alongside the rise of AI, the data also reveals the continued importance of computing and graphics technologies for NVIDIA. Words </w:t>
      </w:r>
      <w:r w:rsidRPr="00830C3F">
        <w:lastRenderedPageBreak/>
        <w:t>such as "computing", "computer", "</w:t>
      </w:r>
      <w:proofErr w:type="spellStart"/>
      <w:r w:rsidRPr="00830C3F">
        <w:t>gpu</w:t>
      </w:r>
      <w:proofErr w:type="spellEnd"/>
      <w:r w:rsidRPr="00830C3F">
        <w:t>", and "processor" have consistently maintained high frequencies across all three years, indicating their central role in the company's product portfolio and market positioning.</w:t>
      </w:r>
      <w:r w:rsidR="009703D3" w:rsidRPr="009703D3">
        <w:rPr>
          <w:noProof/>
        </w:rPr>
        <w:t xml:space="preserve"> </w:t>
      </w:r>
      <w:r w:rsidR="009703D3" w:rsidRPr="009703D3">
        <w:drawing>
          <wp:inline distT="0" distB="0" distL="0" distR="0" wp14:anchorId="67D43B99" wp14:editId="05A9B49F">
            <wp:extent cx="5802294" cy="2770059"/>
            <wp:effectExtent l="0" t="0" r="8255" b="0"/>
            <wp:docPr id="9895322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32227" name="Picture 1" descr="A graph of different colored bars&#10;&#10;Description automatically generated"/>
                    <pic:cNvPicPr/>
                  </pic:nvPicPr>
                  <pic:blipFill rotWithShape="1">
                    <a:blip r:embed="rId7"/>
                    <a:srcRect t="3318"/>
                    <a:stretch/>
                  </pic:blipFill>
                  <pic:spPr bwMode="auto">
                    <a:xfrm>
                      <a:off x="0" y="0"/>
                      <a:ext cx="5818191" cy="2777649"/>
                    </a:xfrm>
                    <a:prstGeom prst="rect">
                      <a:avLst/>
                    </a:prstGeom>
                    <a:ln>
                      <a:noFill/>
                    </a:ln>
                    <a:extLst>
                      <a:ext uri="{53640926-AAD7-44D8-BBD7-CCE9431645EC}">
                        <a14:shadowObscured xmlns:a14="http://schemas.microsoft.com/office/drawing/2010/main"/>
                      </a:ext>
                    </a:extLst>
                  </pic:spPr>
                </pic:pic>
              </a:graphicData>
            </a:graphic>
          </wp:inline>
        </w:drawing>
      </w:r>
    </w:p>
    <w:p w14:paraId="78084A45" w14:textId="3708793D" w:rsidR="00830C3F" w:rsidRPr="00830C3F" w:rsidRDefault="009703D3" w:rsidP="009703D3">
      <w:pPr>
        <w:pStyle w:val="Caption"/>
      </w:pPr>
      <w:r>
        <w:t xml:space="preserve">Figure </w:t>
      </w:r>
      <w:r>
        <w:fldChar w:fldCharType="begin"/>
      </w:r>
      <w:r>
        <w:instrText xml:space="preserve"> SEQ Figure \* ARABIC </w:instrText>
      </w:r>
      <w:r>
        <w:fldChar w:fldCharType="separate"/>
      </w:r>
      <w:r w:rsidR="002A34C5">
        <w:rPr>
          <w:noProof/>
        </w:rPr>
        <w:t>2</w:t>
      </w:r>
      <w:r>
        <w:fldChar w:fldCharType="end"/>
      </w:r>
      <w:r w:rsidRPr="00340860">
        <w:t xml:space="preserve"> frequency of various technology-related words mentioned in NVIDIA's CEO letter to shareholders in </w:t>
      </w:r>
      <w:proofErr w:type="gramStart"/>
      <w:r w:rsidRPr="00340860">
        <w:t>2022</w:t>
      </w:r>
      <w:proofErr w:type="gramEnd"/>
    </w:p>
    <w:p w14:paraId="7116445B" w14:textId="77777777" w:rsidR="00830C3F" w:rsidRPr="00830C3F" w:rsidRDefault="00830C3F" w:rsidP="00830C3F">
      <w:r w:rsidRPr="00830C3F">
        <w:t>NVIDIA's success in the computing and graphics domains can be attributed to its innovative GPU architectures, which have consistently outperformed traditional central processing units (CPUs) in parallel processing tasks. The company's GPUs have found widespread adoption in various industries, from gaming and professional visualization to scientific computing and data centers. As the demand for high-performance computing continues to grow, driven by the increasing complexity of applications and the explosion of data, NVIDIA is well-positioned to capitalize on these trends and maintain its leadership in the GPU market.</w:t>
      </w:r>
    </w:p>
    <w:p w14:paraId="7E494AAB" w14:textId="77777777" w:rsidR="00830C3F" w:rsidRPr="00830C3F" w:rsidRDefault="00830C3F" w:rsidP="00830C3F">
      <w:r w:rsidRPr="00830C3F">
        <w:t>Emerging Opportunities in Autonomous Vehicles and Robotics The data also highlights several emerging trends that are likely to shape NVIDIA's future growth and strategic direction. For instance, the increasing frequency of words such as "vehicle", "robot", and "industry" suggests a growing focus on autonomous vehicles and robotics applications.</w:t>
      </w:r>
    </w:p>
    <w:p w14:paraId="5CC28CD0" w14:textId="77777777" w:rsidR="00830C3F" w:rsidRPr="00830C3F" w:rsidRDefault="00830C3F" w:rsidP="00830C3F">
      <w:r w:rsidRPr="00830C3F">
        <w:t>NVIDIA has been actively investing in the development of AI-powered solutions for the automotive industry, leveraging its expertise in visual computing and deep learning. The company's DRIVE platform, which combines hardware and software for autonomous driving, has gained significant traction among automakers and tier-1 suppliers. As the automotive industry continues to embrace autonomous and connected vehicle technologies, NVIDIA is poised to play a key role in enabling the transition to self-driving cars.</w:t>
      </w:r>
    </w:p>
    <w:p w14:paraId="2EA0E9CB" w14:textId="77777777" w:rsidR="00830C3F" w:rsidRPr="00830C3F" w:rsidRDefault="00830C3F" w:rsidP="00830C3F">
      <w:r w:rsidRPr="00830C3F">
        <w:t xml:space="preserve">Similarly, the increasing mention of robotics highlights the potential for NVIDIA's technologies to power intelligent machines and automate various tasks across industries. The company's Jetson platform, which provides GPU-accelerated computing for edge devices, has been adopted by robotics developers and researchers worldwide. As the demand for intelligent and autonomous robots grows, driven by applications in manufacturing, logistics, and healthcare, </w:t>
      </w:r>
      <w:r w:rsidRPr="00830C3F">
        <w:lastRenderedPageBreak/>
        <w:t>NVIDIA's expertise in AI and edge computing will be crucial in capturing these emerging opportunities.</w:t>
      </w:r>
    </w:p>
    <w:p w14:paraId="6E35EF9A" w14:textId="77777777" w:rsidR="00830C3F" w:rsidRPr="00830C3F" w:rsidRDefault="00830C3F" w:rsidP="00830C3F">
      <w:r w:rsidRPr="00830C3F">
        <w:t>Conclusion The data extracted from NVIDIA's CEO letter to shareholders provides a compelling narrative of the company's evolution and strategic focus over the past decade. The rise of artificial intelligence, the continued importance of computing and graphics technologies, and the emergence of new opportunities in autonomous vehicles and robotics highlight NVIDIA's ability to anticipate and adapt to the changing landscape of the technology industry.</w:t>
      </w:r>
    </w:p>
    <w:p w14:paraId="2635E580" w14:textId="77777777" w:rsidR="00830C3F" w:rsidRPr="00830C3F" w:rsidRDefault="00830C3F" w:rsidP="00830C3F">
      <w:r w:rsidRPr="00830C3F">
        <w:t xml:space="preserve">As NVIDIA looks to the future, </w:t>
      </w:r>
      <w:proofErr w:type="gramStart"/>
      <w:r w:rsidRPr="00830C3F">
        <w:t>it is clear that the</w:t>
      </w:r>
      <w:proofErr w:type="gramEnd"/>
      <w:r w:rsidRPr="00830C3F">
        <w:t xml:space="preserve"> company's investments in AI, GPU computing, and emerging technologies will be critical drivers of growth and innovation. By leveraging its expertise in these domains and collaborating with partners across various industries, NVIDIA is well-positioned to shape the future of computing and enable the development of transformative applications that address complex global challenges.</w:t>
      </w:r>
    </w:p>
    <w:p w14:paraId="7CB23165" w14:textId="77777777" w:rsidR="00830C3F" w:rsidRPr="00830C3F" w:rsidRDefault="00830C3F" w:rsidP="00830C3F">
      <w:r w:rsidRPr="00830C3F">
        <w:t>However, the rapid pace of technological change also presents challenges and risks that NVIDIA must navigate carefully. As AI technologies become more powerful and pervasive, the company must ensure that its products and solutions are developed and deployed responsibly, with a focus on privacy, security, and ethical considerations. Additionally, the intensifying competition in the AI and GPU markets will require NVIDIA to continually innovate and differentiate its offerings to maintain its leadership position.</w:t>
      </w:r>
    </w:p>
    <w:p w14:paraId="5B1DDDFC" w14:textId="77777777" w:rsidR="00830C3F" w:rsidRDefault="00830C3F" w:rsidP="00830C3F">
      <w:r w:rsidRPr="00830C3F">
        <w:t xml:space="preserve">In conclusion, the data presented in NVIDIA's CEO letter to shareholders serves as a testament to the company's ability to adapt and thrive in the face of technological disruption. By embracing the opportunities presented by artificial intelligence, computing, and emerging technologies, while addressing the challenges and responsibilities that come with their deployment, NVIDIA is poised to play a pivotal role in shaping the future of technology and driving positive impact across industries and </w:t>
      </w:r>
      <w:proofErr w:type="gramStart"/>
      <w:r w:rsidRPr="00830C3F">
        <w:t>society as a whole</w:t>
      </w:r>
      <w:proofErr w:type="gramEnd"/>
      <w:r w:rsidRPr="00830C3F">
        <w:t>.</w:t>
      </w:r>
    </w:p>
    <w:p w14:paraId="2EEB0F99" w14:textId="77777777" w:rsidR="00FB1470" w:rsidRDefault="00FB1470" w:rsidP="00830C3F"/>
    <w:p w14:paraId="20986D33" w14:textId="77777777" w:rsidR="00FB1470" w:rsidRDefault="00FB1470" w:rsidP="00FB1470">
      <w:pPr>
        <w:pStyle w:val="whitespace-pre-wrap"/>
      </w:pPr>
      <w:r>
        <w:t>The Importance of Computing and Computer Technologies in NVIDIA's Strategy</w:t>
      </w:r>
    </w:p>
    <w:p w14:paraId="12A2101A" w14:textId="5A70434E" w:rsidR="00FB1470" w:rsidRDefault="00FB1470" w:rsidP="00FB1470">
      <w:pPr>
        <w:pStyle w:val="whitespace-pre-wrap"/>
      </w:pPr>
      <w:r>
        <w:t xml:space="preserve">Introduction The data extracted from NVIDIA's CEO letter to shareholders highlights the sustained importance of computing and computer technologies in the company's strategic focus. By examining the frequency of the words "computing" and "computer" across the years 2011, </w:t>
      </w:r>
      <w:r w:rsidR="009703D3">
        <w:rPr>
          <w:noProof/>
        </w:rPr>
        <w:lastRenderedPageBreak/>
        <mc:AlternateContent>
          <mc:Choice Requires="wps">
            <w:drawing>
              <wp:anchor distT="0" distB="0" distL="114300" distR="114300" simplePos="0" relativeHeight="251665408" behindDoc="0" locked="0" layoutInCell="1" allowOverlap="1" wp14:anchorId="6C6BC4A4" wp14:editId="4ABAD96C">
                <wp:simplePos x="0" y="0"/>
                <wp:positionH relativeFrom="column">
                  <wp:posOffset>0</wp:posOffset>
                </wp:positionH>
                <wp:positionV relativeFrom="paragraph">
                  <wp:posOffset>4927600</wp:posOffset>
                </wp:positionV>
                <wp:extent cx="4345305" cy="635"/>
                <wp:effectExtent l="0" t="0" r="0" b="0"/>
                <wp:wrapThrough wrapText="bothSides">
                  <wp:wrapPolygon edited="0">
                    <wp:start x="0" y="0"/>
                    <wp:lineTo x="0" y="21600"/>
                    <wp:lineTo x="21600" y="21600"/>
                    <wp:lineTo x="21600" y="0"/>
                  </wp:wrapPolygon>
                </wp:wrapThrough>
                <wp:docPr id="736426029" name="Text Box 1"/>
                <wp:cNvGraphicFramePr/>
                <a:graphic xmlns:a="http://schemas.openxmlformats.org/drawingml/2006/main">
                  <a:graphicData uri="http://schemas.microsoft.com/office/word/2010/wordprocessingShape">
                    <wps:wsp>
                      <wps:cNvSpPr txBox="1"/>
                      <wps:spPr>
                        <a:xfrm>
                          <a:off x="0" y="0"/>
                          <a:ext cx="4345305" cy="635"/>
                        </a:xfrm>
                        <a:prstGeom prst="rect">
                          <a:avLst/>
                        </a:prstGeom>
                        <a:solidFill>
                          <a:prstClr val="white"/>
                        </a:solidFill>
                        <a:ln>
                          <a:noFill/>
                        </a:ln>
                      </wps:spPr>
                      <wps:txbx>
                        <w:txbxContent>
                          <w:p w14:paraId="798B6E3A" w14:textId="4B8731C1" w:rsidR="009703D3" w:rsidRPr="00957AC9" w:rsidRDefault="009703D3" w:rsidP="009703D3">
                            <w:pPr>
                              <w:pStyle w:val="Caption"/>
                              <w:rPr>
                                <w:rFonts w:eastAsia="Times New Roman" w:cs="Times New Roman"/>
                                <w:kern w:val="0"/>
                                <w14:ligatures w14:val="none"/>
                              </w:rPr>
                            </w:pPr>
                            <w:r>
                              <w:t xml:space="preserve">Figure </w:t>
                            </w:r>
                            <w:r>
                              <w:fldChar w:fldCharType="begin"/>
                            </w:r>
                            <w:r>
                              <w:instrText xml:space="preserve"> SEQ Figure \* ARABIC </w:instrText>
                            </w:r>
                            <w:r>
                              <w:fldChar w:fldCharType="separate"/>
                            </w:r>
                            <w:r w:rsidR="002A34C5">
                              <w:rPr>
                                <w:noProof/>
                              </w:rPr>
                              <w:t>3</w:t>
                            </w:r>
                            <w:r>
                              <w:fldChar w:fldCharType="end"/>
                            </w:r>
                            <w:r w:rsidRPr="009D6F80">
                              <w:t>this visualization allows quick identification of the most prevalent words across the corpus of text being analyzed.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BC4A4" id="_x0000_s1027" type="#_x0000_t202" style="position:absolute;margin-left:0;margin-top:388pt;width:342.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ciGQIAAD8EAAAOAAAAZHJzL2Uyb0RvYy54bWysU8Fu2zAMvQ/YPwi6L06aphi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LeTm9n0/GMM0mxu+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" stroked="f">
                <v:textbox style="mso-fit-shape-to-text:t" inset="0,0,0,0">
                  <w:txbxContent>
                    <w:p w14:paraId="798B6E3A" w14:textId="4B8731C1" w:rsidR="009703D3" w:rsidRPr="00957AC9" w:rsidRDefault="009703D3" w:rsidP="009703D3">
                      <w:pPr>
                        <w:pStyle w:val="Caption"/>
                        <w:rPr>
                          <w:rFonts w:eastAsia="Times New Roman" w:cs="Times New Roman"/>
                          <w:kern w:val="0"/>
                          <w14:ligatures w14:val="none"/>
                        </w:rPr>
                      </w:pPr>
                      <w:r>
                        <w:t xml:space="preserve">Figure </w:t>
                      </w:r>
                      <w:r>
                        <w:fldChar w:fldCharType="begin"/>
                      </w:r>
                      <w:r>
                        <w:instrText xml:space="preserve"> SEQ Figure \* ARABIC </w:instrText>
                      </w:r>
                      <w:r>
                        <w:fldChar w:fldCharType="separate"/>
                      </w:r>
                      <w:r w:rsidR="002A34C5">
                        <w:rPr>
                          <w:noProof/>
                        </w:rPr>
                        <w:t>3</w:t>
                      </w:r>
                      <w:r>
                        <w:fldChar w:fldCharType="end"/>
                      </w:r>
                      <w:r w:rsidRPr="009D6F80">
                        <w:t>this visualization allows quick identification of the most prevalent words across the corpus of text being analyzed.</w:t>
                      </w:r>
                    </w:p>
                  </w:txbxContent>
                </v:textbox>
                <w10:wrap type="through"/>
              </v:shape>
            </w:pict>
          </mc:Fallback>
        </mc:AlternateContent>
      </w:r>
      <w:r>
        <w:t xml:space="preserve">2016, and 2022, we can </w:t>
      </w:r>
      <w:r w:rsidR="009703D3">
        <w:rPr>
          <w:noProof/>
          <w14:ligatures w14:val="standardContextual"/>
        </w:rPr>
        <w:drawing>
          <wp:anchor distT="0" distB="0" distL="114300" distR="114300" simplePos="0" relativeHeight="251661312" behindDoc="1" locked="0" layoutInCell="1" allowOverlap="1" wp14:anchorId="57DD85C6" wp14:editId="0ED4BBE7">
            <wp:simplePos x="0" y="0"/>
            <wp:positionH relativeFrom="margin">
              <wp:posOffset>0</wp:posOffset>
            </wp:positionH>
            <wp:positionV relativeFrom="paragraph">
              <wp:posOffset>185420</wp:posOffset>
            </wp:positionV>
            <wp:extent cx="4345305" cy="4684395"/>
            <wp:effectExtent l="0" t="0" r="0" b="1905"/>
            <wp:wrapThrough wrapText="bothSides">
              <wp:wrapPolygon edited="0">
                <wp:start x="0" y="0"/>
                <wp:lineTo x="0" y="21521"/>
                <wp:lineTo x="21496" y="21521"/>
                <wp:lineTo x="21496" y="0"/>
                <wp:lineTo x="0" y="0"/>
              </wp:wrapPolygon>
            </wp:wrapThrough>
            <wp:docPr id="734752279" name="Picture 2" descr="A graph of numbers and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2279" name="Picture 2" descr="A graph of numbers and a number of different colored bars&#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1896" b="1"/>
                    <a:stretch/>
                  </pic:blipFill>
                  <pic:spPr bwMode="auto">
                    <a:xfrm>
                      <a:off x="0" y="0"/>
                      <a:ext cx="4345305" cy="4684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gain valuable insights into how these technologies have shaped NVIDIA's business and product offerings.</w:t>
      </w:r>
    </w:p>
    <w:p w14:paraId="6E506F5D" w14:textId="77777777" w:rsidR="00FB1470" w:rsidRDefault="00FB1470" w:rsidP="00FB1470">
      <w:pPr>
        <w:pStyle w:val="whitespace-pre-wrap"/>
      </w:pPr>
      <w:r>
        <w:t>The Centrality of Computing The word "computing" appears as the second most frequent term in the data, with a consistent frequency of 12 in 2011, 9 in 2016, and 14 in 2022. This sustained prominence underscores the centrality of computing technologies in NVIDIA's core business. As a pioneer in the development of graphics processing units (GPUs), NVIDIA has consistently pushed the boundaries of parallel computing, enabling breakthroughs in various domains, from gaming and professional visualization to scientific simulations and data analytics.</w:t>
      </w:r>
    </w:p>
    <w:p w14:paraId="1ECD2C49" w14:textId="77777777" w:rsidR="00FB1470" w:rsidRDefault="00FB1470" w:rsidP="00FB1470">
      <w:pPr>
        <w:pStyle w:val="whitespace-pre-wrap"/>
      </w:pPr>
      <w:r>
        <w:t>NVIDIA's focus on computing has been driven by the increasing demand for high-performance computing solutions across industries. As the complexity of computational tasks continues to grow, fueled by the explosion of data and the need for real-time processing, NVIDIA's expertise in GPU-accelerated computing has become increasingly vital. The company's continued investment in developing powerful GPU architectures, such as the NVIDIA Ampere and the upcoming NVIDIA Hopper, demonstrates its commitment to advancing the field of computing and maintaining its leadership position.</w:t>
      </w:r>
    </w:p>
    <w:p w14:paraId="4028BCC5" w14:textId="77777777" w:rsidR="00FB1470" w:rsidRDefault="00FB1470" w:rsidP="00FB1470">
      <w:pPr>
        <w:pStyle w:val="whitespace-pre-wrap"/>
      </w:pPr>
      <w:r>
        <w:t>The Evolution of Computer Technologies Closely related to computing, the word "computer" appears as the third most frequent term in the data, with frequencies of 15 in 2011, 13 in 2016, and 13 in 2022. The consistent prominence of "computer" highlights the ongoing evolution of computer technologies and their impact on NVIDIA's product offerings.</w:t>
      </w:r>
    </w:p>
    <w:p w14:paraId="75DE99A5" w14:textId="701A0E28" w:rsidR="00FB1470" w:rsidRDefault="00FB1470" w:rsidP="00FB1470">
      <w:pPr>
        <w:pStyle w:val="whitespace-pre-wrap"/>
      </w:pPr>
      <w:r>
        <w:lastRenderedPageBreak/>
        <w:t xml:space="preserve">Over the past decade, NVIDIA has expanded its focus beyond traditional desktop and laptop computers to encompass a wide range of computing devices and platforms. The company's Jetson embedded computing modules, for example, have enabled the development of intelligent edge devices, such as robots, drones, and smart cameras. These devices leverage NVIDIA's GPU technology to perform complex AI and computer vision tasks in real-time, </w:t>
      </w:r>
      <w:r w:rsidR="002A34C5">
        <w:t>opening</w:t>
      </w:r>
      <w:r>
        <w:t xml:space="preserve"> new possibilities for automation and autonomous systems.</w:t>
      </w:r>
    </w:p>
    <w:p w14:paraId="77B9451A" w14:textId="77777777" w:rsidR="00FB1470" w:rsidRDefault="00FB1470" w:rsidP="00FB1470">
      <w:pPr>
        <w:pStyle w:val="whitespace-pre-wrap"/>
      </w:pPr>
      <w:r>
        <w:t>Furthermore, NVIDIA's partnerships with major computer manufacturers, such as Dell, HP, and Lenovo, have allowed the company to integrate its GPU technologies into a wide range of computing systems, from high-performance workstations to energy-efficient data center servers. This collaboration has been crucial in driving the adoption of NVIDIA's technologies and expanding its reach across various industries.</w:t>
      </w:r>
    </w:p>
    <w:p w14:paraId="199CE185" w14:textId="77777777" w:rsidR="00FB1470" w:rsidRDefault="00FB1470" w:rsidP="00FB1470">
      <w:pPr>
        <w:pStyle w:val="whitespace-pre-wrap"/>
      </w:pPr>
      <w:r>
        <w:t>Conclusion The sustained importance of computing and computer technologies, as evidenced by the data from NVIDIA's CEO letter to shareholders, underscores the company's ongoing commitment to advancing the field of computing and driving innovation across industries. By leveraging its expertise in GPU-accelerated computing and adapting to the evolving landscape of computer technologies, NVIDIA has positioned itself as a key player in shaping the future of computing.</w:t>
      </w:r>
    </w:p>
    <w:p w14:paraId="32847486" w14:textId="77777777" w:rsidR="00FB1470" w:rsidRDefault="00FB1470" w:rsidP="00FB1470">
      <w:pPr>
        <w:pStyle w:val="whitespace-pre-wrap"/>
      </w:pPr>
      <w:r>
        <w:t>As the demand for high-performance computing continues to grow, driven by the increasing complexity of applications and the need for real-time processing, NVIDIA's focus on computing and computer technologies will remain a critical driver of its success. By continuing to invest in research and development, forging strategic partnerships, and expanding its product offerings, NVIDIA is well-positioned to capitalize on the opportunities presented by the rapidly evolving computing landscape and maintain its leadership position in the industry.</w:t>
      </w:r>
    </w:p>
    <w:p w14:paraId="00435A49" w14:textId="77777777" w:rsidR="00EF0C04" w:rsidRDefault="00EF0C04" w:rsidP="00FB1470">
      <w:pPr>
        <w:pStyle w:val="whitespace-pre-wrap"/>
      </w:pPr>
    </w:p>
    <w:p w14:paraId="639514A4" w14:textId="77777777" w:rsidR="00EF0C04" w:rsidRDefault="00EF0C04" w:rsidP="00EF0C04">
      <w:pPr>
        <w:pStyle w:val="whitespace-pre-wrap"/>
      </w:pPr>
      <w:r w:rsidRPr="00EF0C04">
        <w:t>Key Findings and Recommendations for NVIDIA's Executive Team</w:t>
      </w:r>
    </w:p>
    <w:p w14:paraId="6F9AFD72" w14:textId="0A088602" w:rsidR="00EF0C04" w:rsidRPr="00EF0C04" w:rsidRDefault="007C13E8" w:rsidP="00EF0C04">
      <w:pPr>
        <w:pStyle w:val="whitespace-pre-wrap"/>
      </w:pPr>
      <w:r>
        <w:rPr>
          <w:noProof/>
        </w:rPr>
        <w:lastRenderedPageBreak/>
        <mc:AlternateContent>
          <mc:Choice Requires="wps">
            <w:drawing>
              <wp:anchor distT="0" distB="0" distL="114300" distR="114300" simplePos="0" relativeHeight="251667456" behindDoc="0" locked="0" layoutInCell="1" allowOverlap="1" wp14:anchorId="31614CCB" wp14:editId="388C66F6">
                <wp:simplePos x="0" y="0"/>
                <wp:positionH relativeFrom="column">
                  <wp:posOffset>0</wp:posOffset>
                </wp:positionH>
                <wp:positionV relativeFrom="paragraph">
                  <wp:posOffset>3506470</wp:posOffset>
                </wp:positionV>
                <wp:extent cx="3518535" cy="635"/>
                <wp:effectExtent l="0" t="0" r="0" b="0"/>
                <wp:wrapSquare wrapText="bothSides"/>
                <wp:docPr id="1188922424" name="Text Box 1"/>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wps:spPr>
                      <wps:txbx>
                        <w:txbxContent>
                          <w:p w14:paraId="5A8077AB" w14:textId="4F7B3B28" w:rsidR="007C13E8" w:rsidRPr="003155BC" w:rsidRDefault="007C13E8" w:rsidP="007C13E8">
                            <w:pPr>
                              <w:pStyle w:val="Caption"/>
                              <w:rPr>
                                <w:rFonts w:eastAsia="Times New Roman" w:cs="Times New Roman"/>
                                <w:noProof/>
                                <w:kern w:val="0"/>
                              </w:rPr>
                            </w:pPr>
                            <w:r>
                              <w:t xml:space="preserve">Figure </w:t>
                            </w:r>
                            <w:r>
                              <w:fldChar w:fldCharType="begin"/>
                            </w:r>
                            <w:r>
                              <w:instrText xml:space="preserve"> SEQ Figure \* ARABIC </w:instrText>
                            </w:r>
                            <w:r>
                              <w:fldChar w:fldCharType="separate"/>
                            </w:r>
                            <w:r w:rsidR="002A34C5">
                              <w:rPr>
                                <w:noProof/>
                              </w:rPr>
                              <w:t>4</w:t>
                            </w:r>
                            <w:r>
                              <w:fldChar w:fldCharType="end"/>
                            </w:r>
                            <w:r w:rsidRPr="00513291">
                              <w:t>Word bubble chart reveals Nvidia's deepening focus on AI and data from 2011 to 2022, as seen through the lens of their annual CEO letters to shareholders.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14CCB" id="_x0000_s1028" type="#_x0000_t202" style="position:absolute;margin-left:0;margin-top:276.1pt;width:277.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" stroked="f">
                <v:textbox style="mso-fit-shape-to-text:t" inset="0,0,0,0">
                  <w:txbxContent>
                    <w:p w14:paraId="5A8077AB" w14:textId="4F7B3B28" w:rsidR="007C13E8" w:rsidRPr="003155BC" w:rsidRDefault="007C13E8" w:rsidP="007C13E8">
                      <w:pPr>
                        <w:pStyle w:val="Caption"/>
                        <w:rPr>
                          <w:rFonts w:eastAsia="Times New Roman" w:cs="Times New Roman"/>
                          <w:noProof/>
                          <w:kern w:val="0"/>
                        </w:rPr>
                      </w:pPr>
                      <w:r>
                        <w:t xml:space="preserve">Figure </w:t>
                      </w:r>
                      <w:r>
                        <w:fldChar w:fldCharType="begin"/>
                      </w:r>
                      <w:r>
                        <w:instrText xml:space="preserve"> SEQ Figure \* ARABIC </w:instrText>
                      </w:r>
                      <w:r>
                        <w:fldChar w:fldCharType="separate"/>
                      </w:r>
                      <w:r w:rsidR="002A34C5">
                        <w:rPr>
                          <w:noProof/>
                        </w:rPr>
                        <w:t>4</w:t>
                      </w:r>
                      <w:r>
                        <w:fldChar w:fldCharType="end"/>
                      </w:r>
                      <w:r w:rsidRPr="00513291">
                        <w:t>Word bubble chart reveals Nvidia's deepening focus on AI and data from 2011 to 2022, as seen through the lens of their annual CEO letters to shareholders.</w:t>
                      </w:r>
                    </w:p>
                  </w:txbxContent>
                </v:textbox>
                <w10:wrap type="square"/>
              </v:shape>
            </w:pict>
          </mc:Fallback>
        </mc:AlternateContent>
      </w:r>
      <w:r w:rsidR="00EF0C04">
        <w:rPr>
          <w:noProof/>
          <w14:ligatures w14:val="standardContextual"/>
        </w:rPr>
        <w:drawing>
          <wp:anchor distT="0" distB="0" distL="114300" distR="114300" simplePos="0" relativeHeight="251663360" behindDoc="0" locked="0" layoutInCell="1" allowOverlap="1" wp14:anchorId="1D3AAB64" wp14:editId="05F2B138">
            <wp:simplePos x="0" y="0"/>
            <wp:positionH relativeFrom="column">
              <wp:posOffset>0</wp:posOffset>
            </wp:positionH>
            <wp:positionV relativeFrom="paragraph">
              <wp:posOffset>25</wp:posOffset>
            </wp:positionV>
            <wp:extent cx="3518922" cy="3449370"/>
            <wp:effectExtent l="0" t="0" r="5715" b="0"/>
            <wp:wrapSquare wrapText="bothSides"/>
            <wp:docPr id="1451050288" name="Picture 3"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0288" name="Picture 3" descr="A group of colorful circles with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8922" cy="3449370"/>
                    </a:xfrm>
                    <a:prstGeom prst="rect">
                      <a:avLst/>
                    </a:prstGeom>
                  </pic:spPr>
                </pic:pic>
              </a:graphicData>
            </a:graphic>
          </wp:anchor>
        </w:drawing>
      </w:r>
      <w:r w:rsidR="00EF0C04" w:rsidRPr="00EF0C04">
        <w:rPr>
          <w:noProof/>
        </w:rPr>
        <w:t xml:space="preserve"> </w:t>
      </w:r>
      <w:r w:rsidR="002A34C5">
        <w:rPr>
          <w:noProof/>
        </w:rPr>
        <mc:AlternateContent>
          <mc:Choice Requires="wps">
            <w:drawing>
              <wp:anchor distT="0" distB="0" distL="114300" distR="114300" simplePos="0" relativeHeight="251669504" behindDoc="0" locked="0" layoutInCell="1" allowOverlap="1" wp14:anchorId="0409BD0B" wp14:editId="3239065D">
                <wp:simplePos x="0" y="0"/>
                <wp:positionH relativeFrom="column">
                  <wp:posOffset>0</wp:posOffset>
                </wp:positionH>
                <wp:positionV relativeFrom="paragraph">
                  <wp:posOffset>7364730</wp:posOffset>
                </wp:positionV>
                <wp:extent cx="3910965" cy="635"/>
                <wp:effectExtent l="0" t="0" r="0" b="0"/>
                <wp:wrapSquare wrapText="bothSides"/>
                <wp:docPr id="353405700" name="Text Box 1"/>
                <wp:cNvGraphicFramePr/>
                <a:graphic xmlns:a="http://schemas.openxmlformats.org/drawingml/2006/main">
                  <a:graphicData uri="http://schemas.microsoft.com/office/word/2010/wordprocessingShape">
                    <wps:wsp>
                      <wps:cNvSpPr txBox="1"/>
                      <wps:spPr>
                        <a:xfrm>
                          <a:off x="0" y="0"/>
                          <a:ext cx="3910965" cy="635"/>
                        </a:xfrm>
                        <a:prstGeom prst="rect">
                          <a:avLst/>
                        </a:prstGeom>
                        <a:solidFill>
                          <a:prstClr val="white"/>
                        </a:solidFill>
                        <a:ln>
                          <a:noFill/>
                        </a:ln>
                      </wps:spPr>
                      <wps:txbx>
                        <w:txbxContent>
                          <w:p w14:paraId="2BDB3CA3" w14:textId="2339DE31" w:rsidR="002A34C5" w:rsidRPr="008F5A59" w:rsidRDefault="002A34C5" w:rsidP="002A34C5">
                            <w:pPr>
                              <w:pStyle w:val="Caption"/>
                              <w:rPr>
                                <w:rFonts w:eastAsia="Times New Roman" w:cs="Times New Roman"/>
                                <w:noProof/>
                                <w:kern w:val="0"/>
                                <w14:ligatures w14:val="none"/>
                              </w:rPr>
                            </w:pPr>
                            <w:r>
                              <w:t xml:space="preserve">Figure </w:t>
                            </w:r>
                            <w:r>
                              <w:fldChar w:fldCharType="begin"/>
                            </w:r>
                            <w:r>
                              <w:instrText xml:space="preserve"> SEQ Figure \* ARABIC </w:instrText>
                            </w:r>
                            <w:r>
                              <w:fldChar w:fldCharType="separate"/>
                            </w:r>
                            <w:r>
                              <w:rPr>
                                <w:noProof/>
                              </w:rPr>
                              <w:t>5</w:t>
                            </w:r>
                            <w:r>
                              <w:fldChar w:fldCharType="end"/>
                            </w:r>
                            <w:r w:rsidRPr="00A0442F">
                              <w:t>his graph reveals a rise in "AI" and "Software" between 2011 and 2022, compared to a steadier presence of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9BD0B" id="_x0000_s1029" type="#_x0000_t202" style="position:absolute;margin-left:0;margin-top:579.9pt;width:30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" stroked="f">
                <v:textbox style="mso-fit-shape-to-text:t" inset="0,0,0,0">
                  <w:txbxContent>
                    <w:p w14:paraId="2BDB3CA3" w14:textId="2339DE31" w:rsidR="002A34C5" w:rsidRPr="008F5A59" w:rsidRDefault="002A34C5" w:rsidP="002A34C5">
                      <w:pPr>
                        <w:pStyle w:val="Caption"/>
                        <w:rPr>
                          <w:rFonts w:eastAsia="Times New Roman" w:cs="Times New Roman"/>
                          <w:noProof/>
                          <w:kern w:val="0"/>
                          <w14:ligatures w14:val="none"/>
                        </w:rPr>
                      </w:pPr>
                      <w:r>
                        <w:t xml:space="preserve">Figure </w:t>
                      </w:r>
                      <w:r>
                        <w:fldChar w:fldCharType="begin"/>
                      </w:r>
                      <w:r>
                        <w:instrText xml:space="preserve"> SEQ Figure \* ARABIC </w:instrText>
                      </w:r>
                      <w:r>
                        <w:fldChar w:fldCharType="separate"/>
                      </w:r>
                      <w:r>
                        <w:rPr>
                          <w:noProof/>
                        </w:rPr>
                        <w:t>5</w:t>
                      </w:r>
                      <w:r>
                        <w:fldChar w:fldCharType="end"/>
                      </w:r>
                      <w:r w:rsidRPr="00A0442F">
                        <w:t>his graph reveals a rise in "AI" and "Software" between 2011 and 2022, compared to a steadier presence of "Computer."</w:t>
                      </w:r>
                    </w:p>
                  </w:txbxContent>
                </v:textbox>
                <w10:wrap type="square"/>
              </v:shape>
            </w:pict>
          </mc:Fallback>
        </mc:AlternateContent>
      </w:r>
      <w:r w:rsidR="00EF0C04" w:rsidRPr="00EF0C04">
        <w:drawing>
          <wp:anchor distT="0" distB="0" distL="114300" distR="114300" simplePos="0" relativeHeight="251662336" behindDoc="0" locked="0" layoutInCell="1" allowOverlap="1" wp14:anchorId="5C5FB663" wp14:editId="0AF57769">
            <wp:simplePos x="0" y="0"/>
            <wp:positionH relativeFrom="column">
              <wp:posOffset>0</wp:posOffset>
            </wp:positionH>
            <wp:positionV relativeFrom="paragraph">
              <wp:posOffset>3449320</wp:posOffset>
            </wp:positionV>
            <wp:extent cx="3910965" cy="3858260"/>
            <wp:effectExtent l="0" t="0" r="0" b="8890"/>
            <wp:wrapSquare wrapText="bothSides"/>
            <wp:docPr id="40254054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0547" name="Picture 1" descr="A graph of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0965" cy="3858260"/>
                    </a:xfrm>
                    <a:prstGeom prst="rect">
                      <a:avLst/>
                    </a:prstGeom>
                  </pic:spPr>
                </pic:pic>
              </a:graphicData>
            </a:graphic>
          </wp:anchor>
        </w:drawing>
      </w:r>
    </w:p>
    <w:p w14:paraId="6945C5DF" w14:textId="77777777" w:rsidR="00EF0C04" w:rsidRPr="00EF0C04" w:rsidRDefault="00EF0C04" w:rsidP="00EF0C04">
      <w:pPr>
        <w:pStyle w:val="whitespace-pre-wrap"/>
      </w:pPr>
      <w:r w:rsidRPr="00EF0C04">
        <w:t>Based on the data extracted from NVIDIA's CEO letter to shareholders, several interesting findings emerge that warrant the attention of the executive team:</w:t>
      </w:r>
    </w:p>
    <w:p w14:paraId="34C4E43D" w14:textId="77777777" w:rsidR="00EF0C04" w:rsidRPr="00EF0C04" w:rsidRDefault="00EF0C04" w:rsidP="00EF0C04">
      <w:pPr>
        <w:pStyle w:val="whitespace-pre-wrap"/>
        <w:numPr>
          <w:ilvl w:val="0"/>
          <w:numId w:val="2"/>
        </w:numPr>
      </w:pPr>
      <w:r w:rsidRPr="00EF0C04">
        <w:t>The rise of autonomous vehicles and robotics: The increased frequency of words such as "vehicle" (2022), "car" (2016), and "robot" (2022) indicates a growing focus on autonomous systems and robotics. NVIDIA should continue to invest in developing AI-powered solutions for these domains, leveraging its expertise in visual computing and deep learning to capture market share and establish itself as a leader in these emerging fields.</w:t>
      </w:r>
    </w:p>
    <w:p w14:paraId="0074C50A" w14:textId="77777777" w:rsidR="00EF0C04" w:rsidRPr="00EF0C04" w:rsidRDefault="00EF0C04" w:rsidP="00EF0C04">
      <w:pPr>
        <w:pStyle w:val="whitespace-pre-wrap"/>
        <w:numPr>
          <w:ilvl w:val="0"/>
          <w:numId w:val="2"/>
        </w:numPr>
      </w:pPr>
      <w:r w:rsidRPr="00EF0C04">
        <w:t>The growing importance of software and platforms: The prominence of words like "software" (2022) and "platform" (2016 and 2022) suggests that NVIDIA is increasingly focusing on developing comprehensive software solutions and platforms to complement its hardware offerings. The executive team should prioritize the development and integration of software and platform technologies to create a seamless ecosystem that caters to the evolving needs of customers across various industries.</w:t>
      </w:r>
    </w:p>
    <w:p w14:paraId="1AB7D20C" w14:textId="77777777" w:rsidR="00EF0C04" w:rsidRPr="00EF0C04" w:rsidRDefault="00EF0C04" w:rsidP="00EF0C04">
      <w:pPr>
        <w:pStyle w:val="whitespace-pre-wrap"/>
        <w:numPr>
          <w:ilvl w:val="0"/>
          <w:numId w:val="2"/>
        </w:numPr>
      </w:pPr>
      <w:r w:rsidRPr="00EF0C04">
        <w:t xml:space="preserve">The expanding role of data and analytics: The consistent appearance of the word "data" (2022) highlights the growing importance of data-driven insights and decision-making. NVIDIA should continue to invest in </w:t>
      </w:r>
      <w:r w:rsidRPr="00EF0C04">
        <w:lastRenderedPageBreak/>
        <w:t>developing advanced data analytics solutions, leveraging its GPU technology to enable faster processing of large datasets and real-time analysis. This will help the company to stay ahead of the curve in the rapidly evolving data analytics market.</w:t>
      </w:r>
    </w:p>
    <w:p w14:paraId="1901DFCB" w14:textId="77777777" w:rsidR="00EF0C04" w:rsidRPr="00EF0C04" w:rsidRDefault="00EF0C04" w:rsidP="00EF0C04">
      <w:pPr>
        <w:pStyle w:val="whitespace-pre-wrap"/>
      </w:pPr>
      <w:r w:rsidRPr="00EF0C04">
        <w:t>Recommendations:</w:t>
      </w:r>
    </w:p>
    <w:p w14:paraId="77F32E05" w14:textId="77777777" w:rsidR="00EF0C04" w:rsidRPr="00EF0C04" w:rsidRDefault="00EF0C04" w:rsidP="00EF0C04">
      <w:pPr>
        <w:pStyle w:val="whitespace-pre-wrap"/>
        <w:numPr>
          <w:ilvl w:val="0"/>
          <w:numId w:val="3"/>
        </w:numPr>
      </w:pPr>
      <w:r w:rsidRPr="00EF0C04">
        <w:t>Allocate resources to research and development in the areas of autonomous vehicles, robotics, and AI-powered systems. This will help NVIDIA to capitalize on the growing demand for intelligent machines and position itself as a key player in these emerging markets.</w:t>
      </w:r>
    </w:p>
    <w:p w14:paraId="47397203" w14:textId="77777777" w:rsidR="00EF0C04" w:rsidRPr="00EF0C04" w:rsidRDefault="00EF0C04" w:rsidP="00EF0C04">
      <w:pPr>
        <w:pStyle w:val="whitespace-pre-wrap"/>
        <w:numPr>
          <w:ilvl w:val="0"/>
          <w:numId w:val="3"/>
        </w:numPr>
      </w:pPr>
      <w:r w:rsidRPr="00EF0C04">
        <w:t>Develop a comprehensive software and platform strategy that integrates NVIDIA's hardware offerings with cutting-edge software solutions. This will create a cohesive ecosystem that provides customers with end-to-end solutions, increasing customer loyalty and driving revenue growth.</w:t>
      </w:r>
    </w:p>
    <w:p w14:paraId="01D7A673" w14:textId="77777777" w:rsidR="00EF0C04" w:rsidRPr="00EF0C04" w:rsidRDefault="00EF0C04" w:rsidP="00EF0C04">
      <w:pPr>
        <w:pStyle w:val="whitespace-pre-wrap"/>
        <w:numPr>
          <w:ilvl w:val="0"/>
          <w:numId w:val="3"/>
        </w:numPr>
      </w:pPr>
      <w:r w:rsidRPr="00EF0C04">
        <w:t>Invest in data analytics and AI-driven decision-making tools to help customers harness the power of their data. By providing advanced analytics solutions that leverage NVIDIA's GPU technology, the company can differentiate itself from competitors and tap into the growing demand for data-driven insights.</w:t>
      </w:r>
    </w:p>
    <w:p w14:paraId="49193696" w14:textId="77777777" w:rsidR="00EF0C04" w:rsidRPr="00EF0C04" w:rsidRDefault="00EF0C04" w:rsidP="00EF0C04">
      <w:pPr>
        <w:pStyle w:val="whitespace-pre-wrap"/>
        <w:numPr>
          <w:ilvl w:val="0"/>
          <w:numId w:val="3"/>
        </w:numPr>
      </w:pPr>
      <w:r w:rsidRPr="00EF0C04">
        <w:t>Foster partnerships and collaborations with key players in the automotive, robotics, and software industries to accelerate innovation and expand NVIDIA's market reach. By working closely with industry leaders, NVIDIA can stay at the forefront of technological advancements and ensure that its solutions remain relevant and competitive.</w:t>
      </w:r>
    </w:p>
    <w:p w14:paraId="674FE3CC" w14:textId="77777777" w:rsidR="00EF0C04" w:rsidRPr="00EF0C04" w:rsidRDefault="00EF0C04" w:rsidP="00EF0C04">
      <w:pPr>
        <w:pStyle w:val="whitespace-pre-wrap"/>
        <w:numPr>
          <w:ilvl w:val="0"/>
          <w:numId w:val="3"/>
        </w:numPr>
      </w:pPr>
      <w:r w:rsidRPr="00EF0C04">
        <w:t>Monitor market trends and customer needs closely to identify new opportunities for growth and innovation. By staying agile and responsive to the evolving technology landscape, NVIDIA can maintain its leadership position and continue to drive shareholder value.</w:t>
      </w:r>
    </w:p>
    <w:p w14:paraId="7EE2E8A4" w14:textId="2D7E92F1" w:rsidR="00EF0C04" w:rsidRDefault="00EF0C04" w:rsidP="00EF0C04">
      <w:pPr>
        <w:pStyle w:val="whitespace-pre-wrap"/>
      </w:pPr>
      <w:r w:rsidRPr="00EF0C04">
        <w:t>By focusing on these key findings and implementing the recommended actions, NVIDIA's executive team can navigate the challenges and opportunities presented by the rapidly evolving technology landscape, ensuring the company's continued growth and success in the years to come.</w:t>
      </w:r>
      <w:r w:rsidR="00111FDA">
        <w:t>\</w:t>
      </w:r>
    </w:p>
    <w:p w14:paraId="58023347" w14:textId="77777777" w:rsidR="00111FDA" w:rsidRDefault="00111FDA" w:rsidP="00EF0C04">
      <w:pPr>
        <w:pStyle w:val="whitespace-pre-wrap"/>
      </w:pPr>
    </w:p>
    <w:p w14:paraId="74FBE120" w14:textId="77777777" w:rsidR="00111FDA" w:rsidRPr="00111FDA" w:rsidRDefault="00111FDA" w:rsidP="00111FDA">
      <w:pPr>
        <w:pStyle w:val="whitespace-pre-wrap"/>
      </w:pPr>
      <w:r w:rsidRPr="00111FDA">
        <w:t>Conclusion The data extracted from NVIDIA's CEO letter to shareholders paints a compelling picture of the company's strategic focus and the critical role that technology plays in shaping its future. By analyzing the frequency of key words across the years 2011, 2016, and 2022, we have gained valuable insights into the trends and opportunities that are driving NVIDIA's growth and success.</w:t>
      </w:r>
    </w:p>
    <w:p w14:paraId="7DF873C5" w14:textId="77777777" w:rsidR="00111FDA" w:rsidRPr="00111FDA" w:rsidRDefault="00111FDA" w:rsidP="00111FDA">
      <w:pPr>
        <w:pStyle w:val="whitespace-pre-wrap"/>
      </w:pPr>
      <w:r w:rsidRPr="00111FDA">
        <w:t xml:space="preserve">The exponential rise in the usage of the word "ai" highlights the transformative potential of artificial intelligence and its increasingly central role in NVIDIA's business. As AI continues to revolutionize industries and create new opportunities for innovation, NVIDIA's expertise in GPU-accelerated computing and deep learning positions it as a leader in this field. The company's ongoing investments in AI research and development, coupled with its partnerships </w:t>
      </w:r>
      <w:r w:rsidRPr="00111FDA">
        <w:lastRenderedPageBreak/>
        <w:t>with key players in various industries, will be crucial in solidifying its position as a pioneer in the AI revolution.</w:t>
      </w:r>
    </w:p>
    <w:p w14:paraId="3F7E432E" w14:textId="77777777" w:rsidR="00111FDA" w:rsidRPr="00111FDA" w:rsidRDefault="00111FDA" w:rsidP="00111FDA">
      <w:pPr>
        <w:pStyle w:val="whitespace-pre-wrap"/>
      </w:pPr>
      <w:r w:rsidRPr="00111FDA">
        <w:t>Alongside AI, the sustained prominence of words such as "computing", "computer", and "</w:t>
      </w:r>
      <w:proofErr w:type="spellStart"/>
      <w:r w:rsidRPr="00111FDA">
        <w:t>gpu</w:t>
      </w:r>
      <w:proofErr w:type="spellEnd"/>
      <w:r w:rsidRPr="00111FDA">
        <w:t>" underscores the enduring importance of high-performance computing and graphics technologies in NVIDIA's core business. As the demand for advanced computing solutions continues to grow across industries, driven by the increasing complexity of applications and the need for real-time processing, NVIDIA's cutting-edge GPU architectures and parallel computing capabilities will remain a critical driver of its success.</w:t>
      </w:r>
    </w:p>
    <w:p w14:paraId="69E403DD" w14:textId="77777777" w:rsidR="00111FDA" w:rsidRPr="00111FDA" w:rsidRDefault="00111FDA" w:rsidP="00111FDA">
      <w:pPr>
        <w:pStyle w:val="whitespace-pre-wrap"/>
      </w:pPr>
      <w:r w:rsidRPr="00111FDA">
        <w:t>Moreover, the emergence of new trends and opportunities, as evidenced by the increased frequency of words such as "vehicle", "robot", "software", and "platform", highlights the expanding scope of NVIDIA's influence and the potential for growth in adjacent markets. By leveraging its expertise in visual computing, AI, and software development, NVIDIA is well-positioned to capitalize on the rising demand for autonomous systems, intelligent machines, and end-to-end technology solutions.</w:t>
      </w:r>
    </w:p>
    <w:p w14:paraId="6B75326A" w14:textId="77777777" w:rsidR="00111FDA" w:rsidRPr="00111FDA" w:rsidRDefault="00111FDA" w:rsidP="00111FDA">
      <w:pPr>
        <w:pStyle w:val="whitespace-pre-wrap"/>
      </w:pPr>
      <w:r w:rsidRPr="00111FDA">
        <w:t>However, the rapid pace of technological change also presents challenges that NVIDIA must navigate carefully. As the technology landscape evolves, the company must remain agile and responsive to shifting market dynamics, customer needs, and competitive pressures. This will require a sustained focus on innovation, strategic partnerships, and talent development, as well as a commitment to responsible and ethical practices in the development and deployment of advanced technologies.</w:t>
      </w:r>
    </w:p>
    <w:p w14:paraId="0A1BF363" w14:textId="77777777" w:rsidR="00111FDA" w:rsidRPr="00111FDA" w:rsidRDefault="00111FDA" w:rsidP="00111FDA">
      <w:pPr>
        <w:pStyle w:val="whitespace-pre-wrap"/>
      </w:pPr>
      <w:r w:rsidRPr="00111FDA">
        <w:t>In conclusion, the data from NVIDIA's CEO letter to shareholders serves as a testament to the company's ability to anticipate and adapt to the complex and ever-changing world of technology. By embracing the opportunities presented by artificial intelligence, high-performance computing, and emerging technologies, while proactively addressing the challenges and responsibilities that come with their development and deployment, NVIDIA is poised to shape the future of technology and drive transformative impact across industries.</w:t>
      </w:r>
    </w:p>
    <w:p w14:paraId="6D54DF93" w14:textId="77777777" w:rsidR="00111FDA" w:rsidRPr="00111FDA" w:rsidRDefault="00111FDA" w:rsidP="00111FDA">
      <w:pPr>
        <w:pStyle w:val="whitespace-pre-wrap"/>
      </w:pPr>
      <w:r w:rsidRPr="00111FDA">
        <w:t xml:space="preserve">As NVIDIA looks ahead, it must continue to prioritize innovation, collaboration, and customer-centricity as the key pillars of its growth strategy. By investing in cutting-edge research, fostering strategic partnerships, and developing comprehensive solutions that address the evolving needs of its customers, NVIDIA can cement its position as a leader in the technology industry and create lasting value for its shareholders, employees, and </w:t>
      </w:r>
      <w:proofErr w:type="gramStart"/>
      <w:r w:rsidRPr="00111FDA">
        <w:t>society as a whole</w:t>
      </w:r>
      <w:proofErr w:type="gramEnd"/>
      <w:r w:rsidRPr="00111FDA">
        <w:t>.</w:t>
      </w:r>
    </w:p>
    <w:p w14:paraId="6C11F699" w14:textId="77777777" w:rsidR="00111FDA" w:rsidRPr="00111FDA" w:rsidRDefault="00111FDA" w:rsidP="00111FDA">
      <w:pPr>
        <w:pStyle w:val="whitespace-pre-wrap"/>
      </w:pPr>
      <w:r w:rsidRPr="00111FDA">
        <w:t>Ultimately, the success of NVIDIA's journey will depend on its ability to navigate the complex interplay of technological advancement, market dynamics, and societal expectations. By staying true to its core values of innovation, excellence, and responsibility, while adapting to the changing landscape of technology, NVIDIA can continue to push the boundaries of what is possible and shape a future in which technology serves as a powerful force for good.</w:t>
      </w:r>
    </w:p>
    <w:p w14:paraId="34D91552" w14:textId="12D6D64C" w:rsidR="00111FDA" w:rsidRPr="00EF0C04" w:rsidRDefault="00111FDA" w:rsidP="00EF0C04">
      <w:pPr>
        <w:pStyle w:val="whitespace-pre-wrap"/>
      </w:pPr>
    </w:p>
    <w:p w14:paraId="0982A6FC" w14:textId="77777777" w:rsidR="00EF0C04" w:rsidRDefault="00EF0C04" w:rsidP="00FB1470">
      <w:pPr>
        <w:pStyle w:val="whitespace-pre-wrap"/>
      </w:pPr>
    </w:p>
    <w:p w14:paraId="04CEE8CC" w14:textId="0DF11FD4" w:rsidR="00B1725A" w:rsidRPr="0015217A" w:rsidRDefault="00D24CB8">
      <w:pPr>
        <w:rPr>
          <w:b/>
          <w:bCs/>
        </w:rPr>
      </w:pPr>
      <w:r w:rsidRPr="0015217A">
        <w:rPr>
          <w:b/>
          <w:bCs/>
        </w:rPr>
        <w:lastRenderedPageBreak/>
        <w:t>REFERENCES</w:t>
      </w:r>
    </w:p>
    <w:p w14:paraId="188DB357" w14:textId="00E8123F" w:rsidR="00D24CB8" w:rsidRDefault="00D24CB8">
      <w:r>
        <w:t xml:space="preserve">Nvidia Corporation. (2022). 2022 Annual Review [PDF]. Retrieved from </w:t>
      </w:r>
      <w:hyperlink r:id="rId11" w:history="1">
        <w:r w:rsidRPr="008B212A">
          <w:rPr>
            <w:rStyle w:val="Hyperlink"/>
          </w:rPr>
          <w:t>https:</w:t>
        </w:r>
        <w:r w:rsidRPr="008B212A">
          <w:rPr>
            <w:rStyle w:val="Hyperlink"/>
          </w:rPr>
          <w:t>/</w:t>
        </w:r>
        <w:r w:rsidRPr="008B212A">
          <w:rPr>
            <w:rStyle w:val="Hyperlink"/>
          </w:rPr>
          <w:t>/s201.q4cdn.com/141608511/files/doc_financials/2022/ar/2022-Annual-Review.pdf</w:t>
        </w:r>
      </w:hyperlink>
    </w:p>
    <w:p w14:paraId="1BD0A44F" w14:textId="6352DDCF" w:rsidR="00D24CB8" w:rsidRDefault="00D24CB8">
      <w:r>
        <w:t xml:space="preserve">Nvidia Corporation. (2016). Nvidia Corporation 2016 Annual Report and Proxy Statement [PDF]. Retrieved from </w:t>
      </w:r>
      <w:hyperlink r:id="rId12" w:history="1">
        <w:r w:rsidRPr="008B212A">
          <w:rPr>
            <w:rStyle w:val="Hyperlink"/>
          </w:rPr>
          <w:t>https://s201.q4cdn.com/141608511/files/doc_financials/annual/2016/NV2016_AnnualReport_and_Proxy.pdf</w:t>
        </w:r>
      </w:hyperlink>
    </w:p>
    <w:p w14:paraId="75F69483" w14:textId="45BC493F" w:rsidR="00DD3201" w:rsidRDefault="00DD3201">
      <w:r>
        <w:t>Nvidia Corporation. (2011). Letter to Stockholders, Proxy Statement, and Form 10-K [PDF]. Retrieved from https://s201.q4cdn.com/141608511/files/doc_financials/annual/2011/Letter_to_Stockholders_Proxy_Statement_and_Form_10-K_2011.pdf</w:t>
      </w:r>
    </w:p>
    <w:sectPr w:rsidR="00DD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22D66"/>
    <w:multiLevelType w:val="multilevel"/>
    <w:tmpl w:val="B190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C5637"/>
    <w:multiLevelType w:val="multilevel"/>
    <w:tmpl w:val="8EC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65E9D"/>
    <w:multiLevelType w:val="multilevel"/>
    <w:tmpl w:val="055C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266160">
    <w:abstractNumId w:val="0"/>
  </w:num>
  <w:num w:numId="2" w16cid:durableId="2120907289">
    <w:abstractNumId w:val="2"/>
  </w:num>
  <w:num w:numId="3" w16cid:durableId="1262954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B8"/>
    <w:rsid w:val="00111FDA"/>
    <w:rsid w:val="00145478"/>
    <w:rsid w:val="0015217A"/>
    <w:rsid w:val="001B60F5"/>
    <w:rsid w:val="002A34C5"/>
    <w:rsid w:val="0056093B"/>
    <w:rsid w:val="00626296"/>
    <w:rsid w:val="00727704"/>
    <w:rsid w:val="007C13E8"/>
    <w:rsid w:val="007C7F00"/>
    <w:rsid w:val="00830C3F"/>
    <w:rsid w:val="009703D3"/>
    <w:rsid w:val="00B1725A"/>
    <w:rsid w:val="00CD7997"/>
    <w:rsid w:val="00D24CB8"/>
    <w:rsid w:val="00DD3201"/>
    <w:rsid w:val="00E4255E"/>
    <w:rsid w:val="00E82A88"/>
    <w:rsid w:val="00E85BD9"/>
    <w:rsid w:val="00EF0C04"/>
    <w:rsid w:val="00EF1CAF"/>
    <w:rsid w:val="00FB1470"/>
    <w:rsid w:val="00FC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7DCA"/>
  <w15:docId w15:val="{C06562B1-7BA0-43FD-8313-C46B753E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C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C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4C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4C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4C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4C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4C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C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C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4C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4C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4C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4C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4C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4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C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C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4CB8"/>
    <w:pPr>
      <w:spacing w:before="160"/>
      <w:jc w:val="center"/>
    </w:pPr>
    <w:rPr>
      <w:i/>
      <w:iCs/>
      <w:color w:val="404040" w:themeColor="text1" w:themeTint="BF"/>
    </w:rPr>
  </w:style>
  <w:style w:type="character" w:customStyle="1" w:styleId="QuoteChar">
    <w:name w:val="Quote Char"/>
    <w:basedOn w:val="DefaultParagraphFont"/>
    <w:link w:val="Quote"/>
    <w:uiPriority w:val="29"/>
    <w:rsid w:val="00D24CB8"/>
    <w:rPr>
      <w:i/>
      <w:iCs/>
      <w:color w:val="404040" w:themeColor="text1" w:themeTint="BF"/>
    </w:rPr>
  </w:style>
  <w:style w:type="paragraph" w:styleId="ListParagraph">
    <w:name w:val="List Paragraph"/>
    <w:basedOn w:val="Normal"/>
    <w:uiPriority w:val="34"/>
    <w:qFormat/>
    <w:rsid w:val="00D24CB8"/>
    <w:pPr>
      <w:ind w:left="720"/>
      <w:contextualSpacing/>
    </w:pPr>
  </w:style>
  <w:style w:type="character" w:styleId="IntenseEmphasis">
    <w:name w:val="Intense Emphasis"/>
    <w:basedOn w:val="DefaultParagraphFont"/>
    <w:uiPriority w:val="21"/>
    <w:qFormat/>
    <w:rsid w:val="00D24CB8"/>
    <w:rPr>
      <w:i/>
      <w:iCs/>
      <w:color w:val="0F4761" w:themeColor="accent1" w:themeShade="BF"/>
    </w:rPr>
  </w:style>
  <w:style w:type="paragraph" w:styleId="IntenseQuote">
    <w:name w:val="Intense Quote"/>
    <w:basedOn w:val="Normal"/>
    <w:next w:val="Normal"/>
    <w:link w:val="IntenseQuoteChar"/>
    <w:uiPriority w:val="30"/>
    <w:qFormat/>
    <w:rsid w:val="00D24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CB8"/>
    <w:rPr>
      <w:i/>
      <w:iCs/>
      <w:color w:val="0F4761" w:themeColor="accent1" w:themeShade="BF"/>
    </w:rPr>
  </w:style>
  <w:style w:type="character" w:styleId="IntenseReference">
    <w:name w:val="Intense Reference"/>
    <w:basedOn w:val="DefaultParagraphFont"/>
    <w:uiPriority w:val="32"/>
    <w:qFormat/>
    <w:rsid w:val="00D24CB8"/>
    <w:rPr>
      <w:b/>
      <w:bCs/>
      <w:smallCaps/>
      <w:color w:val="0F4761" w:themeColor="accent1" w:themeShade="BF"/>
      <w:spacing w:val="5"/>
    </w:rPr>
  </w:style>
  <w:style w:type="character" w:styleId="Hyperlink">
    <w:name w:val="Hyperlink"/>
    <w:basedOn w:val="DefaultParagraphFont"/>
    <w:uiPriority w:val="99"/>
    <w:unhideWhenUsed/>
    <w:rsid w:val="00D24CB8"/>
    <w:rPr>
      <w:color w:val="467886" w:themeColor="hyperlink"/>
      <w:u w:val="single"/>
    </w:rPr>
  </w:style>
  <w:style w:type="character" w:styleId="UnresolvedMention">
    <w:name w:val="Unresolved Mention"/>
    <w:basedOn w:val="DefaultParagraphFont"/>
    <w:uiPriority w:val="99"/>
    <w:semiHidden/>
    <w:unhideWhenUsed/>
    <w:rsid w:val="00D24CB8"/>
    <w:rPr>
      <w:color w:val="605E5C"/>
      <w:shd w:val="clear" w:color="auto" w:fill="E1DFDD"/>
    </w:rPr>
  </w:style>
  <w:style w:type="character" w:styleId="FollowedHyperlink">
    <w:name w:val="FollowedHyperlink"/>
    <w:basedOn w:val="DefaultParagraphFont"/>
    <w:uiPriority w:val="99"/>
    <w:semiHidden/>
    <w:unhideWhenUsed/>
    <w:rsid w:val="00D24CB8"/>
    <w:rPr>
      <w:color w:val="96607D" w:themeColor="followedHyperlink"/>
      <w:u w:val="single"/>
    </w:rPr>
  </w:style>
  <w:style w:type="paragraph" w:styleId="Caption">
    <w:name w:val="caption"/>
    <w:basedOn w:val="Normal"/>
    <w:next w:val="Normal"/>
    <w:uiPriority w:val="35"/>
    <w:unhideWhenUsed/>
    <w:qFormat/>
    <w:rsid w:val="0056093B"/>
    <w:pPr>
      <w:spacing w:after="200" w:line="240" w:lineRule="auto"/>
    </w:pPr>
    <w:rPr>
      <w:i/>
      <w:iCs/>
      <w:color w:val="0E2841" w:themeColor="text2"/>
      <w:sz w:val="18"/>
      <w:szCs w:val="18"/>
    </w:rPr>
  </w:style>
  <w:style w:type="paragraph" w:customStyle="1" w:styleId="whitespace-pre-wrap">
    <w:name w:val="whitespace-pre-wrap"/>
    <w:basedOn w:val="Normal"/>
    <w:rsid w:val="00FB1470"/>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5481">
      <w:bodyDiv w:val="1"/>
      <w:marLeft w:val="0"/>
      <w:marRight w:val="0"/>
      <w:marTop w:val="0"/>
      <w:marBottom w:val="0"/>
      <w:divBdr>
        <w:top w:val="none" w:sz="0" w:space="0" w:color="auto"/>
        <w:left w:val="none" w:sz="0" w:space="0" w:color="auto"/>
        <w:bottom w:val="none" w:sz="0" w:space="0" w:color="auto"/>
        <w:right w:val="none" w:sz="0" w:space="0" w:color="auto"/>
      </w:divBdr>
    </w:div>
    <w:div w:id="1064991855">
      <w:bodyDiv w:val="1"/>
      <w:marLeft w:val="0"/>
      <w:marRight w:val="0"/>
      <w:marTop w:val="0"/>
      <w:marBottom w:val="0"/>
      <w:divBdr>
        <w:top w:val="none" w:sz="0" w:space="0" w:color="auto"/>
        <w:left w:val="none" w:sz="0" w:space="0" w:color="auto"/>
        <w:bottom w:val="none" w:sz="0" w:space="0" w:color="auto"/>
        <w:right w:val="none" w:sz="0" w:space="0" w:color="auto"/>
      </w:divBdr>
      <w:divsChild>
        <w:div w:id="1738743678">
          <w:marLeft w:val="0"/>
          <w:marRight w:val="0"/>
          <w:marTop w:val="0"/>
          <w:marBottom w:val="0"/>
          <w:divBdr>
            <w:top w:val="none" w:sz="0" w:space="0" w:color="auto"/>
            <w:left w:val="none" w:sz="0" w:space="0" w:color="auto"/>
            <w:bottom w:val="none" w:sz="0" w:space="0" w:color="auto"/>
            <w:right w:val="none" w:sz="0" w:space="0" w:color="auto"/>
          </w:divBdr>
          <w:divsChild>
            <w:div w:id="117142142">
              <w:marLeft w:val="0"/>
              <w:marRight w:val="0"/>
              <w:marTop w:val="0"/>
              <w:marBottom w:val="0"/>
              <w:divBdr>
                <w:top w:val="none" w:sz="0" w:space="0" w:color="auto"/>
                <w:left w:val="none" w:sz="0" w:space="0" w:color="auto"/>
                <w:bottom w:val="none" w:sz="0" w:space="0" w:color="auto"/>
                <w:right w:val="none" w:sz="0" w:space="0" w:color="auto"/>
              </w:divBdr>
              <w:divsChild>
                <w:div w:id="12095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9159">
      <w:bodyDiv w:val="1"/>
      <w:marLeft w:val="0"/>
      <w:marRight w:val="0"/>
      <w:marTop w:val="0"/>
      <w:marBottom w:val="0"/>
      <w:divBdr>
        <w:top w:val="none" w:sz="0" w:space="0" w:color="auto"/>
        <w:left w:val="none" w:sz="0" w:space="0" w:color="auto"/>
        <w:bottom w:val="none" w:sz="0" w:space="0" w:color="auto"/>
        <w:right w:val="none" w:sz="0" w:space="0" w:color="auto"/>
      </w:divBdr>
    </w:div>
    <w:div w:id="1196163149">
      <w:bodyDiv w:val="1"/>
      <w:marLeft w:val="0"/>
      <w:marRight w:val="0"/>
      <w:marTop w:val="0"/>
      <w:marBottom w:val="0"/>
      <w:divBdr>
        <w:top w:val="none" w:sz="0" w:space="0" w:color="auto"/>
        <w:left w:val="none" w:sz="0" w:space="0" w:color="auto"/>
        <w:bottom w:val="none" w:sz="0" w:space="0" w:color="auto"/>
        <w:right w:val="none" w:sz="0" w:space="0" w:color="auto"/>
      </w:divBdr>
    </w:div>
    <w:div w:id="1420059150">
      <w:bodyDiv w:val="1"/>
      <w:marLeft w:val="0"/>
      <w:marRight w:val="0"/>
      <w:marTop w:val="0"/>
      <w:marBottom w:val="0"/>
      <w:divBdr>
        <w:top w:val="none" w:sz="0" w:space="0" w:color="auto"/>
        <w:left w:val="none" w:sz="0" w:space="0" w:color="auto"/>
        <w:bottom w:val="none" w:sz="0" w:space="0" w:color="auto"/>
        <w:right w:val="none" w:sz="0" w:space="0" w:color="auto"/>
      </w:divBdr>
    </w:div>
    <w:div w:id="1525510072">
      <w:bodyDiv w:val="1"/>
      <w:marLeft w:val="0"/>
      <w:marRight w:val="0"/>
      <w:marTop w:val="0"/>
      <w:marBottom w:val="0"/>
      <w:divBdr>
        <w:top w:val="none" w:sz="0" w:space="0" w:color="auto"/>
        <w:left w:val="none" w:sz="0" w:space="0" w:color="auto"/>
        <w:bottom w:val="none" w:sz="0" w:space="0" w:color="auto"/>
        <w:right w:val="none" w:sz="0" w:space="0" w:color="auto"/>
      </w:divBdr>
    </w:div>
    <w:div w:id="1631478120">
      <w:bodyDiv w:val="1"/>
      <w:marLeft w:val="0"/>
      <w:marRight w:val="0"/>
      <w:marTop w:val="0"/>
      <w:marBottom w:val="0"/>
      <w:divBdr>
        <w:top w:val="none" w:sz="0" w:space="0" w:color="auto"/>
        <w:left w:val="none" w:sz="0" w:space="0" w:color="auto"/>
        <w:bottom w:val="none" w:sz="0" w:space="0" w:color="auto"/>
        <w:right w:val="none" w:sz="0" w:space="0" w:color="auto"/>
      </w:divBdr>
    </w:div>
    <w:div w:id="203183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201.q4cdn.com/141608511/files/doc_financials/annual/2016/NV2016_AnnualReport_and_Prox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201.q4cdn.com/141608511/files/doc_financials/2022/ar/2022-Annual-Review.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3F70-C6BF-43F9-9D10-C98CA0FA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3</cp:revision>
  <dcterms:created xsi:type="dcterms:W3CDTF">2024-05-08T00:12:00Z</dcterms:created>
  <dcterms:modified xsi:type="dcterms:W3CDTF">2024-05-08T00:16:00Z</dcterms:modified>
</cp:coreProperties>
</file>