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t>Draft thesis paper (journal submission format)</w:t>
      </w:r>
      <w:r>
        <w:br/>
        <w:t>February 23, 2026</w:t>
      </w:r>
      <w:r>
        <w:br/>
      </w:r>
    </w:p>
    <w:p w14:paraId="3A9CB2B0" w14:textId="77777777" w:rsidR="003F0EA7" w:rsidRDefault="00000000">
      <w:r>
        <w:br w:type="page"/>
      </w:r>
    </w:p>
    <w:p w14:paraId="287FE3EE" w14:textId="77777777" w:rsidR="003F0EA7" w:rsidRDefault="00000000">
      <w:pPr>
        <w:pStyle w:val="Heading1"/>
      </w:pPr>
      <w:r>
        <w:lastRenderedPageBreak/>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preserve judge style. The primary test statistic is a judge’s pairwise margin-shift: the change in the published score difference between two competitors attributable to the judge’s marks, relative to a median-of-others neutralization. To avoid conflating bias with style, we introduce a distribution-preserving style control that retains each judge’s empirical marginal score distribution (separately for GOE and each PCS component) while breaking any stable judge–competitor association. We illustrate the method on the Olympic Winter Games 2026 Ice Dance Free Dance segment using the official ‘Judges Details per Skater’ sheet, and we outline a database-scale evaluation across multiple seasons and competitions (results TBD).</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r>
      <w:r>
        <w:br/>
      </w:r>
      <w: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r>
      <w:r>
        <w:br/>
      </w:r>
      <w: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preserve judge style, so that the test targets competitor-specific differential rather than global leniency/harshness or variance.</w:t>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Zitzewitz; Lee). Most approaches estimate bias using regression or panel models across many events, or by comparing judges’ marks to some benchmark such as the panel average. The present work differs in </w:t>
      </w:r>
      <w:r>
        <w:lastRenderedPageBreak/>
        <w:t>three respects: (i) it produces pairwise competitor-level inference within a single event; (ii) it expresses bias in the native unit of the scoring system (points of margin shift); and (iii) it uses nonparametric permutation inference under style-preserving nulls.</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r>
      <w:r>
        <w:br/>
      </w:r>
      <w: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r>
      <w:r>
        <w:br/>
      </w:r>
      <w:r>
        <w:br/>
        <w:t>3.3. Multi-event database (for aggregate analysis; results TBD). The broader research program maintains an SQLite database of ISU scoring sheets (2022–2026) spanning 17 competitions and 141 discipline×segment events, containing over 200,000 individual judge GOE grades and over 66,000 individual PCS marks. The present paper focuses on the single-event methodology and its validation on the Olympic example; aggregate results across the full database are reserved for subsequent work.</w:t>
      </w:r>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r>
      <w:r>
        <w:br/>
      </w:r>
      <w:r>
        <w:br/>
        <w:t>We seek, for each judge j and each ordered competitor pair (A,B), an interpretable effect size measuring whether judge j shifts the published margin between A and B relative to the rest of the panel, along with a nonparametric p-value for extremeness under a null hypothesis of no competitor-specific differential.</w:t>
      </w:r>
    </w:p>
    <w:p w14:paraId="2C01A0A4" w14:textId="77777777" w:rsidR="003F0EA7" w:rsidRDefault="00000000">
      <w:pPr>
        <w:pStyle w:val="Heading1"/>
      </w:pPr>
      <w:r>
        <w:lastRenderedPageBreak/>
        <w:t>5. Bias statistic: ISU-impact margin shift</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br/>
      </w:r>
      <w:r>
        <w:br/>
        <w:t>6.2. Distribution-preserving style-adjusted null (primary). Partition rows into scoring categories c (GOE and each PCS component). For each judge j and category c, form the empirical distribution of that judge’s marks across the event and define an empirical CDF F_j,c. Map each observed mark to a percentile u_j,r,T = F_j,c(x_j,r,T), using randomized tie-breaking to handle discreteness. Under the null, within each row we permute the nine percentiles across judge labels, then map percentiles back to marks using the inverse empirical CDF of the receiving judge: x_perm_j,r,T = F^{-1}_j,c(u_perm_j,r,T). This preserves each judge’s full marginal distribution of marks within each category while breaking any stable judge–competitor association.</w:t>
      </w:r>
      <w:r>
        <w:br/>
      </w:r>
      <w:r>
        <w:br/>
        <w:t xml:space="preserve">6.3. Permutation p-values. For each (j,A,B), compute the observed B_j(A,B). Generate M permutations </w:t>
      </w:r>
      <w:r>
        <w:lastRenderedPageBreak/>
        <w:t>under the null, recompute B_perm_j(A,B) each time, and assign a two-sided Monte Carlo p-value:</w:t>
      </w:r>
      <w:r>
        <w:br/>
        <w:t xml:space="preserve">    p = (1 + count(|B_perm| &gt;= |B_obs|)) / (M + 1).</w:t>
      </w:r>
      <w:r>
        <w:br/>
      </w:r>
      <w:r>
        <w:br/>
        <w:t>6.4. Multiple comparisons. In a segment with N competitors and J judges there are J*N*(N-1)/2 pairwise tests. We report Benjamini–Hochberg false discovery rate (FDR) adjusted q-values within each event segment, and we discuss hierarchical control strategies for multi-event studies.</w:t>
      </w:r>
    </w:p>
    <w:p w14:paraId="45F03631" w14:textId="77777777" w:rsidR="003F0EA7" w:rsidRDefault="00000000">
      <w:pPr>
        <w:pStyle w:val="Heading1"/>
      </w:pPr>
      <w:r>
        <w:t>7. Calibration, effect sizes, and diagnostic metrics</w:t>
      </w:r>
    </w:p>
    <w:p w14:paraId="2B5BD2A3" w14:textId="77777777" w:rsidR="003F0EA7" w:rsidRDefault="00000000">
      <w:r>
        <w:t>7.1. Effect size in points. B_j(A,B) is a margin-shift in the same units that determine placements. This enables outcome-determinative diagnostics: compare |B_j(A,B)| to the observed A–B margin.</w:t>
      </w:r>
      <w:r>
        <w:br/>
      </w:r>
      <w:r>
        <w:br/>
        <w:t>7.2. Surprise score (bits). For communication and for connecting to binary pairwise ‘votes,’ we define the surprisal of an observed event under a predictive null as S = -log2 P(event). This is additive across independent events and maps directly to probabilities via P = 2^{-S}. (Appendix A.)</w:t>
      </w:r>
      <w:r>
        <w:br/>
      </w:r>
      <w:r>
        <w:br/>
        <w:t>7.3. Sensitivity to prior parameters. When using predictive models (e.g., Beta–Binomial) rather than permutation nulls, the symmetric prior parameter α in Beta(α,α) governs how strongly one shrinks toward p=0.5. Smaller α makes unanimity more informative and dissent more surprising; larger α does the opposite. (Appendix B.)</w:t>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style-adjusted (distribution-preserving) permutations.</w:t>
      </w:r>
      <w:r>
        <w:br/>
      </w:r>
      <w:r>
        <w:br/>
        <w:t>Illustrative pair (Gold vs Silver). Let A be the 1st-place team (Fournier Beaudry / Cizeron) and B be the 2nd-place team (Chock / Bates). Under the style-adjusted distribution-preserving null, judge J1 shifts the published A–B margin toward A by approximately +1.14 points (B_{J1}(A,B)=+1.144), with p=0.0007 and q=0.0266 (BH-FDR within-event). Other judges’ shifts for this pair are smaller in magnitude and not FDR-significant at 0.05.</w:t>
      </w:r>
      <w:r>
        <w:br/>
      </w:r>
      <w:r>
        <w:br/>
        <w:t>Event-level patterns. Across all 190 competitor pairs, the number of FDR-significant pairwise differentials (q&lt;=0.05) varies by judge in this segment (e.g., J8: 22; J3: 21; J6: 19; J4: 17; J1: 3; others fewer). These event-local counts are descriptive and intended to motivate database-scale stability and calibration analyses (Section 9; results TBD).</w:t>
      </w:r>
    </w:p>
    <w:p w14:paraId="4148F1FD" w14:textId="77777777" w:rsidR="003F0EA7" w:rsidRDefault="00000000">
      <w:r>
        <w:t>Table 1. Gold vs Silver pairwise margin shift by judge (GOE+PCS; style-adjusted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t>J1</w:t>
            </w:r>
          </w:p>
        </w:tc>
        <w:tc>
          <w:tcPr>
            <w:tcW w:w="1872" w:type="dxa"/>
          </w:tcPr>
          <w:p w14:paraId="2A325C8B" w14:textId="77777777" w:rsidR="003F0EA7" w:rsidRDefault="00000000">
            <w:r>
              <w:t>1.144</w:t>
            </w:r>
          </w:p>
        </w:tc>
        <w:tc>
          <w:tcPr>
            <w:tcW w:w="1872" w:type="dxa"/>
          </w:tcPr>
          <w:p w14:paraId="6915146A" w14:textId="77777777" w:rsidR="003F0EA7" w:rsidRDefault="00000000">
            <w:r>
              <w:t>A</w:t>
            </w:r>
          </w:p>
        </w:tc>
        <w:tc>
          <w:tcPr>
            <w:tcW w:w="1872" w:type="dxa"/>
          </w:tcPr>
          <w:p w14:paraId="68BD1121" w14:textId="77777777" w:rsidR="003F0EA7" w:rsidRDefault="00000000">
            <w:r>
              <w:t>0.0007</w:t>
            </w:r>
          </w:p>
        </w:tc>
        <w:tc>
          <w:tcPr>
            <w:tcW w:w="1872" w:type="dxa"/>
          </w:tcPr>
          <w:p w14:paraId="38470B09" w14:textId="77777777" w:rsidR="003F0EA7" w:rsidRDefault="00000000">
            <w:r>
              <w:t>0.0266</w:t>
            </w:r>
          </w:p>
        </w:tc>
      </w:tr>
      <w:tr w:rsidR="003F0EA7" w14:paraId="7C6D271B" w14:textId="77777777">
        <w:tc>
          <w:tcPr>
            <w:tcW w:w="1872" w:type="dxa"/>
          </w:tcPr>
          <w:p w14:paraId="6244F2C2" w14:textId="77777777" w:rsidR="003F0EA7" w:rsidRDefault="00000000">
            <w:r>
              <w:t>J2</w:t>
            </w:r>
          </w:p>
        </w:tc>
        <w:tc>
          <w:tcPr>
            <w:tcW w:w="1872" w:type="dxa"/>
          </w:tcPr>
          <w:p w14:paraId="0A21D904" w14:textId="77777777" w:rsidR="003F0EA7" w:rsidRDefault="00000000">
            <w:r>
              <w:t>-0.224</w:t>
            </w:r>
          </w:p>
        </w:tc>
        <w:tc>
          <w:tcPr>
            <w:tcW w:w="1872" w:type="dxa"/>
          </w:tcPr>
          <w:p w14:paraId="4F8F2E71" w14:textId="77777777" w:rsidR="003F0EA7" w:rsidRDefault="00000000">
            <w:r>
              <w:t>B</w:t>
            </w:r>
          </w:p>
        </w:tc>
        <w:tc>
          <w:tcPr>
            <w:tcW w:w="1872" w:type="dxa"/>
          </w:tcPr>
          <w:p w14:paraId="42F58389" w14:textId="77777777" w:rsidR="003F0EA7" w:rsidRDefault="00000000">
            <w:r>
              <w:t>0.5188</w:t>
            </w:r>
          </w:p>
        </w:tc>
        <w:tc>
          <w:tcPr>
            <w:tcW w:w="1872" w:type="dxa"/>
          </w:tcPr>
          <w:p w14:paraId="5FC3FA7B" w14:textId="77777777" w:rsidR="003F0EA7" w:rsidRDefault="00000000">
            <w:r>
              <w:t>0.7565</w:t>
            </w:r>
          </w:p>
        </w:tc>
      </w:tr>
      <w:tr w:rsidR="003F0EA7" w14:paraId="0BB495B8" w14:textId="77777777">
        <w:tc>
          <w:tcPr>
            <w:tcW w:w="1872" w:type="dxa"/>
          </w:tcPr>
          <w:p w14:paraId="028242A1" w14:textId="77777777" w:rsidR="003F0EA7" w:rsidRDefault="00000000">
            <w:r>
              <w:lastRenderedPageBreak/>
              <w:t>J3</w:t>
            </w:r>
          </w:p>
        </w:tc>
        <w:tc>
          <w:tcPr>
            <w:tcW w:w="1872" w:type="dxa"/>
          </w:tcPr>
          <w:p w14:paraId="5A42CBB7" w14:textId="77777777" w:rsidR="003F0EA7" w:rsidRDefault="00000000">
            <w:r>
              <w:t>0.674</w:t>
            </w:r>
          </w:p>
        </w:tc>
        <w:tc>
          <w:tcPr>
            <w:tcW w:w="1872" w:type="dxa"/>
          </w:tcPr>
          <w:p w14:paraId="4F8E1249" w14:textId="77777777" w:rsidR="003F0EA7" w:rsidRDefault="00000000">
            <w:r>
              <w:t>A</w:t>
            </w:r>
          </w:p>
        </w:tc>
        <w:tc>
          <w:tcPr>
            <w:tcW w:w="1872" w:type="dxa"/>
          </w:tcPr>
          <w:p w14:paraId="18604D18" w14:textId="77777777" w:rsidR="003F0EA7" w:rsidRDefault="00000000">
            <w:r>
              <w:t>0.0378</w:t>
            </w:r>
          </w:p>
        </w:tc>
        <w:tc>
          <w:tcPr>
            <w:tcW w:w="1872" w:type="dxa"/>
          </w:tcPr>
          <w:p w14:paraId="417A4BA3" w14:textId="77777777" w:rsidR="003F0EA7" w:rsidRDefault="00000000">
            <w:r>
              <w:t>0.1912</w:t>
            </w:r>
          </w:p>
        </w:tc>
      </w:tr>
      <w:tr w:rsidR="003F0EA7" w14:paraId="46965FE5" w14:textId="77777777">
        <w:tc>
          <w:tcPr>
            <w:tcW w:w="1872" w:type="dxa"/>
          </w:tcPr>
          <w:p w14:paraId="29E05DBB" w14:textId="77777777" w:rsidR="003F0EA7" w:rsidRDefault="00000000">
            <w:r>
              <w:t>J4</w:t>
            </w:r>
          </w:p>
        </w:tc>
        <w:tc>
          <w:tcPr>
            <w:tcW w:w="1872" w:type="dxa"/>
          </w:tcPr>
          <w:p w14:paraId="1F789704" w14:textId="77777777" w:rsidR="003F0EA7" w:rsidRDefault="00000000">
            <w:r>
              <w:t>0.112</w:t>
            </w:r>
          </w:p>
        </w:tc>
        <w:tc>
          <w:tcPr>
            <w:tcW w:w="1872" w:type="dxa"/>
          </w:tcPr>
          <w:p w14:paraId="70464440" w14:textId="77777777" w:rsidR="003F0EA7" w:rsidRDefault="00000000">
            <w:r>
              <w:t>A</w:t>
            </w:r>
          </w:p>
        </w:tc>
        <w:tc>
          <w:tcPr>
            <w:tcW w:w="1872" w:type="dxa"/>
          </w:tcPr>
          <w:p w14:paraId="52B5363F" w14:textId="77777777" w:rsidR="003F0EA7" w:rsidRDefault="00000000">
            <w:r>
              <w:t>0.7377</w:t>
            </w:r>
          </w:p>
        </w:tc>
        <w:tc>
          <w:tcPr>
            <w:tcW w:w="1872" w:type="dxa"/>
          </w:tcPr>
          <w:p w14:paraId="0CEEF76A" w14:textId="77777777" w:rsidR="003F0EA7" w:rsidRDefault="00000000">
            <w:r>
              <w:t>0.8803</w:t>
            </w:r>
          </w:p>
        </w:tc>
      </w:tr>
      <w:tr w:rsidR="003F0EA7" w14:paraId="425B0F98" w14:textId="77777777">
        <w:tc>
          <w:tcPr>
            <w:tcW w:w="1872" w:type="dxa"/>
          </w:tcPr>
          <w:p w14:paraId="11E9AB7C" w14:textId="77777777" w:rsidR="003F0EA7" w:rsidRDefault="00000000">
            <w:r>
              <w:t>J5</w:t>
            </w:r>
          </w:p>
        </w:tc>
        <w:tc>
          <w:tcPr>
            <w:tcW w:w="1872" w:type="dxa"/>
          </w:tcPr>
          <w:p w14:paraId="4C647EFA" w14:textId="77777777" w:rsidR="003F0EA7" w:rsidRDefault="00000000">
            <w:r>
              <w:t>-0.764</w:t>
            </w:r>
          </w:p>
        </w:tc>
        <w:tc>
          <w:tcPr>
            <w:tcW w:w="1872" w:type="dxa"/>
          </w:tcPr>
          <w:p w14:paraId="466808DF" w14:textId="77777777" w:rsidR="003F0EA7" w:rsidRDefault="00000000">
            <w:r>
              <w:t>B</w:t>
            </w:r>
          </w:p>
        </w:tc>
        <w:tc>
          <w:tcPr>
            <w:tcW w:w="1872" w:type="dxa"/>
          </w:tcPr>
          <w:p w14:paraId="20293ADD" w14:textId="77777777" w:rsidR="003F0EA7" w:rsidRDefault="00000000">
            <w:r>
              <w:t>0.0215</w:t>
            </w:r>
          </w:p>
        </w:tc>
        <w:tc>
          <w:tcPr>
            <w:tcW w:w="1872" w:type="dxa"/>
          </w:tcPr>
          <w:p w14:paraId="68C400AE" w14:textId="77777777" w:rsidR="003F0EA7" w:rsidRDefault="00000000">
            <w:r>
              <w:t>0.1372</w:t>
            </w:r>
          </w:p>
        </w:tc>
      </w:tr>
      <w:tr w:rsidR="003F0EA7" w14:paraId="2F6DC5B9" w14:textId="77777777">
        <w:tc>
          <w:tcPr>
            <w:tcW w:w="1872" w:type="dxa"/>
          </w:tcPr>
          <w:p w14:paraId="3A7201C7" w14:textId="77777777" w:rsidR="003F0EA7" w:rsidRDefault="00000000">
            <w:r>
              <w:t>J6</w:t>
            </w:r>
          </w:p>
        </w:tc>
        <w:tc>
          <w:tcPr>
            <w:tcW w:w="1872" w:type="dxa"/>
          </w:tcPr>
          <w:p w14:paraId="42BAF4AD" w14:textId="77777777" w:rsidR="003F0EA7" w:rsidRDefault="00000000">
            <w:r>
              <w:t>0.033</w:t>
            </w:r>
          </w:p>
        </w:tc>
        <w:tc>
          <w:tcPr>
            <w:tcW w:w="1872" w:type="dxa"/>
          </w:tcPr>
          <w:p w14:paraId="19497255" w14:textId="77777777" w:rsidR="003F0EA7" w:rsidRDefault="00000000">
            <w:r>
              <w:t>A</w:t>
            </w:r>
          </w:p>
        </w:tc>
        <w:tc>
          <w:tcPr>
            <w:tcW w:w="1872" w:type="dxa"/>
          </w:tcPr>
          <w:p w14:paraId="31B3E66B" w14:textId="77777777" w:rsidR="003F0EA7" w:rsidRDefault="00000000">
            <w:r>
              <w:t>0.9195</w:t>
            </w:r>
          </w:p>
        </w:tc>
        <w:tc>
          <w:tcPr>
            <w:tcW w:w="1872" w:type="dxa"/>
          </w:tcPr>
          <w:p w14:paraId="5D9B71E8" w14:textId="77777777" w:rsidR="003F0EA7" w:rsidRDefault="00000000">
            <w:r>
              <w:t>0.9658</w:t>
            </w:r>
          </w:p>
        </w:tc>
      </w:tr>
      <w:tr w:rsidR="003F0EA7" w14:paraId="31737C1B" w14:textId="77777777">
        <w:tc>
          <w:tcPr>
            <w:tcW w:w="1872" w:type="dxa"/>
          </w:tcPr>
          <w:p w14:paraId="21470806" w14:textId="77777777" w:rsidR="003F0EA7" w:rsidRDefault="00000000">
            <w:r>
              <w:t>J7</w:t>
            </w:r>
          </w:p>
        </w:tc>
        <w:tc>
          <w:tcPr>
            <w:tcW w:w="1872" w:type="dxa"/>
          </w:tcPr>
          <w:p w14:paraId="3D0BA266" w14:textId="77777777" w:rsidR="003F0EA7" w:rsidRDefault="00000000">
            <w:r>
              <w:t>-0.104</w:t>
            </w:r>
          </w:p>
        </w:tc>
        <w:tc>
          <w:tcPr>
            <w:tcW w:w="1872" w:type="dxa"/>
          </w:tcPr>
          <w:p w14:paraId="02620331" w14:textId="77777777" w:rsidR="003F0EA7" w:rsidRDefault="00000000">
            <w:r>
              <w:t>B</w:t>
            </w:r>
          </w:p>
        </w:tc>
        <w:tc>
          <w:tcPr>
            <w:tcW w:w="1872" w:type="dxa"/>
          </w:tcPr>
          <w:p w14:paraId="05212401" w14:textId="77777777" w:rsidR="003F0EA7" w:rsidRDefault="00000000">
            <w:r>
              <w:t>0.7747</w:t>
            </w:r>
          </w:p>
        </w:tc>
        <w:tc>
          <w:tcPr>
            <w:tcW w:w="1872" w:type="dxa"/>
          </w:tcPr>
          <w:p w14:paraId="636EEC7E" w14:textId="77777777" w:rsidR="003F0EA7" w:rsidRDefault="00000000">
            <w:r>
              <w:t>0.9012</w:t>
            </w:r>
          </w:p>
        </w:tc>
      </w:tr>
      <w:tr w:rsidR="003F0EA7" w14:paraId="4572D74A" w14:textId="77777777">
        <w:tc>
          <w:tcPr>
            <w:tcW w:w="1872" w:type="dxa"/>
          </w:tcPr>
          <w:p w14:paraId="366CDDF1" w14:textId="77777777" w:rsidR="003F0EA7" w:rsidRDefault="00000000">
            <w:r>
              <w:t>J8</w:t>
            </w:r>
          </w:p>
        </w:tc>
        <w:tc>
          <w:tcPr>
            <w:tcW w:w="1872" w:type="dxa"/>
          </w:tcPr>
          <w:p w14:paraId="098B40FE" w14:textId="77777777" w:rsidR="003F0EA7" w:rsidRDefault="00000000">
            <w:r>
              <w:t>-0.523</w:t>
            </w:r>
          </w:p>
        </w:tc>
        <w:tc>
          <w:tcPr>
            <w:tcW w:w="1872" w:type="dxa"/>
          </w:tcPr>
          <w:p w14:paraId="3E490CF7" w14:textId="77777777" w:rsidR="003F0EA7" w:rsidRDefault="00000000">
            <w:r>
              <w:t>B</w:t>
            </w:r>
          </w:p>
        </w:tc>
        <w:tc>
          <w:tcPr>
            <w:tcW w:w="1872" w:type="dxa"/>
          </w:tcPr>
          <w:p w14:paraId="13833E85" w14:textId="77777777" w:rsidR="003F0EA7" w:rsidRDefault="00000000">
            <w:r>
              <w:t>0.1284</w:t>
            </w:r>
          </w:p>
        </w:tc>
        <w:tc>
          <w:tcPr>
            <w:tcW w:w="1872" w:type="dxa"/>
          </w:tcPr>
          <w:p w14:paraId="2D021F2D" w14:textId="77777777" w:rsidR="003F0EA7" w:rsidRDefault="00000000">
            <w:r>
              <w:t>0.3581</w:t>
            </w:r>
          </w:p>
        </w:tc>
      </w:tr>
      <w:tr w:rsidR="003F0EA7" w14:paraId="65DA67E6" w14:textId="77777777">
        <w:tc>
          <w:tcPr>
            <w:tcW w:w="1872" w:type="dxa"/>
          </w:tcPr>
          <w:p w14:paraId="61BA18D5" w14:textId="77777777" w:rsidR="003F0EA7" w:rsidRDefault="00000000">
            <w:r>
              <w:t>J9</w:t>
            </w:r>
          </w:p>
        </w:tc>
        <w:tc>
          <w:tcPr>
            <w:tcW w:w="1872" w:type="dxa"/>
          </w:tcPr>
          <w:p w14:paraId="3B57933F" w14:textId="77777777" w:rsidR="003F0EA7" w:rsidRDefault="00000000">
            <w:r>
              <w:t>0.380</w:t>
            </w:r>
          </w:p>
        </w:tc>
        <w:tc>
          <w:tcPr>
            <w:tcW w:w="1872" w:type="dxa"/>
          </w:tcPr>
          <w:p w14:paraId="29B8B8FF" w14:textId="77777777" w:rsidR="003F0EA7" w:rsidRDefault="00000000">
            <w:r>
              <w:t>A</w:t>
            </w:r>
          </w:p>
        </w:tc>
        <w:tc>
          <w:tcPr>
            <w:tcW w:w="1872" w:type="dxa"/>
          </w:tcPr>
          <w:p w14:paraId="2E9DD1B3" w14:textId="77777777" w:rsidR="003F0EA7" w:rsidRDefault="00000000">
            <w:r>
              <w:t>0.2590</w:t>
            </w:r>
          </w:p>
        </w:tc>
        <w:tc>
          <w:tcPr>
            <w:tcW w:w="1872" w:type="dxa"/>
          </w:tcPr>
          <w:p w14:paraId="7782894E" w14:textId="77777777" w:rsidR="003F0EA7" w:rsidRDefault="00000000">
            <w:r>
              <w:t>0.5167</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14:paraId="150B5000" w14:textId="77777777" w:rsidR="003F0EA7" w:rsidRDefault="00000000">
      <w:pPr>
        <w:pStyle w:val="Heading1"/>
      </w:pPr>
      <w:r>
        <w:t>9. Multi-event analysis and validation (results TBD)</w:t>
      </w:r>
    </w:p>
    <w:p w14:paraId="6E08BC48" w14:textId="77777777" w:rsidR="003F0EA7" w:rsidRDefault="00000000">
      <w:r>
        <w:t>The broader database enables three validation tasks that are not identifiable from a single segment:</w:t>
      </w:r>
      <w:r>
        <w:br/>
        <w:t xml:space="preserve">  (i) Stability: whether a judge exhibits similar competitor-specific differentials across events and seasons.</w:t>
      </w:r>
      <w:r>
        <w:br/>
        <w:t xml:space="preserve">  (ii) Calibration: whether p-values are approximately uniform under null-like conditions and whether FDR control behaves as expected.</w:t>
      </w:r>
      <w:r>
        <w:br/>
        <w:t xml:space="preserve">  (iii) Power: sensitivity to planted bias signals of varying magnitude under realistic score distributions.</w:t>
      </w:r>
      <w:r>
        <w:br/>
      </w:r>
      <w:r>
        <w:br/>
        <w:t>Aggregate results across competitions, disciplines, and seasons will be reported in the final version of this paper after completing full-database computation and robustness checks.</w:t>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r>
      <w:r>
        <w:br/>
      </w:r>
      <w:r>
        <w:br/>
        <w:t>Second, the style-adjusted null preserves judge marginal distributions within categories but does not preserve all dependence structures, e.g., common-mode shifts on particular competitors. The approach is therefore conservative for some forms of collusion and may still attribute certain structured behaviors to competitor-specific differential.</w:t>
      </w:r>
      <w:r>
        <w:br/>
      </w:r>
      <w:r>
        <w:br/>
        <w:t>Third, trimming reduces the influence of a single judge on any row. The proposed statistic measures impact through trimming rather than against it; nevertheless, in very close competitions even small margin shifts can be outcome-determinative.</w:t>
      </w:r>
      <w:r>
        <w:br/>
      </w:r>
      <w:r>
        <w:br/>
        <w:t>Finally, the methodology is event-local. Extending to cross-event judge identity linking and causal explanations of bias requires additional assumptions and data (e.g., judge nationality, federation incentives, and assignment mechanisms).</w:t>
      </w:r>
    </w:p>
    <w:p w14:paraId="6E004984" w14:textId="77777777" w:rsidR="003F0EA7" w:rsidRDefault="00000000">
      <w:pPr>
        <w:pStyle w:val="Heading1"/>
      </w:pPr>
      <w:r>
        <w:lastRenderedPageBreak/>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distribution-preserving transformations. The method yields interpretable margin shifts and calibrated p-values for every judge×competitor pair within an event. The Olympic Ice Dance Free Dance example demonstrates how a single judge’s competitor-specific differential can be quantified and tested without conflating it with overall scoring style. Ongoing work will extend the analysis across a multi-season database of international competitions (results TBD).</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Figure Skating Rules: Panel of Judges and trimmed mean description. ISU website (accessed 2026-02-23).</w:t>
      </w:r>
    </w:p>
    <w:p w14:paraId="225CC7C4" w14:textId="77777777" w:rsidR="003F0EA7" w:rsidRDefault="00000000">
      <w:pPr>
        <w:pStyle w:val="ListNumber"/>
      </w:pPr>
      <w:r>
        <w:t>International Skating Union (ISU). Special Regulations and Technical Rules: Single &amp; Pair Skating and Ice Dance (current edition).</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14:paraId="1CEEC8EC" w14:textId="77777777" w:rsidR="003F0EA7" w:rsidRDefault="00000000">
      <w:r>
        <w:br w:type="page"/>
      </w:r>
    </w:p>
    <w:p w14:paraId="0F9ECFFE" w14:textId="77777777" w:rsidR="003F0EA7" w:rsidRDefault="00000000">
      <w:pPr>
        <w:pStyle w:val="Heading1"/>
      </w:pPr>
      <w:r>
        <w:lastRenderedPageBreak/>
        <w:t>Appendix A. Surprise score in bits (surprisal)</w:t>
      </w:r>
    </w:p>
    <w:p w14:paraId="5A9DF6F9" w14:textId="77777777" w:rsidR="003F0EA7" w:rsidRDefault="00000000">
      <w:r>
        <w:t>Given a predictive probability q for an observed event under a null model, define the surprise score (surprisal) in bits as S = -log2(q). This is the unique (up to a constant factor) additive measure of improbability: for independent events with probabilities q1 and q2, S(q1 q2) = S(q1) + S(q2). The mapping back to probability is q = 2^{-S}. As a practical ‘p-like’ interpretation for a single binary prediction, q itself is the one-sided predictive probability of the observed outcome under the null; a two-sided tail-area analogue is 2 min(q, 1-q).</w:t>
      </w:r>
    </w:p>
    <w:p w14:paraId="79189508" w14:textId="77777777" w:rsidR="003F0EA7" w:rsidRDefault="00000000">
      <w:pPr>
        <w:pStyle w:val="Heading1"/>
      </w:pPr>
      <w:r>
        <w:t>Appendix B. The Beta(alpha,alpha) prior and how alpha scales unanimity</w:t>
      </w:r>
    </w:p>
    <w:p w14:paraId="3F1A474C" w14:textId="77777777" w:rsidR="003F0EA7" w:rsidRDefault="00000000">
      <w:r>
        <w:t>When modeling an unknown contest-level propensity p = P(next evaluator votes A), a common symmetric prior is p ~ Beta(alpha,alpha). The prior mean is 0.5 for all alpha, while alpha controls concentration around 0.5. Larger alpha encodes skepticism about extreme p; smaller alpha makes extreme p more plausible. Under a Beta(alpha,alpha) prior and n panel votes, the posterior predictive probability that the next evaluator votes against a unanimous panel is alpha / (2alpha + n). For n=8: P(dissent) = alpha / (2alpha + 8). Thus alpha is not a post-hoc ‘surprise dial’ but an a priori or empirically calibrated parameter encoding how often one expects near-unanimous panels.</w:t>
      </w:r>
    </w:p>
    <w:p w14:paraId="6E2DFDF5" w14:textId="77777777" w:rsidR="003F0EA7" w:rsidRDefault="00000000">
      <w:pPr>
        <w:pStyle w:val="Heading1"/>
      </w:pPr>
      <w:r>
        <w:t>Appendix C. Implementation notes for distribution-preserving style control</w:t>
      </w:r>
    </w:p>
    <w:p w14:paraId="7574878D" w14:textId="77777777" w:rsidR="003F0EA7" w:rsidRDefault="00000000">
      <w:r>
        <w:t>The distribution-preserving null uses per-judge empirical CDFs within scoring categories (GOE and each PCS component). Discrete ties are handled by randomized tie-breaking: if a value occupies ranks [a,b] among that judge’s marks, map to U(a/(n+1), b/(n+1)) to obtain a continuous percentile. The inverse map uses the judge’s empirical quantile function. This preserves each judge’s marginal distribution exactly (up to Monte Carlo tie randomness) while making judge identity exchangeable within each row under the null.</w:t>
      </w:r>
    </w:p>
    <w:sectPr w:rsidR="003F0E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