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Revenue &amp; Commercialization Strategy</w:t>
      </w:r>
    </w:p>
    <w:p>
      <w:pPr>
        <w:jc w:val="left"/>
      </w:pPr>
      <w:r>
        <w:rPr>
          <w:color w:val="606060"/>
          <w:sz w:val="20"/>
        </w:rPr>
        <w:t>Michael Allman  |  February 24, 2026  |  Judging Bias in Competitive Figure Skating</w:t>
      </w:r>
    </w:p>
    <w:p/>
    <w:p>
      <w:pPr>
        <w:pStyle w:val="Heading2"/>
      </w:pPr>
      <w:r>
        <w:rPr>
          <w:b/>
          <w:i w:val="0"/>
          <w:sz w:val="26"/>
        </w:rPr>
        <w:t>Figure Skating Judging Bias Research</w:t>
      </w:r>
    </w:p>
    <w:p>
      <w:r>
        <w:rPr>
          <w:b/>
        </w:rPr>
        <w:t>Author:</w:t>
      </w:r>
      <w:r>
        <w:t xml:space="preserve"> Michael Allman</w:t>
      </w:r>
    </w:p>
    <w:p>
      <w:r>
        <w:rPr>
          <w:b/>
        </w:rPr>
        <w:t>Date:</w:t>
      </w:r>
      <w:r>
        <w:t xml:space="preserve"> 2026-02-21</w:t>
      </w:r>
    </w:p>
    <w:p>
      <w:r>
        <w:rPr>
          <w:b/>
        </w:rPr>
        <w:t>Project:</w:t>
      </w:r>
      <w:r>
        <w:t xml:space="preserve"> "Detecting and Remedying Anomalous Judging in Competitive Figure Skating: A Permutation-Based Audit Framework"</w:t>
      </w:r>
    </w:p>
    <w:p>
      <w:pPr>
        <w:pBdr>
          <w:bottom w:val="single" w:sz="6" w:space="1" w:color="AAAAAA"/>
        </w:pBdr>
      </w:pPr>
    </w:p>
    <w:p>
      <w:pPr>
        <w:pStyle w:val="Heading2"/>
      </w:pPr>
      <w:r>
        <w:rPr>
          <w:b/>
          <w:i w:val="0"/>
          <w:sz w:val="26"/>
        </w:rPr>
        <w:t>Executive Summary</w:t>
      </w:r>
    </w:p>
    <w:p>
      <w:r>
        <w:t>You have built something genuinely valuable: a rigorous, reproducible statistical audit framework applied to a high-profile domain (Olympic figure skating), with a dramatic headline finding (a single judge's scores would have flipped the OWG 2026 ice dance gold medal), an open dataset of 291,604 individual judge scores across 142 events, and dual publications planned in Scientific Reports and Significance Magazine. Your MBA background gives you communication and business skills that most academic researchers lack.</w:t>
      </w:r>
    </w:p>
    <w:p>
      <w:r>
        <w:t>This document maps out how to convert that work into revenue. The honest answer is that the first 12 months are primarily about positioning and reputation-building, not income. The revenue follows the reputation. But the steps are concrete and the upside is real.</w:t>
      </w:r>
    </w:p>
    <w:p>
      <w:pPr>
        <w:pBdr>
          <w:bottom w:val="single" w:sz="6" w:space="1" w:color="AAAAAA"/>
        </w:pBdr>
      </w:pPr>
    </w:p>
    <w:p>
      <w:pPr>
        <w:pStyle w:val="Heading2"/>
      </w:pPr>
      <w:r>
        <w:rPr>
          <w:b/>
          <w:i w:val="0"/>
          <w:sz w:val="26"/>
        </w:rPr>
        <w:t>1. Expert Witness and Legal Consulting</w:t>
      </w:r>
    </w:p>
    <w:p>
      <w:pPr>
        <w:pStyle w:val="Heading3"/>
      </w:pPr>
      <w:r>
        <w:rPr>
          <w:b/>
          <w:i w:val="0"/>
          <w:sz w:val="24"/>
        </w:rPr>
        <w:t>What Types of Cases Need This Expertise</w:t>
      </w:r>
    </w:p>
    <w:p>
      <w:r>
        <w:rPr>
          <w:b/>
        </w:rPr>
        <w:t>Athlete appeals and sport arbitration</w:t>
      </w:r>
      <w:r>
        <w:t xml:space="preserve"> are the primary market. When an athlete, coach, or national federation believes judging was corrupt or anomalous, they need expert witnesses who can quantify the anomaly statistically and explain it to a tribunal. Your OSNR framework — which produces exact p-values and counterfactual outcomes — is precisely the kind of analysis that arbitrators can evaluate.</w:t>
      </w:r>
    </w:p>
    <w:p>
      <w:r>
        <w:t>Specific case types:</w:t>
      </w:r>
    </w:p>
    <w:p>
      <w:pPr>
        <w:pStyle w:val="ListBullet"/>
        <w:ind w:left="360"/>
      </w:pPr>
      <w:r>
        <w:rPr>
          <w:b/>
        </w:rPr>
        <w:t>Court of Arbitration for Sport (CAS) appeals:</w:t>
      </w:r>
      <w:r>
        <w:t xml:space="preserve"> Athletes appealing judging decisions, federations challenging results, disciplinary cases involving accused judges. CAS hears hundreds of cases annually; judging disputes are a recurring category in subjectively scored sports.</w:t>
      </w:r>
    </w:p>
    <w:p>
      <w:pPr>
        <w:pStyle w:val="ListBullet"/>
        <w:ind w:left="360"/>
      </w:pPr>
      <w:r>
        <w:rPr>
          <w:b/>
        </w:rPr>
        <w:t>Internal federation disciplinary proceedings:</w:t>
      </w:r>
      <w:r>
        <w:t xml:space="preserve"> The ISU, FIG (gymnastics), FIS (ski jumping/freestyle), and IJF (judo) all have internal hearing panels when judges are accused of misconduct. These panels can hire outside statistical experts.</w:t>
      </w:r>
    </w:p>
    <w:p>
      <w:pPr>
        <w:pStyle w:val="ListBullet"/>
        <w:ind w:left="360"/>
      </w:pPr>
      <w:r>
        <w:rPr>
          <w:b/>
        </w:rPr>
        <w:t>National Olympic Committee disputes:</w:t>
      </w:r>
      <w:r>
        <w:t xml:space="preserve"> When a national team believes their athlete was wrongly judged at an Olympic Games, the NOC may pursue remedies through CAS or direct IOC appeal. The 2002 Salt Lake City figure skating scandal is the archetype.</w:t>
      </w:r>
    </w:p>
    <w:p>
      <w:pPr>
        <w:pStyle w:val="ListBullet"/>
        <w:ind w:left="360"/>
      </w:pPr>
      <w:r>
        <w:rPr>
          <w:b/>
        </w:rPr>
        <w:t>Civil litigation:</w:t>
      </w:r>
      <w:r>
        <w:t xml:space="preserve"> Less common but not impossible — in jurisdictions where sporting decisions can be challenged in civil court, statistical evidence of anomalous judging could support claims of tortious interference or breach of competition rules.</w:t>
      </w:r>
    </w:p>
    <w:p>
      <w:pPr>
        <w:pStyle w:val="ListBullet"/>
        <w:ind w:left="360"/>
      </w:pPr>
      <w:r>
        <w:rPr>
          <w:b/>
        </w:rPr>
        <w:t>Criminal proceedings:</w:t>
      </w:r>
      <w:r>
        <w:t xml:space="preserve"> In extreme cases involving proven bribery (as in 2002), statistical analysis of scoring patterns becomes evidence of the scheme's execution.</w:t>
      </w:r>
    </w:p>
    <w:p>
      <w:pPr>
        <w:pStyle w:val="Heading3"/>
      </w:pPr>
      <w:r>
        <w:rPr>
          <w:b/>
          <w:i w:val="0"/>
          <w:sz w:val="24"/>
        </w:rPr>
        <w:t>How the Court of Arbitration for Sport Works</w:t>
      </w:r>
    </w:p>
    <w:p>
      <w:r>
        <w:t>CAS is based in Lausanne, Switzerland, with hearing centers in New York and Sydney. It functions like commercial arbitration: parties select arbitrators from a list, hearings are conducted in writing and sometimes in person, decisions are binding (with limited appeal to Swiss Federal Tribunal).</w:t>
      </w:r>
    </w:p>
    <w:p>
      <w:r>
        <w:t>Who the clients are in judging cases:</w:t>
      </w:r>
    </w:p>
    <w:p>
      <w:pPr>
        <w:pStyle w:val="ListBullet"/>
        <w:ind w:left="360"/>
      </w:pPr>
      <w:r>
        <w:t>Athletes or their agents (often the party most motivated to appeal)</w:t>
      </w:r>
    </w:p>
    <w:p>
      <w:pPr>
        <w:pStyle w:val="ListBullet"/>
        <w:ind w:left="360"/>
      </w:pPr>
      <w:r>
        <w:t>National Olympic Committees funding the athlete's appeal</w:t>
      </w:r>
    </w:p>
    <w:p>
      <w:pPr>
        <w:pStyle w:val="ListBullet"/>
        <w:ind w:left="360"/>
      </w:pPr>
      <w:r>
        <w:t>Sport federations defending or challenging decisions</w:t>
      </w:r>
    </w:p>
    <w:p>
      <w:pPr>
        <w:pStyle w:val="ListBullet"/>
        <w:ind w:left="360"/>
      </w:pPr>
      <w:r>
        <w:t>Insurance companies covering competition outcomes</w:t>
      </w:r>
    </w:p>
    <w:p>
      <w:r>
        <w:t>Attorneys who practice before CAS are often at specialized sports law firms (examples: Latham &amp; Watkins sports practice, Morgan Lewis, specialized firms like Schindler Attorneys or Lévy Kaufmann-Kohler). These are the attorneys you want to know.</w:t>
      </w:r>
    </w:p>
    <w:p>
      <w:pPr>
        <w:pStyle w:val="Heading3"/>
      </w:pPr>
      <w:r>
        <w:rPr>
          <w:b/>
          <w:i w:val="0"/>
          <w:sz w:val="24"/>
        </w:rPr>
        <w:t>How to Position Yourself</w:t>
      </w:r>
    </w:p>
    <w:p>
      <w:r>
        <w:t>Your positioning statement: "I am the developer of the OSNR (Outlier Score Nullification Rule) framework, a peer-reviewed permutation-based statistical method for detecting outcome-determinative judging anomalies in competitive figure skating. My audit of 142 events and 291,604 individual judge scores is the largest published dataset of its kind."</w:t>
      </w:r>
    </w:p>
    <w:p>
      <w:r>
        <w:t>Key credibility signals for legal work:</w:t>
      </w:r>
    </w:p>
    <w:p>
      <w:pPr>
        <w:pStyle w:val="ListBullet"/>
        <w:ind w:left="360"/>
      </w:pPr>
      <w:r>
        <w:t>Peer-reviewed publication (Scientific Reports — high-impact, open access, Nature Portfolio — this is essential)</w:t>
      </w:r>
    </w:p>
    <w:p>
      <w:pPr>
        <w:pStyle w:val="ListBullet"/>
        <w:ind w:left="360"/>
      </w:pPr>
      <w:r>
        <w:t>Open data and reproducible code on GitHub (lawyers and opposing experts can verify your methods)</w:t>
      </w:r>
    </w:p>
    <w:p>
      <w:pPr>
        <w:pStyle w:val="ListBullet"/>
        <w:ind w:left="360"/>
      </w:pPr>
      <w:r>
        <w:t>MBA from University of Chicago Booth (quantitative business credibility, not just academic)</w:t>
      </w:r>
    </w:p>
    <w:p>
      <w:pPr>
        <w:pStyle w:val="ListBullet"/>
        <w:ind w:left="360"/>
      </w:pPr>
      <w:r>
        <w:t>Specific numerical outputs: exact p-values, counterfactual rankings, outcome-determinative flags</w:t>
      </w:r>
    </w:p>
    <w:p>
      <w:pPr>
        <w:pStyle w:val="Heading3"/>
      </w:pPr>
      <w:r>
        <w:rPr>
          <w:b/>
          <w:i w:val="0"/>
          <w:sz w:val="24"/>
        </w:rPr>
        <w:t>How to Get Found by Attorneys</w:t>
      </w:r>
    </w:p>
    <w:p>
      <w:pPr>
        <w:pStyle w:val="ListNumber"/>
        <w:ind w:left="360"/>
      </w:pPr>
      <w:r>
        <w:rPr>
          <w:b/>
        </w:rPr>
        <w:t>Expert witness directories.</w:t>
      </w:r>
      <w:r>
        <w:t xml:space="preserve"> Register with SEAK (seak.com), JurisExpert, and the National Expert Witness Directory once your paper is published. These directories are where attorneys search. Cost is modest ($200–$500/year).</w:t>
      </w:r>
    </w:p>
    <w:p>
      <w:pPr>
        <w:pStyle w:val="ListNumber"/>
        <w:ind w:left="360"/>
      </w:pPr>
      <w:r>
        <w:rPr>
          <w:b/>
        </w:rPr>
        <w:t>Sports law bar associations.</w:t>
      </w:r>
      <w:r>
        <w:t xml:space="preserve"> The Sports Lawyers Association (SLA) holds an annual conference. Submit a paper or attend. The attorneys in the room handle exactly the cases you want. The American Bar Association's Forum on Entertainment and Sports Industries is another entry point.</w:t>
      </w:r>
    </w:p>
    <w:p>
      <w:pPr>
        <w:pStyle w:val="ListNumber"/>
        <w:ind w:left="360"/>
      </w:pPr>
      <w:r>
        <w:rPr>
          <w:b/>
        </w:rPr>
        <w:t>Write for sports law publications.</w:t>
      </w:r>
      <w:r>
        <w:t xml:space="preserve"> The Journal of Legal Aspects of Sport, the Marquette Sports Law Review, and the International Sports Law Journal all publish practitioner-relevant articles. A short article titled something like "Statistical Methods for Evaluating Judging Anomalies: Implications for CAS Practitioners" would be read by exactly the attorneys who need you.</w:t>
      </w:r>
    </w:p>
    <w:p>
      <w:pPr>
        <w:pStyle w:val="ListNumber"/>
        <w:ind w:left="360"/>
      </w:pPr>
      <w:r>
        <w:rPr>
          <w:b/>
        </w:rPr>
        <w:t>LinkedIn.</w:t>
      </w:r>
      <w:r>
        <w:t xml:space="preserve"> Once your paper is published, write a post announcing it that explicitly mentions CAS, judging appeals, and expert witness availability. Sports law attorneys are active on LinkedIn.</w:t>
      </w:r>
    </w:p>
    <w:p>
      <w:pPr>
        <w:pStyle w:val="ListNumber"/>
        <w:ind w:left="360"/>
      </w:pPr>
      <w:r>
        <w:rPr>
          <w:b/>
        </w:rPr>
        <w:t>Reach out directly to sports law firms.</w:t>
      </w:r>
      <w:r>
        <w:t xml:space="preserve"> A short, professional email to the sports practice group at 5–10 relevant firms — attaching your paper abstract and noting expert witness availability — is not unusual. Attorneys maintain expert witness rosters; they want to know you exist before they have a case.</w:t>
      </w:r>
    </w:p>
    <w:p>
      <w:pPr>
        <w:pStyle w:val="Heading3"/>
      </w:pPr>
      <w:r>
        <w:rPr>
          <w:b/>
          <w:i w:val="0"/>
          <w:sz w:val="24"/>
        </w:rPr>
        <w:t>Realistic Fee Ranges</w:t>
      </w:r>
    </w:p>
    <w:p>
      <w:r>
        <w:t>Expert witness fees in commercial arbitration and sports law proceedings:</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Engagement Type</w:t>
            </w:r>
          </w:p>
        </w:tc>
        <w:tc>
          <w:tcPr>
            <w:tcW w:type="dxa" w:w="4320"/>
          </w:tcPr>
          <w:p>
            <w:r/>
            <w:r>
              <w:rPr>
                <w:b/>
                <w:sz w:val="20"/>
              </w:rPr>
              <w:t>Typical Range</w:t>
            </w:r>
          </w:p>
        </w:tc>
      </w:tr>
      <w:tr>
        <w:tc>
          <w:tcPr>
            <w:tcW w:type="dxa" w:w="4320"/>
          </w:tcPr>
          <w:p>
            <w:r/>
            <w:r>
              <w:rPr>
                <w:b w:val="0"/>
                <w:i w:val="0"/>
                <w:sz w:val="20"/>
              </w:rPr>
              <w:t>Initial consultation (1–2 hours)</w:t>
            </w:r>
          </w:p>
        </w:tc>
        <w:tc>
          <w:tcPr>
            <w:tcW w:type="dxa" w:w="4320"/>
          </w:tcPr>
          <w:p>
            <w:r/>
            <w:r>
              <w:rPr>
                <w:b w:val="0"/>
                <w:i w:val="0"/>
                <w:sz w:val="20"/>
              </w:rPr>
              <w:t>$300–$600/hour</w:t>
            </w:r>
          </w:p>
        </w:tc>
      </w:tr>
      <w:tr>
        <w:tc>
          <w:tcPr>
            <w:tcW w:type="dxa" w:w="4320"/>
          </w:tcPr>
          <w:p>
            <w:r/>
            <w:r>
              <w:rPr>
                <w:b w:val="0"/>
                <w:i w:val="0"/>
                <w:sz w:val="20"/>
              </w:rPr>
              <w:t>Case evaluation and opinion letter</w:t>
            </w:r>
          </w:p>
        </w:tc>
        <w:tc>
          <w:tcPr>
            <w:tcW w:type="dxa" w:w="4320"/>
          </w:tcPr>
          <w:p>
            <w:r/>
            <w:r>
              <w:rPr>
                <w:b w:val="0"/>
                <w:i w:val="0"/>
                <w:sz w:val="20"/>
              </w:rPr>
              <w:t>$3,000–$8,000 flat</w:t>
            </w:r>
          </w:p>
        </w:tc>
      </w:tr>
      <w:tr>
        <w:tc>
          <w:tcPr>
            <w:tcW w:type="dxa" w:w="4320"/>
          </w:tcPr>
          <w:p>
            <w:r/>
            <w:r>
              <w:rPr>
                <w:b w:val="0"/>
                <w:i w:val="0"/>
                <w:sz w:val="20"/>
              </w:rPr>
              <w:t>Full expert report</w:t>
            </w:r>
          </w:p>
        </w:tc>
        <w:tc>
          <w:tcPr>
            <w:tcW w:type="dxa" w:w="4320"/>
          </w:tcPr>
          <w:p>
            <w:r/>
            <w:r>
              <w:rPr>
                <w:b w:val="0"/>
                <w:i w:val="0"/>
                <w:sz w:val="20"/>
              </w:rPr>
              <w:t>$8,000–$25,000</w:t>
            </w:r>
          </w:p>
        </w:tc>
      </w:tr>
      <w:tr>
        <w:tc>
          <w:tcPr>
            <w:tcW w:type="dxa" w:w="4320"/>
          </w:tcPr>
          <w:p>
            <w:r/>
            <w:r>
              <w:rPr>
                <w:b w:val="0"/>
                <w:i w:val="0"/>
                <w:sz w:val="20"/>
              </w:rPr>
              <w:t>Deposition or hearing testimony</w:t>
            </w:r>
          </w:p>
        </w:tc>
        <w:tc>
          <w:tcPr>
            <w:tcW w:type="dxa" w:w="4320"/>
          </w:tcPr>
          <w:p>
            <w:r/>
            <w:r>
              <w:rPr>
                <w:b w:val="0"/>
                <w:i w:val="0"/>
                <w:sz w:val="20"/>
              </w:rPr>
              <w:t>$400–$800/hour</w:t>
            </w:r>
          </w:p>
        </w:tc>
      </w:tr>
      <w:tr>
        <w:tc>
          <w:tcPr>
            <w:tcW w:type="dxa" w:w="4320"/>
          </w:tcPr>
          <w:p>
            <w:r/>
            <w:r>
              <w:rPr>
                <w:b w:val="0"/>
                <w:i w:val="0"/>
                <w:sz w:val="20"/>
              </w:rPr>
              <w:t>CAS arbitration (full engagement)</w:t>
            </w:r>
          </w:p>
        </w:tc>
        <w:tc>
          <w:tcPr>
            <w:tcW w:type="dxa" w:w="4320"/>
          </w:tcPr>
          <w:p>
            <w:r/>
            <w:r>
              <w:rPr>
                <w:b w:val="0"/>
                <w:i w:val="0"/>
                <w:sz w:val="20"/>
              </w:rPr>
              <w:t>$15,000–$50,000+</w:t>
            </w:r>
          </w:p>
        </w:tc>
      </w:tr>
    </w:tbl>
    <w:p/>
    <w:p>
      <w:r>
        <w:t>These are realistic ranges for a credentialed expert with a relevant peer-reviewed publication. Top-tier forensic economists charge $600–$900/hour; you are not there yet with one paper, but you are not starting from zero either.</w:t>
      </w:r>
    </w:p>
    <w:p>
      <w:r>
        <w:rPr>
          <w:b/>
        </w:rPr>
        <w:t>Important:</w:t>
      </w:r>
      <w:r>
        <w:t xml:space="preserve"> Expert witness work is episodic. You may go six months with no inquiries, then have two cases arrive simultaneously. Do not count on it as primary income in year one.</w:t>
      </w:r>
    </w:p>
    <w:p>
      <w:pPr>
        <w:pStyle w:val="Heading3"/>
      </w:pPr>
      <w:r>
        <w:rPr>
          <w:b/>
          <w:i w:val="0"/>
          <w:sz w:val="24"/>
        </w:rPr>
        <w:t>Steps to Take NOW</w:t>
      </w:r>
    </w:p>
    <w:p>
      <w:pPr>
        <w:pStyle w:val="ListNumber"/>
        <w:ind w:left="360"/>
      </w:pPr>
      <w:r>
        <w:t>Draft your expert witness one-page bio emphasizing: published framework, dataset scale, quantitative background, Booth MBA.</w:t>
      </w:r>
    </w:p>
    <w:p>
      <w:pPr>
        <w:pStyle w:val="ListNumber"/>
        <w:ind w:left="360"/>
      </w:pPr>
      <w:r>
        <w:t>After paper acceptance, register on SEAK and JurisExpert.</w:t>
      </w:r>
    </w:p>
    <w:p>
      <w:pPr>
        <w:pStyle w:val="ListNumber"/>
        <w:ind w:left="360"/>
      </w:pPr>
      <w:r>
        <w:t>Write one sports law journal article (can largely repurpose your paper's introduction and methods in plain legal English).</w:t>
      </w:r>
    </w:p>
    <w:p>
      <w:pPr>
        <w:pStyle w:val="ListNumber"/>
        <w:ind w:left="360"/>
      </w:pPr>
      <w:r>
        <w:t>Identify 10 sports law firms with CAS practices and draft an outreach email template.</w:t>
      </w:r>
    </w:p>
    <w:p>
      <w:pPr>
        <w:pStyle w:val="ListNumber"/>
        <w:ind w:left="360"/>
      </w:pPr>
      <w:r>
        <w:t>If you have any contacts from Booth in law or arbitration, activate them now.</w:t>
      </w:r>
    </w:p>
    <w:p>
      <w:pPr>
        <w:pBdr>
          <w:bottom w:val="single" w:sz="6" w:space="1" w:color="AAAAAA"/>
        </w:pBdr>
      </w:pPr>
    </w:p>
    <w:p>
      <w:pPr>
        <w:pStyle w:val="Heading2"/>
      </w:pPr>
      <w:r>
        <w:rPr>
          <w:b/>
          <w:i w:val="0"/>
          <w:sz w:val="26"/>
        </w:rPr>
        <w:t>2. Speaking Fees</w:t>
      </w:r>
    </w:p>
    <w:p>
      <w:pPr>
        <w:pStyle w:val="Heading3"/>
      </w:pPr>
      <w:r>
        <w:rPr>
          <w:b/>
          <w:i w:val="0"/>
          <w:sz w:val="24"/>
        </w:rPr>
        <w:t>MIT Sloan Sports Analytics Conference</w:t>
      </w:r>
    </w:p>
    <w:p>
      <w:r>
        <w:t>The Sloan Conference (held annually in Boston, typically March) is the highest-profile sports analytics conference for a general audience. Past speakers have included figures from the NBA, NFL, baseball, and increasingly Olympic sports.</w:t>
      </w:r>
    </w:p>
    <w:p>
      <w:r>
        <w:rPr>
          <w:b/>
        </w:rPr>
        <w:t>How to get invited/accepted:</w:t>
      </w:r>
    </w:p>
    <w:p>
      <w:r>
        <w:t>Sloan uses a research paper competition as its primary discovery mechanism. Papers are submitted through their portal, typically in October–November for a March conference. Papers are reviewed by a program committee; accepted papers receive a presentation slot. There is no submission fee.</w:t>
      </w:r>
    </w:p>
    <w:p>
      <w:r>
        <w:t>Your paper is a strong candidate for Sloan because:</w:t>
      </w:r>
    </w:p>
    <w:p>
      <w:pPr>
        <w:pStyle w:val="ListBullet"/>
        <w:ind w:left="360"/>
      </w:pPr>
      <w:r>
        <w:t>Olympic Games hook (maximum mainstream appeal)</w:t>
      </w:r>
    </w:p>
    <w:p>
      <w:pPr>
        <w:pStyle w:val="ListBullet"/>
        <w:ind w:left="360"/>
      </w:pPr>
      <w:r>
        <w:t>A single judge flipping a gold medal is a TV-ready finding</w:t>
      </w:r>
    </w:p>
    <w:p>
      <w:pPr>
        <w:pStyle w:val="ListBullet"/>
        <w:ind w:left="360"/>
      </w:pPr>
      <w:r>
        <w:t>Statistical rigor plus business-school framing fits their audience</w:t>
      </w:r>
    </w:p>
    <w:p>
      <w:pPr>
        <w:pStyle w:val="ListBullet"/>
        <w:ind w:left="360"/>
      </w:pPr>
      <w:r>
        <w:t>The ice dance gold medal story from OWG 2026 is current and newsworthy</w:t>
      </w:r>
    </w:p>
    <w:p>
      <w:r>
        <w:rPr>
          <w:b/>
        </w:rPr>
        <w:t>What they pay:</w:t>
      </w:r>
      <w:r>
        <w:t xml:space="preserve"> Accepted research paper presenters are typically not paid a speaking fee — but travel and accommodation are often covered. The value is the platform, media exposure, and the contacts made.</w:t>
      </w:r>
    </w:p>
    <w:p>
      <w:r>
        <w:rPr>
          <w:b/>
        </w:rPr>
        <w:t>Timeline:</w:t>
      </w:r>
      <w:r>
        <w:t xml:space="preserve"> Submit in October 2026 for the March 2027 conference. Your paper will be published by then.</w:t>
      </w:r>
    </w:p>
    <w:p>
      <w:r>
        <w:rPr>
          <w:b/>
        </w:rPr>
        <w:t>To do:</w:t>
      </w:r>
      <w:r>
        <w:t xml:space="preserve"> Monitor sloanconference.com for the 2027 call for papers. Adapt your paper into their submission format (usually 3,000–8,000 words). Their preferred framing is research with practical implications for team management or league governance.</w:t>
      </w:r>
    </w:p>
    <w:p>
      <w:pPr>
        <w:pStyle w:val="Heading3"/>
      </w:pPr>
      <w:r>
        <w:rPr>
          <w:b/>
          <w:i w:val="0"/>
          <w:sz w:val="24"/>
        </w:rPr>
        <w:t>Statistics Conferences</w:t>
      </w:r>
    </w:p>
    <w:p>
      <w:r>
        <w:rPr>
          <w:b/>
        </w:rPr>
        <w:t>Joint Statistical Meetings (JSM)</w:t>
      </w:r>
      <w:r>
        <w:t xml:space="preserve"> is the largest statistics conference in North America, held annually in August. Abstract submissions open in February for August. Invited sessions pay honoraria ($200–$500 typically) or cover travel; contributed presentations pay nothing but provide exposure.</w:t>
      </w:r>
    </w:p>
    <w:p>
      <w:r>
        <w:t>Your path into JSM: submit an abstract to a relevant section (Sports Statistics Section, or Section on Statistical Computing if emphasizing the permutation framework). The Sports Statistics Section is small and collegial — a genuine finding with Olympic implications will be well received.</w:t>
      </w:r>
    </w:p>
    <w:p>
      <w:r>
        <w:rPr>
          <w:b/>
        </w:rPr>
        <w:t>Royal Statistical Society (RSS) Annual Conference</w:t>
      </w:r>
      <w:r>
        <w:t xml:space="preserve"> (UK, typically September) has a similar structure. Their Significance Magazine connection is directly relevant — Significance is a joint RSS/ASA publication. After your Significance piece publishes, an RSS conference invitation or submission acceptance becomes much easier.</w:t>
      </w:r>
    </w:p>
    <w:p>
      <w:r>
        <w:rPr>
          <w:b/>
        </w:rPr>
        <w:t>Fee reality at statistics conferences:</w:t>
      </w:r>
      <w:r>
        <w:t xml:space="preserve"> These are not high-paying speaking venues. The value is peer recognition, citations, and meeting people who will cite your work or recommend you for other opportunities.</w:t>
      </w:r>
    </w:p>
    <w:p>
      <w:pPr>
        <w:pStyle w:val="Heading3"/>
      </w:pPr>
      <w:r>
        <w:rPr>
          <w:b/>
          <w:i w:val="0"/>
          <w:sz w:val="24"/>
        </w:rPr>
        <w:t>Olympic Governance and Integrity Forums</w:t>
      </w:r>
    </w:p>
    <w:p>
      <w:r>
        <w:rPr>
          <w:b/>
        </w:rPr>
        <w:t>International Forum on Sports Integrity (IFSI):</w:t>
      </w:r>
      <w:r>
        <w:t xml:space="preserve"> Organized by UNODC (United Nations Office on Drugs and Crime) and focusing on match-fixing, corruption, and governance. This is a natural fit. Contact: unodc.org/unodc/en/corruption/sports-integrity.html. Speakers at IFSI are typically paid modest honoraria or travel support; the prestige is in the platform.</w:t>
      </w:r>
    </w:p>
    <w:p>
      <w:r>
        <w:rPr>
          <w:b/>
        </w:rPr>
        <w:t>Play the Game Conference:</w:t>
      </w:r>
      <w:r>
        <w:t xml:space="preserve"> A Danish-based global sports governance conference (biennial). Known for hosting critical voices on sports corruption. Your work fits perfectly. They actively seek researchers. Honoraria: typically €500–€1,500 plus travel.</w:t>
      </w:r>
    </w:p>
    <w:p>
      <w:r>
        <w:rPr>
          <w:b/>
        </w:rPr>
        <w:t>IOC Forum on Sport and Law:</w:t>
      </w:r>
      <w:r>
        <w:t xml:space="preserve"> Held sporadically; invitation-only at senior levels but early-career researchers occasionally present.</w:t>
      </w:r>
    </w:p>
    <w:p>
      <w:r>
        <w:rPr>
          <w:b/>
        </w:rPr>
        <w:t>WADA-adjacent:</w:t>
      </w:r>
      <w:r>
        <w:t xml:space="preserve"> The World Anti-Doping Agency operates conferences and symposia focused on integrity. While their core focus is doping, they increasingly address judging integrity and match manipulation. Contact through their Education and Awareness department.</w:t>
      </w:r>
    </w:p>
    <w:p>
      <w:pPr>
        <w:pStyle w:val="Heading3"/>
      </w:pPr>
      <w:r>
        <w:rPr>
          <w:b/>
          <w:i w:val="0"/>
          <w:sz w:val="24"/>
        </w:rPr>
        <w:t>University Lecture Series</w:t>
      </w:r>
    </w:p>
    <w:p>
      <w:r>
        <w:t>After publication, email the following types of programs directly:</w:t>
      </w:r>
    </w:p>
    <w:p>
      <w:pPr>
        <w:pStyle w:val="ListBullet"/>
        <w:ind w:left="360"/>
      </w:pPr>
      <w:r>
        <w:t>Sports analytics programs (MIT, Carnegie Mellon, Columbia, Northwestern, Stanford)</w:t>
      </w:r>
    </w:p>
    <w:p>
      <w:pPr>
        <w:pStyle w:val="ListBullet"/>
        <w:ind w:left="360"/>
      </w:pPr>
      <w:r>
        <w:t>Statistics departments with sports applications faculty</w:t>
      </w:r>
    </w:p>
    <w:p>
      <w:pPr>
        <w:pStyle w:val="ListBullet"/>
        <w:ind w:left="360"/>
      </w:pPr>
      <w:r>
        <w:t>Business school sports industry programs</w:t>
      </w:r>
    </w:p>
    <w:p>
      <w:pPr>
        <w:pStyle w:val="ListBullet"/>
        <w:ind w:left="360"/>
      </w:pPr>
      <w:r>
        <w:t>Law school sports law clinics</w:t>
      </w:r>
    </w:p>
    <w:p>
      <w:r>
        <w:t>Typical honoraria: $500–$2,500 for a research lecture. Not lucrative, but these build your academic reputation and often lead to introductions.</w:t>
      </w:r>
    </w:p>
    <w:p>
      <w:r>
        <w:t>Your Booth connection is valuable here: contact the Booth alumni network, the Kilts Center for Marketing (which does sports analytics adjacent work), and other Chicago alumni at universities who might sponsor a lecture.</w:t>
      </w:r>
    </w:p>
    <w:p>
      <w:pPr>
        <w:pStyle w:val="Heading3"/>
      </w:pPr>
      <w:r>
        <w:rPr>
          <w:b/>
          <w:i w:val="0"/>
          <w:sz w:val="24"/>
        </w:rPr>
        <w:t>Corporate Keynotes</w:t>
      </w:r>
    </w:p>
    <w:p>
      <w:r>
        <w:t>This is where the real speaking money is, but it takes time to reach.</w:t>
      </w:r>
    </w:p>
    <w:p>
      <w:r>
        <w:rPr>
          <w:b/>
        </w:rPr>
        <w:t>Sports leagues and federations:</w:t>
      </w:r>
      <w:r>
        <w:t xml:space="preserve"> Leagues with judged elements (NFL referee accuracy, NBA referee bias, MLB umpire analytics) may hire outside speakers for internal analytics summits. Fee range: $5,000–$20,000.</w:t>
      </w:r>
    </w:p>
    <w:p>
      <w:r>
        <w:rPr>
          <w:b/>
        </w:rPr>
        <w:t>Sports betting companies:</w:t>
      </w:r>
      <w:r>
        <w:t xml:space="preserve"> Integrity is existentially important to legal sportsbooks. Companies like DraftKings, FanDuel, Bet365, and their integrity vendors (Sportradar, Genius Sports) regularly bring in outside speakers. Your work on detecting anomalous officiating is directly relevant to their integrity programs. Fee range: $5,000–$15,000 once you have publication and profile.</w:t>
      </w:r>
    </w:p>
    <w:p>
      <w:r>
        <w:rPr>
          <w:b/>
        </w:rPr>
        <w:t>Integrity organizations:</w:t>
      </w:r>
      <w:r>
        <w:t xml:space="preserve"> The International Centre for Sport Security (ICSS), Sports Integrity Global Alliance (SIGA), and similar bodies hold summits and pay speakers. Fee range: $2,000–$8,000.</w:t>
      </w:r>
    </w:p>
    <w:p>
      <w:r>
        <w:rPr>
          <w:b/>
        </w:rPr>
        <w:t>Insurance companies:</w:t>
      </w:r>
      <w:r>
        <w:t xml:space="preserve"> Companies that underwrite competition outcomes, prize insurance, and event cancellation are beginning to care about officiating integrity. This is an emerging market for your work.</w:t>
      </w:r>
    </w:p>
    <w:p>
      <w:pPr>
        <w:pStyle w:val="Heading3"/>
      </w:pPr>
      <w:r>
        <w:rPr>
          <w:b/>
          <w:i w:val="0"/>
          <w:sz w:val="24"/>
        </w:rPr>
        <w:t>Realistic Speaking Fee Trajectory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Stage</w:t>
            </w:r>
          </w:p>
        </w:tc>
        <w:tc>
          <w:tcPr>
            <w:tcW w:type="dxa" w:w="2880"/>
          </w:tcPr>
          <w:p>
            <w:r/>
            <w:r>
              <w:rPr>
                <w:b/>
                <w:sz w:val="20"/>
              </w:rPr>
              <w:t>Venue Type</w:t>
            </w:r>
          </w:p>
        </w:tc>
        <w:tc>
          <w:tcPr>
            <w:tcW w:type="dxa" w:w="2880"/>
          </w:tcPr>
          <w:p>
            <w:r/>
            <w:r>
              <w:rPr>
                <w:b/>
                <w:sz w:val="20"/>
              </w:rPr>
              <w:t>Realistic Fee</w:t>
            </w:r>
          </w:p>
        </w:tc>
      </w:tr>
      <w:tr>
        <w:tc>
          <w:tcPr>
            <w:tcW w:type="dxa" w:w="2880"/>
          </w:tcPr>
          <w:p>
            <w:r/>
            <w:r>
              <w:rPr>
                <w:b w:val="0"/>
                <w:i w:val="0"/>
                <w:sz w:val="20"/>
              </w:rPr>
              <w:t>Now (pre-publication)</w:t>
            </w:r>
          </w:p>
        </w:tc>
        <w:tc>
          <w:tcPr>
            <w:tcW w:type="dxa" w:w="2880"/>
          </w:tcPr>
          <w:p>
            <w:r/>
            <w:r>
              <w:rPr>
                <w:b w:val="0"/>
                <w:i w:val="0"/>
                <w:sz w:val="20"/>
              </w:rPr>
              <w:t>Zero — build the foundation</w:t>
            </w:r>
          </w:p>
        </w:tc>
        <w:tc>
          <w:tcPr>
            <w:tcW w:type="dxa" w:w="2880"/>
          </w:tcPr>
          <w:p>
            <w:r/>
            <w:r>
              <w:rPr>
                <w:b w:val="0"/>
                <w:i w:val="0"/>
                <w:sz w:val="20"/>
              </w:rPr>
              <w:t>$0</w:t>
            </w:r>
          </w:p>
        </w:tc>
      </w:tr>
      <w:tr>
        <w:tc>
          <w:tcPr>
            <w:tcW w:type="dxa" w:w="2880"/>
          </w:tcPr>
          <w:p>
            <w:r/>
            <w:r>
              <w:rPr>
                <w:b w:val="0"/>
                <w:i w:val="0"/>
                <w:sz w:val="20"/>
              </w:rPr>
              <w:t>After first paper (months 6–12)</w:t>
            </w:r>
          </w:p>
        </w:tc>
        <w:tc>
          <w:tcPr>
            <w:tcW w:type="dxa" w:w="2880"/>
          </w:tcPr>
          <w:p>
            <w:r/>
            <w:r>
              <w:rPr>
                <w:b w:val="0"/>
                <w:i w:val="0"/>
                <w:sz w:val="20"/>
              </w:rPr>
              <w:t>Academic conferences, university lectures</w:t>
            </w:r>
          </w:p>
        </w:tc>
        <w:tc>
          <w:tcPr>
            <w:tcW w:type="dxa" w:w="2880"/>
          </w:tcPr>
          <w:p>
            <w:r/>
            <w:r>
              <w:rPr>
                <w:b w:val="0"/>
                <w:i w:val="0"/>
                <w:sz w:val="20"/>
              </w:rPr>
              <w:t>$0–$2,500</w:t>
            </w:r>
          </w:p>
        </w:tc>
      </w:tr>
      <w:tr>
        <w:tc>
          <w:tcPr>
            <w:tcW w:type="dxa" w:w="2880"/>
          </w:tcPr>
          <w:p>
            <w:r/>
            <w:r>
              <w:rPr>
                <w:b w:val="0"/>
                <w:i w:val="0"/>
                <w:sz w:val="20"/>
              </w:rPr>
              <w:t>After media coverage (months 12–18)</w:t>
            </w:r>
          </w:p>
        </w:tc>
        <w:tc>
          <w:tcPr>
            <w:tcW w:type="dxa" w:w="2880"/>
          </w:tcPr>
          <w:p>
            <w:r/>
            <w:r>
              <w:rPr>
                <w:b w:val="0"/>
                <w:i w:val="0"/>
                <w:sz w:val="20"/>
              </w:rPr>
              <w:t>Niche conferences, sports law events</w:t>
            </w:r>
          </w:p>
        </w:tc>
        <w:tc>
          <w:tcPr>
            <w:tcW w:type="dxa" w:w="2880"/>
          </w:tcPr>
          <w:p>
            <w:r/>
            <w:r>
              <w:rPr>
                <w:b w:val="0"/>
                <w:i w:val="0"/>
                <w:sz w:val="20"/>
              </w:rPr>
              <w:t>$1,000–$5,000</w:t>
            </w:r>
          </w:p>
        </w:tc>
      </w:tr>
      <w:tr>
        <w:tc>
          <w:tcPr>
            <w:tcW w:type="dxa" w:w="2880"/>
          </w:tcPr>
          <w:p>
            <w:r/>
            <w:r>
              <w:rPr>
                <w:b w:val="0"/>
                <w:i w:val="0"/>
                <w:sz w:val="20"/>
              </w:rPr>
              <w:t>After book or second major paper (year 2–3)</w:t>
            </w:r>
          </w:p>
        </w:tc>
        <w:tc>
          <w:tcPr>
            <w:tcW w:type="dxa" w:w="2880"/>
          </w:tcPr>
          <w:p>
            <w:r/>
            <w:r>
              <w:rPr>
                <w:b w:val="0"/>
                <w:i w:val="0"/>
                <w:sz w:val="20"/>
              </w:rPr>
              <w:t>Corporate keynotes, major conferences</w:t>
            </w:r>
          </w:p>
        </w:tc>
        <w:tc>
          <w:tcPr>
            <w:tcW w:type="dxa" w:w="2880"/>
          </w:tcPr>
          <w:p>
            <w:r/>
            <w:r>
              <w:rPr>
                <w:b w:val="0"/>
                <w:i w:val="0"/>
                <w:sz w:val="20"/>
              </w:rPr>
              <w:t>$5,000–$20,000</w:t>
            </w:r>
          </w:p>
        </w:tc>
      </w:tr>
      <w:tr>
        <w:tc>
          <w:tcPr>
            <w:tcW w:type="dxa" w:w="2880"/>
          </w:tcPr>
          <w:p>
            <w:r/>
            <w:r>
              <w:rPr>
                <w:b w:val="0"/>
                <w:i w:val="0"/>
                <w:sz w:val="20"/>
              </w:rPr>
              <w:t>Established expert (year 3–5)</w:t>
            </w:r>
          </w:p>
        </w:tc>
        <w:tc>
          <w:tcPr>
            <w:tcW w:type="dxa" w:w="2880"/>
          </w:tcPr>
          <w:p>
            <w:r/>
            <w:r>
              <w:rPr>
                <w:b w:val="0"/>
                <w:i w:val="0"/>
                <w:sz w:val="20"/>
              </w:rPr>
              <w:t>Keynote speaker status</w:t>
            </w:r>
          </w:p>
        </w:tc>
        <w:tc>
          <w:tcPr>
            <w:tcW w:type="dxa" w:w="2880"/>
          </w:tcPr>
          <w:p>
            <w:r/>
            <w:r>
              <w:rPr>
                <w:b w:val="0"/>
                <w:i w:val="0"/>
                <w:sz w:val="20"/>
              </w:rPr>
              <w:t>$15,000–$50,000</w:t>
            </w:r>
          </w:p>
        </w:tc>
      </w:tr>
    </w:tbl>
    <w:p/>
    <w:p>
      <w:pPr>
        <w:pStyle w:val="Heading3"/>
      </w:pPr>
      <w:r>
        <w:rPr>
          <w:b/>
          <w:i w:val="0"/>
          <w:sz w:val="24"/>
        </w:rPr>
        <w:t>How to Build a Speaking Career from a First Paper</w:t>
      </w:r>
    </w:p>
    <w:p>
      <w:pPr>
        <w:pStyle w:val="ListNumber"/>
        <w:ind w:left="360"/>
      </w:pPr>
      <w:r>
        <w:t>Say yes to everything unpaid in year one. Every lecture, webinar, and podcast appearance builds your searchable internet presence.</w:t>
      </w:r>
    </w:p>
    <w:p>
      <w:pPr>
        <w:pStyle w:val="ListNumber"/>
        <w:ind w:left="360"/>
      </w:pPr>
      <w:r>
        <w:t>Create a speaker page on your website (you need a website) with: bio, topic summaries, and a video of you presenting.</w:t>
      </w:r>
    </w:p>
    <w:p>
      <w:pPr>
        <w:pStyle w:val="ListNumber"/>
        <w:ind w:left="360"/>
      </w:pPr>
      <w:r>
        <w:t>Submit to every relevant conference you can identify.</w:t>
      </w:r>
    </w:p>
    <w:p>
      <w:pPr>
        <w:pStyle w:val="ListNumber"/>
        <w:ind w:left="360"/>
      </w:pPr>
      <w:r>
        <w:t>After each appearance, ask the organizer if they know of other conferences or contacts.</w:t>
      </w:r>
    </w:p>
    <w:p>
      <w:pPr>
        <w:pStyle w:val="ListNumber"/>
        <w:ind w:left="360"/>
      </w:pPr>
      <w:r>
        <w:t>Get a publicist contact at your publishing journal — Nature Portfolio has communications staff who pitch their authors to media. Use this aggressively.</w:t>
      </w:r>
    </w:p>
    <w:p>
      <w:pPr>
        <w:pBdr>
          <w:bottom w:val="single" w:sz="6" w:space="1" w:color="AAAAAA"/>
        </w:pBdr>
      </w:pPr>
    </w:p>
    <w:p>
      <w:pPr>
        <w:pStyle w:val="Heading2"/>
      </w:pPr>
      <w:r>
        <w:rPr>
          <w:b/>
          <w:i w:val="0"/>
          <w:sz w:val="26"/>
        </w:rPr>
        <w:t>3. Consulting and Advisory Work</w:t>
      </w:r>
    </w:p>
    <w:p>
      <w:pPr>
        <w:pStyle w:val="Heading3"/>
      </w:pPr>
      <w:r>
        <w:rPr>
          <w:b/>
          <w:i w:val="0"/>
          <w:sz w:val="24"/>
        </w:rPr>
        <w:t>Sports Integrity Organizations</w:t>
      </w:r>
    </w:p>
    <w:p>
      <w:r>
        <w:rPr>
          <w:b/>
        </w:rPr>
        <w:t>International Centre for Sport Security (ICSS):</w:t>
      </w:r>
      <w:r>
        <w:t xml:space="preserve"> Based in Qatar, works with governments and federations on match-fixing and corruption. They commission research and hire advisors. Your statistical framework for detecting anomalous officiating is a tool they would want to understand and potentially deploy.</w:t>
      </w:r>
    </w:p>
    <w:p>
      <w:r>
        <w:rPr>
          <w:b/>
        </w:rPr>
        <w:t>Sport Integrity Australia:</w:t>
      </w:r>
      <w:r>
        <w:t xml:space="preserve"> Australia's national integrity agency has a research and policy arm that commissions independent work. Similar agencies exist in the UK (Sports Ground Safety Authority, and the new Gambling Commission integrity unit) and across Europe.</w:t>
      </w:r>
    </w:p>
    <w:p>
      <w:r>
        <w:rPr>
          <w:b/>
        </w:rPr>
        <w:t>Sportradar Integrity Services:</w:t>
      </w:r>
      <w:r>
        <w:t xml:space="preserve"> The world's largest sports data company has an integrity division that monitors for suspicious activity. They would be interested in a permutation-based framework for officiating anomaly detection that could be productized.</w:t>
      </w:r>
    </w:p>
    <w:p>
      <w:r>
        <w:rPr>
          <w:b/>
        </w:rPr>
        <w:t>How to approach:</w:t>
      </w:r>
      <w:r>
        <w:t xml:space="preserve"> After publication, write a short briefing document (4–6 pages) titled something like "Applying the OSNR Framework Beyond Figure Skating: A Scalable Approach to Officiating Integrity Audits." Send it to research directors at these organizations with a meeting request.</w:t>
      </w:r>
    </w:p>
    <w:p>
      <w:r>
        <w:rPr>
          <w:b/>
        </w:rPr>
        <w:t>Advisory fees:</w:t>
      </w:r>
      <w:r>
        <w:t xml:space="preserve"> Short-term advisory projects: $150–$300/hour or $2,000–$8,000 for a defined project. Retained advisory arrangements: $2,000–$5,000/month, but these typically require an established relationship.</w:t>
      </w:r>
    </w:p>
    <w:p>
      <w:pPr>
        <w:pStyle w:val="Heading3"/>
      </w:pPr>
      <w:r>
        <w:rPr>
          <w:b/>
          <w:i w:val="0"/>
          <w:sz w:val="24"/>
        </w:rPr>
        <w:t>National Olympic Committees</w:t>
      </w:r>
    </w:p>
    <w:p>
      <w:r>
        <w:t>NOCs with strong winter sports programs (USA, Canada, Norway, Germany, Japan, South Korea) may want independent audits of judging in competitions involving their athletes. This is particularly relevant post-OWG 2026 given the ice dance findings.</w:t>
      </w:r>
    </w:p>
    <w:p>
      <w:r>
        <w:t>The U.S. Center for SafeSport adjacent work (athlete welfare angle) and the USOC analytics team are entry points in the US.</w:t>
      </w:r>
    </w:p>
    <w:p>
      <w:r>
        <w:rPr>
          <w:b/>
        </w:rPr>
        <w:t>How to approach:</w:t>
      </w:r>
      <w:r>
        <w:t xml:space="preserve"> Contact the athlete services and high-performance departments of USOPC (United States Olympic and Paralympic Committee) directly. A one-page brief on your OWG 2026 findings, sent to the Director of High Performance, is a reasonable cold outreach.</w:t>
      </w:r>
    </w:p>
    <w:p>
      <w:pPr>
        <w:pStyle w:val="Heading3"/>
      </w:pPr>
      <w:r>
        <w:rPr>
          <w:b/>
          <w:i w:val="0"/>
          <w:sz w:val="24"/>
        </w:rPr>
        <w:t>Sports Betting Companies and Integrity Vendors</w:t>
      </w:r>
    </w:p>
    <w:p>
      <w:r>
        <w:t>This is an underappreciated market for your skills. Legal sportsbooks accept bets on figure skating (especially at the Olympics), and any evidence of systematic judging bias affects their risk models. Integrity vendors like:</w:t>
      </w:r>
    </w:p>
    <w:p>
      <w:pPr>
        <w:pStyle w:val="ListBullet"/>
        <w:ind w:left="360"/>
      </w:pPr>
      <w:r>
        <w:rPr>
          <w:b/>
        </w:rPr>
        <w:t>Sportradar:</w:t>
      </w:r>
      <w:r>
        <w:t xml:space="preserve"> Integrity unit monitors officiating anomalies</w:t>
      </w:r>
    </w:p>
    <w:p>
      <w:pPr>
        <w:pStyle w:val="ListBullet"/>
        <w:ind w:left="360"/>
      </w:pPr>
      <w:r>
        <w:rPr>
          <w:b/>
        </w:rPr>
        <w:t>Genius Sports:</w:t>
      </w:r>
      <w:r>
        <w:t xml:space="preserve"> Similar scope</w:t>
      </w:r>
    </w:p>
    <w:p>
      <w:pPr>
        <w:pStyle w:val="ListBullet"/>
        <w:ind w:left="360"/>
      </w:pPr>
      <w:r>
        <w:rPr>
          <w:b/>
        </w:rPr>
        <w:t>Betgenius, IMG Arena:</w:t>
      </w:r>
      <w:r>
        <w:t xml:space="preserve"> Data and integrity services</w:t>
      </w:r>
    </w:p>
    <w:p>
      <w:pPr>
        <w:pStyle w:val="ListBullet"/>
        <w:ind w:left="360"/>
      </w:pPr>
      <w:r>
        <w:rPr>
          <w:b/>
        </w:rPr>
        <w:t>Kaizen Gaming, Entain:</w:t>
      </w:r>
      <w:r>
        <w:t xml:space="preserve"> Large operators with integrity programs</w:t>
      </w:r>
    </w:p>
    <w:p>
      <w:r>
        <w:t>Your pitch to these companies: "My framework can detect statistically significant officiating anomalies in real time using public scoring data. It produces exact p-values and counterfactual outcomes — information that is directly relevant to your line pricing and integrity monitoring."</w:t>
      </w:r>
    </w:p>
    <w:p>
      <w:r>
        <w:rPr>
          <w:b/>
        </w:rPr>
        <w:t>Project fees:</w:t>
      </w:r>
      <w:r>
        <w:t xml:space="preserve"> A consulting engagement to adapt your framework for a betting integrity application could be worth $15,000–$50,000. These companies have real budgets.</w:t>
      </w:r>
    </w:p>
    <w:p>
      <w:pPr>
        <w:pStyle w:val="Heading3"/>
      </w:pPr>
      <w:r>
        <w:rPr>
          <w:b/>
          <w:i w:val="0"/>
          <w:sz w:val="24"/>
        </w:rPr>
        <w:t>Broadcast Media Analytics Roles</w:t>
      </w:r>
    </w:p>
    <w:p>
      <w:r>
        <w:t>ESPN, NBC Sports, CBS Sports, BBC Sport, and Eurosport all have analytics contributors. These are typically unpaid or modestly paid ($200–$500 per segment for on-air appearances), but they build your public profile significantly.</w:t>
      </w:r>
    </w:p>
    <w:p>
      <w:r>
        <w:t>The path in:</w:t>
      </w:r>
    </w:p>
    <w:p>
      <w:pPr>
        <w:pStyle w:val="ListNumber"/>
        <w:ind w:left="360"/>
      </w:pPr>
      <w:r>
        <w:t>Get published in Scientific Reports and Significance.</w:t>
      </w:r>
    </w:p>
    <w:p>
      <w:pPr>
        <w:pStyle w:val="ListNumber"/>
        <w:ind w:left="360"/>
      </w:pPr>
      <w:r>
        <w:t>Pitch a short explainer article or op-ed to a sports media publication (FiveThirtyEight, The Athletic, or their successors).</w:t>
      </w:r>
    </w:p>
    <w:p>
      <w:pPr>
        <w:pStyle w:val="ListNumber"/>
        <w:ind w:left="360"/>
      </w:pPr>
      <w:r>
        <w:t>Once you have published clips, reach out to the sports analytics producers at these networks directly.</w:t>
      </w:r>
    </w:p>
    <w:p>
      <w:pPr>
        <w:pStyle w:val="ListNumber"/>
        <w:ind w:left="360"/>
      </w:pPr>
      <w:r>
        <w:t>During OWG or ISU Championship periods, media outlets are actively looking for experts to explain judging controversies.</w:t>
      </w:r>
    </w:p>
    <w:p>
      <w:r>
        <w:t>NBC Olympics and Peacock in particular invested heavily in figure skating analytics for 2026 — they want experts who can explain the IJS system to viewers.</w:t>
      </w:r>
    </w:p>
    <w:p>
      <w:pPr>
        <w:pStyle w:val="Heading3"/>
      </w:pPr>
      <w:r>
        <w:rPr>
          <w:b/>
          <w:i w:val="0"/>
          <w:sz w:val="24"/>
        </w:rPr>
        <w:t>How to Package Consulting Services</w:t>
      </w:r>
    </w:p>
    <w:p>
      <w:r>
        <w:t>Create three service tiers:</w:t>
      </w:r>
    </w:p>
    <w:p>
      <w:r>
        <w:rPr>
          <w:b/>
        </w:rPr>
        <w:t>Tier 1 — Audit Report ($5,000–$15,000):</w:t>
      </w:r>
      <w:r>
        <w:t xml:space="preserve"> A complete OSNR analysis of a specified competition or season, delivered as a written report with methodology, findings, and counterfactual outcomes. Suitable for federations, NOCs, and legal teams.</w:t>
      </w:r>
    </w:p>
    <w:p>
      <w:r>
        <w:rPr>
          <w:b/>
        </w:rPr>
        <w:t>Tier 2 — Framework Licensing and Implementation ($20,000–$50,000):</w:t>
      </w:r>
      <w:r>
        <w:t xml:space="preserve"> Working with an organization to deploy the OSNR framework on their own data, including code customization, validation, and documentation. Suitable for integrity vendors and large federations.</w:t>
      </w:r>
    </w:p>
    <w:p>
      <w:r>
        <w:rPr>
          <w:b/>
        </w:rPr>
        <w:t>Tier 3 — Retained Advisory ($2,500–$5,000/month):</w:t>
      </w:r>
      <w:r>
        <w:t xml:space="preserve"> Ongoing strategic advice on judging integrity, statistical methodology, and governance implications. Suitable for organizations building an internal integrity function.</w:t>
      </w:r>
    </w:p>
    <w:p>
      <w:pPr>
        <w:pBdr>
          <w:bottom w:val="single" w:sz="6" w:space="1" w:color="AAAAAA"/>
        </w:pBdr>
      </w:pPr>
    </w:p>
    <w:p>
      <w:pPr>
        <w:pStyle w:val="Heading2"/>
      </w:pPr>
      <w:r>
        <w:rPr>
          <w:b/>
          <w:i w:val="0"/>
          <w:sz w:val="26"/>
        </w:rPr>
        <w:t>4. Media and Journalism Revenue</w:t>
      </w:r>
    </w:p>
    <w:p>
      <w:pPr>
        <w:pStyle w:val="Heading3"/>
      </w:pPr>
      <w:r>
        <w:rPr>
          <w:b/>
          <w:i w:val="0"/>
          <w:sz w:val="24"/>
        </w:rPr>
        <w:t>Paid Op-Eds and Articles</w:t>
      </w:r>
    </w:p>
    <w:p>
      <w:r>
        <w:t>Some publications pay for opinion pieces from outside contributors: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Publication</w:t>
            </w:r>
          </w:p>
        </w:tc>
        <w:tc>
          <w:tcPr>
            <w:tcW w:type="dxa" w:w="2880"/>
          </w:tcPr>
          <w:p>
            <w:r/>
            <w:r>
              <w:rPr>
                <w:b/>
                <w:sz w:val="20"/>
              </w:rPr>
              <w:t>Typical Pay</w:t>
            </w:r>
          </w:p>
        </w:tc>
        <w:tc>
          <w:tcPr>
            <w:tcW w:type="dxa" w:w="2880"/>
          </w:tcPr>
          <w:p>
            <w:r/>
            <w:r>
              <w:rPr>
                <w:b/>
                <w:sz w:val="20"/>
              </w:rPr>
              <w:t>Notes</w:t>
            </w:r>
          </w:p>
        </w:tc>
      </w:tr>
      <w:tr>
        <w:tc>
          <w:tcPr>
            <w:tcW w:type="dxa" w:w="2880"/>
          </w:tcPr>
          <w:p>
            <w:r/>
            <w:r>
              <w:rPr>
                <w:b w:val="0"/>
                <w:i w:val="0"/>
                <w:sz w:val="20"/>
              </w:rPr>
              <w:t>New York Times Opinion</w:t>
            </w:r>
          </w:p>
        </w:tc>
        <w:tc>
          <w:tcPr>
            <w:tcW w:type="dxa" w:w="2880"/>
          </w:tcPr>
          <w:p>
            <w:r/>
            <w:r>
              <w:rPr>
                <w:b w:val="0"/>
                <w:i w:val="0"/>
                <w:sz w:val="20"/>
              </w:rPr>
              <w:t>$300–$500</w:t>
            </w:r>
          </w:p>
        </w:tc>
        <w:tc>
          <w:tcPr>
            <w:tcW w:type="dxa" w:w="2880"/>
          </w:tcPr>
          <w:p>
            <w:r/>
            <w:r>
              <w:rPr>
                <w:b w:val="0"/>
                <w:i w:val="0"/>
                <w:sz w:val="20"/>
              </w:rPr>
              <w:t>Highly competitive; needs news hook</w:t>
            </w:r>
          </w:p>
        </w:tc>
      </w:tr>
      <w:tr>
        <w:tc>
          <w:tcPr>
            <w:tcW w:type="dxa" w:w="2880"/>
          </w:tcPr>
          <w:p>
            <w:r/>
            <w:r>
              <w:rPr>
                <w:b w:val="0"/>
                <w:i w:val="0"/>
                <w:sz w:val="20"/>
              </w:rPr>
              <w:t>Washington Post Opinions</w:t>
            </w:r>
          </w:p>
        </w:tc>
        <w:tc>
          <w:tcPr>
            <w:tcW w:type="dxa" w:w="2880"/>
          </w:tcPr>
          <w:p>
            <w:r/>
            <w:r>
              <w:rPr>
                <w:b w:val="0"/>
                <w:i w:val="0"/>
                <w:sz w:val="20"/>
              </w:rPr>
              <w:t>$200–$400</w:t>
            </w:r>
          </w:p>
        </w:tc>
        <w:tc>
          <w:tcPr>
            <w:tcW w:type="dxa" w:w="2880"/>
          </w:tcPr>
          <w:p>
            <w:r/>
            <w:r>
              <w:rPr>
                <w:b w:val="0"/>
                <w:i w:val="0"/>
                <w:sz w:val="20"/>
              </w:rPr>
              <w:t>Slightly easier to place than NYT</w:t>
            </w:r>
          </w:p>
        </w:tc>
      </w:tr>
      <w:tr>
        <w:tc>
          <w:tcPr>
            <w:tcW w:type="dxa" w:w="2880"/>
          </w:tcPr>
          <w:p>
            <w:r/>
            <w:r>
              <w:rPr>
                <w:b w:val="0"/>
                <w:i w:val="0"/>
                <w:sz w:val="20"/>
              </w:rPr>
              <w:t>The Guardian (opinion)</w:t>
            </w:r>
          </w:p>
        </w:tc>
        <w:tc>
          <w:tcPr>
            <w:tcW w:type="dxa" w:w="2880"/>
          </w:tcPr>
          <w:p>
            <w:r/>
            <w:r>
              <w:rPr>
                <w:b w:val="0"/>
                <w:i w:val="0"/>
                <w:sz w:val="20"/>
              </w:rPr>
              <w:t>£150–£300</w:t>
            </w:r>
          </w:p>
        </w:tc>
        <w:tc>
          <w:tcPr>
            <w:tcW w:type="dxa" w:w="2880"/>
          </w:tcPr>
          <w:p>
            <w:r/>
            <w:r>
              <w:rPr>
                <w:b w:val="0"/>
                <w:i w:val="0"/>
                <w:sz w:val="20"/>
              </w:rPr>
              <w:t>Strong sports coverage; receptive to integrity angles</w:t>
            </w:r>
          </w:p>
        </w:tc>
      </w:tr>
      <w:tr>
        <w:tc>
          <w:tcPr>
            <w:tcW w:type="dxa" w:w="2880"/>
          </w:tcPr>
          <w:p>
            <w:r/>
            <w:r>
              <w:rPr>
                <w:b w:val="0"/>
                <w:i w:val="0"/>
                <w:sz w:val="20"/>
              </w:rPr>
              <w:t>Wired</w:t>
            </w:r>
          </w:p>
        </w:tc>
        <w:tc>
          <w:tcPr>
            <w:tcW w:type="dxa" w:w="2880"/>
          </w:tcPr>
          <w:p>
            <w:r/>
            <w:r>
              <w:rPr>
                <w:b w:val="0"/>
                <w:i w:val="0"/>
                <w:sz w:val="20"/>
              </w:rPr>
              <w:t>$1–$2/word</w:t>
            </w:r>
          </w:p>
        </w:tc>
        <w:tc>
          <w:tcPr>
            <w:tcW w:type="dxa" w:w="2880"/>
          </w:tcPr>
          <w:p>
            <w:r/>
            <w:r>
              <w:rPr>
                <w:b w:val="0"/>
                <w:i w:val="0"/>
                <w:sz w:val="20"/>
              </w:rPr>
              <w:t>Needs tech/method angle</w:t>
            </w:r>
          </w:p>
        </w:tc>
      </w:tr>
      <w:tr>
        <w:tc>
          <w:tcPr>
            <w:tcW w:type="dxa" w:w="2880"/>
          </w:tcPr>
          <w:p>
            <w:r/>
            <w:r>
              <w:rPr>
                <w:b w:val="0"/>
                <w:i w:val="0"/>
                <w:sz w:val="20"/>
              </w:rPr>
              <w:t>FiveThirtyEight (if revived)</w:t>
            </w:r>
          </w:p>
        </w:tc>
        <w:tc>
          <w:tcPr>
            <w:tcW w:type="dxa" w:w="2880"/>
          </w:tcPr>
          <w:p>
            <w:r/>
            <w:r>
              <w:rPr>
                <w:b w:val="0"/>
                <w:i w:val="0"/>
                <w:sz w:val="20"/>
              </w:rPr>
              <w:t>Variable</w:t>
            </w:r>
          </w:p>
        </w:tc>
        <w:tc>
          <w:tcPr>
            <w:tcW w:type="dxa" w:w="2880"/>
          </w:tcPr>
          <w:p>
            <w:r/>
            <w:r>
              <w:rPr>
                <w:b w:val="0"/>
                <w:i w:val="0"/>
                <w:sz w:val="20"/>
              </w:rPr>
              <w:t>Was $500–$1,500; status uncertain</w:t>
            </w:r>
          </w:p>
        </w:tc>
      </w:tr>
      <w:tr>
        <w:tc>
          <w:tcPr>
            <w:tcW w:type="dxa" w:w="2880"/>
          </w:tcPr>
          <w:p>
            <w:r/>
            <w:r>
              <w:rPr>
                <w:b w:val="0"/>
                <w:i w:val="0"/>
                <w:sz w:val="20"/>
              </w:rPr>
              <w:t>The Athletic</w:t>
            </w:r>
          </w:p>
        </w:tc>
        <w:tc>
          <w:tcPr>
            <w:tcW w:type="dxa" w:w="2880"/>
          </w:tcPr>
          <w:p>
            <w:r/>
            <w:r>
              <w:rPr>
                <w:b w:val="0"/>
                <w:i w:val="0"/>
                <w:sz w:val="20"/>
              </w:rPr>
              <w:t>$300–$600</w:t>
            </w:r>
          </w:p>
        </w:tc>
        <w:tc>
          <w:tcPr>
            <w:tcW w:type="dxa" w:w="2880"/>
          </w:tcPr>
          <w:p>
            <w:r/>
            <w:r>
              <w:rPr>
                <w:b w:val="0"/>
                <w:i w:val="0"/>
                <w:sz w:val="20"/>
              </w:rPr>
              <w:t>Subscription sports journalism; pays well</w:t>
            </w:r>
          </w:p>
        </w:tc>
      </w:tr>
      <w:tr>
        <w:tc>
          <w:tcPr>
            <w:tcW w:type="dxa" w:w="2880"/>
          </w:tcPr>
          <w:p>
            <w:r/>
            <w:r>
              <w:rPr>
                <w:b w:val="0"/>
                <w:i w:val="0"/>
                <w:sz w:val="20"/>
              </w:rPr>
              <w:t>Slate</w:t>
            </w:r>
          </w:p>
        </w:tc>
        <w:tc>
          <w:tcPr>
            <w:tcW w:type="dxa" w:w="2880"/>
          </w:tcPr>
          <w:p>
            <w:r/>
            <w:r>
              <w:rPr>
                <w:b w:val="0"/>
                <w:i w:val="0"/>
                <w:sz w:val="20"/>
              </w:rPr>
              <w:t>$200–$300</w:t>
            </w:r>
          </w:p>
        </w:tc>
        <w:tc>
          <w:tcPr>
            <w:tcW w:type="dxa" w:w="2880"/>
          </w:tcPr>
          <w:p>
            <w:r/>
            <w:r>
              <w:rPr>
                <w:b w:val="0"/>
                <w:i w:val="0"/>
                <w:sz w:val="20"/>
              </w:rPr>
              <w:t>Opinion and analysis</w:t>
            </w:r>
          </w:p>
        </w:tc>
      </w:tr>
      <w:tr>
        <w:tc>
          <w:tcPr>
            <w:tcW w:type="dxa" w:w="2880"/>
          </w:tcPr>
          <w:p>
            <w:r/>
            <w:r>
              <w:rPr>
                <w:b w:val="0"/>
                <w:i w:val="0"/>
                <w:sz w:val="20"/>
              </w:rPr>
              <w:t>Quartz</w:t>
            </w:r>
          </w:p>
        </w:tc>
        <w:tc>
          <w:tcPr>
            <w:tcW w:type="dxa" w:w="2880"/>
          </w:tcPr>
          <w:p>
            <w:r/>
            <w:r>
              <w:rPr>
                <w:b w:val="0"/>
                <w:i w:val="0"/>
                <w:sz w:val="20"/>
              </w:rPr>
              <w:t>$200–$400</w:t>
            </w:r>
          </w:p>
        </w:tc>
        <w:tc>
          <w:tcPr>
            <w:tcW w:type="dxa" w:w="2880"/>
          </w:tcPr>
          <w:p>
            <w:r/>
            <w:r>
              <w:rPr>
                <w:b w:val="0"/>
                <w:i w:val="0"/>
                <w:sz w:val="20"/>
              </w:rPr>
              <w:t>Business/data angle</w:t>
            </w:r>
          </w:p>
        </w:tc>
      </w:tr>
    </w:tbl>
    <w:p/>
    <w:p>
      <w:r>
        <w:rPr>
          <w:b/>
        </w:rPr>
        <w:t>Your pitch:</w:t>
      </w:r>
      <w:r>
        <w:t xml:space="preserve"> The OWG 2026 ice dance finding is your news hook. A piece titled something like "A Single Judge Nearly Cost the Real Champion an Olympic Gold Medal — and the Data Proves It" written accessibly is pitchable to NYT Opinion, Washington Post, or The Guardian around any major figure skating event.</w:t>
      </w:r>
    </w:p>
    <w:p>
      <w:r>
        <w:rPr>
          <w:b/>
        </w:rPr>
        <w:t>Timing matters:</w:t>
      </w:r>
      <w:r>
        <w:t xml:space="preserve"> Pitch to editors during or just after ISU Championships, OWG, or when judging controversy is in the news. Editors respond to news hooks.</w:t>
      </w:r>
    </w:p>
    <w:p>
      <w:pPr>
        <w:pStyle w:val="Heading3"/>
      </w:pPr>
      <w:r>
        <w:rPr>
          <w:b/>
          <w:i w:val="0"/>
          <w:sz w:val="24"/>
        </w:rPr>
        <w:t>Being Quoted as an Expert Source</w:t>
      </w:r>
    </w:p>
    <w:p>
      <w:r>
        <w:t>This does not pay directly but is extremely valuable. Every time you are quoted in the AP, Reuters, New York Times, or Washington Post, your profile grows and your expert witness and speaking pipeline grows with it.</w:t>
      </w:r>
    </w:p>
    <w:p>
      <w:r>
        <w:t>To get quoted:</w:t>
      </w:r>
    </w:p>
    <w:p>
      <w:pPr>
        <w:pStyle w:val="ListNumber"/>
        <w:ind w:left="360"/>
      </w:pPr>
      <w:r>
        <w:t>Register with Help a Reporter Out (HARO) — journalists post source requests, you respond.</w:t>
      </w:r>
    </w:p>
    <w:p>
      <w:pPr>
        <w:pStyle w:val="ListNumber"/>
        <w:ind w:left="360"/>
      </w:pPr>
      <w:r>
        <w:t>Sign up for ProfNet (PR Newswire's expert directory).</w:t>
      </w:r>
    </w:p>
    <w:p>
      <w:pPr>
        <w:pStyle w:val="ListNumber"/>
        <w:ind w:left="360"/>
      </w:pPr>
      <w:r>
        <w:t>Build a press page on your website with your contact info and a clear statement of your expertise.</w:t>
      </w:r>
    </w:p>
    <w:p>
      <w:pPr>
        <w:pStyle w:val="ListNumber"/>
        <w:ind w:left="360"/>
      </w:pPr>
      <w:r>
        <w:t>When judging controversies happen in figure skating (they will), email sports journalists directly with a brief note offering expert comment.</w:t>
      </w:r>
    </w:p>
    <w:p>
      <w:pPr>
        <w:pStyle w:val="Heading3"/>
      </w:pPr>
      <w:r>
        <w:rPr>
          <w:b/>
          <w:i w:val="0"/>
          <w:sz w:val="24"/>
        </w:rPr>
        <w:t>Documentary and Film</w:t>
      </w:r>
    </w:p>
    <w:p>
      <w:r>
        <w:t>Figure skating corruption is a proven documentary subject (the 2002 Salt Lake City scandal has been covered repeatedly). The OWG 2026 ice dance story — a single judge, statistically proven to have manipulated the outcome — is exactly the kind of narrative that documentary filmmakers pursue.</w:t>
      </w:r>
    </w:p>
    <w:p>
      <w:r>
        <w:rPr>
          <w:b/>
        </w:rPr>
        <w:t>How to approach this:</w:t>
      </w:r>
    </w:p>
    <w:p>
      <w:pPr>
        <w:pStyle w:val="ListBullet"/>
        <w:ind w:left="360"/>
      </w:pPr>
      <w:r>
        <w:t>Write a compelling one-page "story treatment" of the OWG 2026 ice dance finding, framed as a human story (who won, who was robbed, who was the judge, what the numbers show).</w:t>
      </w:r>
    </w:p>
    <w:p>
      <w:pPr>
        <w:pStyle w:val="ListBullet"/>
        <w:ind w:left="360"/>
      </w:pPr>
      <w:r>
        <w:t>Approach documentary production companies that have made sports integrity films: ESPN Films (30 for 30), Netflix Sports, HBO Real Sports, BBC Panorama Sports editions.</w:t>
      </w:r>
    </w:p>
    <w:p>
      <w:pPr>
        <w:pStyle w:val="ListBullet"/>
        <w:ind w:left="360"/>
      </w:pPr>
      <w:r>
        <w:t>A literary agent (see Book section below) can often help connect researchers to documentary producers.</w:t>
      </w:r>
    </w:p>
    <w:p>
      <w:r>
        <w:rPr>
          <w:b/>
        </w:rPr>
        <w:t>Revenue:</w:t>
      </w:r>
      <w:r>
        <w:t xml:space="preserve"> Documentary subjects who are also experts and narrators may receive a researcher/consultant fee ($5,000–$25,000 depending on the production scale) plus potentially a small profit participation. This is not primary income but is meaningful.</w:t>
      </w:r>
    </w:p>
    <w:p>
      <w:pPr>
        <w:pStyle w:val="Heading3"/>
      </w:pPr>
      <w:r>
        <w:rPr>
          <w:b/>
          <w:i w:val="0"/>
          <w:sz w:val="24"/>
        </w:rPr>
        <w:t>Podcast Appearances</w:t>
      </w:r>
    </w:p>
    <w:p>
      <w:r>
        <w:t>Most podcast appearances are unpaid (you are providing content to them). The value is audience building. Relevant podcasts:</w:t>
      </w:r>
    </w:p>
    <w:p>
      <w:pPr>
        <w:pStyle w:val="ListBullet"/>
        <w:ind w:left="360"/>
      </w:pPr>
      <w:r>
        <w:rPr>
          <w:b/>
        </w:rPr>
        <w:t>Skatonik, Figure Skating Universe podcast, Ice Talk:</w:t>
      </w:r>
      <w:r>
        <w:t xml:space="preserve"> Niche figure skating; their audiences are passionate and will become your readers and followers.</w:t>
      </w:r>
    </w:p>
    <w:p>
      <w:pPr>
        <w:pStyle w:val="ListBullet"/>
        <w:ind w:left="360"/>
      </w:pPr>
      <w:r>
        <w:rPr>
          <w:b/>
        </w:rPr>
        <w:t>Stronge Sports Analytics:</w:t>
      </w:r>
      <w:r>
        <w:t xml:space="preserve"> Sports analytics audience.</w:t>
      </w:r>
    </w:p>
    <w:p>
      <w:pPr>
        <w:pStyle w:val="ListBullet"/>
        <w:ind w:left="360"/>
      </w:pPr>
      <w:r>
        <w:rPr>
          <w:b/>
        </w:rPr>
        <w:t>Conversations with Tyler, EconTalk, Rationally Speaking:</w:t>
      </w:r>
      <w:r>
        <w:t xml:space="preserve"> High-profile intellectual podcasts; harder to land but transformative for profile if you do.</w:t>
      </w:r>
    </w:p>
    <w:p>
      <w:pPr>
        <w:pStyle w:val="ListBullet"/>
        <w:ind w:left="360"/>
      </w:pPr>
      <w:r>
        <w:rPr>
          <w:b/>
        </w:rPr>
        <w:t>Sports law and integrity podcasts:</w:t>
      </w:r>
      <w:r>
        <w:t xml:space="preserve"> Several exist in the UK/European sports law space.</w:t>
      </w:r>
    </w:p>
    <w:p>
      <w:r>
        <w:t>A small number of podcasts do pay guests ($100–$500), primarily in the business and entrepreneurship space. This is not a meaningful revenue source but worth doing for profile.</w:t>
      </w:r>
    </w:p>
    <w:p>
      <w:pPr>
        <w:pBdr>
          <w:bottom w:val="single" w:sz="6" w:space="1" w:color="AAAAAA"/>
        </w:pBdr>
      </w:pPr>
    </w:p>
    <w:p>
      <w:pPr>
        <w:pStyle w:val="Heading2"/>
      </w:pPr>
      <w:r>
        <w:rPr>
          <w:b/>
          <w:i w:val="0"/>
          <w:sz w:val="26"/>
        </w:rPr>
        <w:t>5. Book Strategy</w:t>
      </w:r>
    </w:p>
    <w:p>
      <w:pPr>
        <w:pStyle w:val="Heading3"/>
      </w:pPr>
      <w:r>
        <w:rPr>
          <w:b/>
          <w:i w:val="0"/>
          <w:sz w:val="24"/>
        </w:rPr>
        <w:t>The Trade Book Opportunity</w:t>
      </w:r>
    </w:p>
    <w:p>
      <w:r>
        <w:t>Your research has genuine trade book potential. The story elements are all present:</w:t>
      </w:r>
    </w:p>
    <w:p>
      <w:pPr>
        <w:pStyle w:val="ListBullet"/>
        <w:ind w:left="360"/>
      </w:pPr>
      <w:r>
        <w:t>Olympics (the world's biggest sporting stage)</w:t>
      </w:r>
    </w:p>
    <w:p>
      <w:pPr>
        <w:pStyle w:val="ListBullet"/>
        <w:ind w:left="360"/>
      </w:pPr>
      <w:r>
        <w:t>A single corrupt judge (a villain)</w:t>
      </w:r>
    </w:p>
    <w:p>
      <w:pPr>
        <w:pStyle w:val="ListBullet"/>
        <w:ind w:left="360"/>
      </w:pPr>
      <w:r>
        <w:t>Statistical sleuthing (the method)</w:t>
      </w:r>
    </w:p>
    <w:p>
      <w:pPr>
        <w:pStyle w:val="ListBullet"/>
        <w:ind w:left="360"/>
      </w:pPr>
      <w:r>
        <w:t>A result that was stolen (the stakes)</w:t>
      </w:r>
    </w:p>
    <w:p>
      <w:pPr>
        <w:pStyle w:val="ListBullet"/>
        <w:ind w:left="360"/>
      </w:pPr>
      <w:r>
        <w:t>A system that could be fixed (the solution)</w:t>
      </w:r>
    </w:p>
    <w:p>
      <w:r>
        <w:t>This is the structure of a successful narrative nonfiction sports book. Think Michael Lewis's approach applied to Olympic judging.</w:t>
      </w:r>
    </w:p>
    <w:p>
      <w:pPr>
        <w:pStyle w:val="Heading3"/>
      </w:pPr>
      <w:r>
        <w:rPr>
          <w:b/>
          <w:i w:val="0"/>
          <w:sz w:val="24"/>
        </w:rPr>
        <w:t>Target Audience</w:t>
      </w:r>
    </w:p>
    <w:p>
      <w:r>
        <w:t xml:space="preserve">Primary: General readers interested in sports, the Olympics, and corruption/fairness narratives. The audience for books like </w:t>
      </w:r>
      <w:r>
        <w:rPr>
          <w:i/>
        </w:rPr>
        <w:t>Moneyball</w:t>
      </w:r>
      <w:r>
        <w:t xml:space="preserve">, </w:t>
      </w:r>
      <w:r>
        <w:rPr>
          <w:i/>
        </w:rPr>
        <w:t>The Billion Dollar Game</w:t>
      </w:r>
      <w:r>
        <w:t xml:space="preserve">, </w:t>
      </w:r>
      <w:r>
        <w:rPr>
          <w:i/>
        </w:rPr>
        <w:t>Soccernomics</w:t>
      </w:r>
      <w:r>
        <w:t xml:space="preserve">, and </w:t>
      </w:r>
      <w:r>
        <w:rPr>
          <w:i/>
        </w:rPr>
        <w:t>The Numbers Game</w:t>
      </w:r>
      <w:r>
        <w:t>.</w:t>
      </w:r>
    </w:p>
    <w:p>
      <w:r>
        <w:t>Secondary: Sports analytics professionals, statisticians, governance researchers, figure skating fans.</w:t>
      </w:r>
    </w:p>
    <w:p>
      <w:pPr>
        <w:pStyle w:val="Heading3"/>
      </w:pPr>
      <w:r>
        <w:rPr>
          <w:b/>
          <w:i w:val="0"/>
          <w:sz w:val="24"/>
        </w:rPr>
        <w:t>Comparable Titles</w:t>
      </w:r>
    </w:p>
    <w:p>
      <w:pPr>
        <w:pStyle w:val="ListBullet"/>
        <w:ind w:left="360"/>
      </w:pPr>
      <w:r>
        <w:rPr>
          <w:i/>
        </w:rPr>
        <w:t>Moneyball</w:t>
      </w:r>
      <w:r>
        <w:t xml:space="preserve"> (Lewis) — analytics disrupting a traditional sports establishment</w:t>
      </w:r>
    </w:p>
    <w:p>
      <w:pPr>
        <w:pStyle w:val="ListBullet"/>
        <w:ind w:left="360"/>
      </w:pPr>
      <w:r>
        <w:rPr>
          <w:i/>
        </w:rPr>
        <w:t>The Fix</w:t>
      </w:r>
      <w:r>
        <w:t xml:space="preserve"> (Declan Hill) — match-fixing in soccer, investigative narrative</w:t>
      </w:r>
    </w:p>
    <w:p>
      <w:pPr>
        <w:pStyle w:val="ListBullet"/>
        <w:ind w:left="360"/>
      </w:pPr>
      <w:r>
        <w:rPr>
          <w:i/>
        </w:rPr>
        <w:t>Scorecasting</w:t>
      </w:r>
      <w:r>
        <w:t xml:space="preserve"> (Moskowitz and Wertheim) — referee bias and sports statistics for a general audience</w:t>
      </w:r>
    </w:p>
    <w:p>
      <w:pPr>
        <w:pStyle w:val="ListBullet"/>
        <w:ind w:left="360"/>
      </w:pPr>
      <w:r>
        <w:rPr>
          <w:i/>
        </w:rPr>
        <w:t>Soccernomics</w:t>
      </w:r>
      <w:r>
        <w:t xml:space="preserve"> (Kuper and Szymanski) — applying economic analysis to sports</w:t>
      </w:r>
    </w:p>
    <w:p>
      <w:pPr>
        <w:pStyle w:val="ListBullet"/>
        <w:ind w:left="360"/>
      </w:pPr>
      <w:r>
        <w:rPr>
          <w:i/>
        </w:rPr>
        <w:t>The Miracle and Tragedy of the Dionne Quintuplets</w:t>
      </w:r>
      <w:r>
        <w:t xml:space="preserve"> — not sports, but shows how a statistical anomaly can anchor narrative nonfiction</w:t>
      </w:r>
    </w:p>
    <w:p>
      <w:r>
        <w:t xml:space="preserve">Your book is closest to </w:t>
      </w:r>
      <w:r>
        <w:rPr>
          <w:i/>
        </w:rPr>
        <w:t>Scorecasting</w:t>
      </w:r>
      <w:r>
        <w:t xml:space="preserve"> in method but has a more dramatic central finding and a natural villain (the anomalous judge).</w:t>
      </w:r>
    </w:p>
    <w:p>
      <w:pPr>
        <w:pStyle w:val="Heading3"/>
      </w:pPr>
      <w:r>
        <w:rPr>
          <w:b/>
          <w:i w:val="0"/>
          <w:sz w:val="24"/>
        </w:rPr>
        <w:t>Academic Book vs. Trade Book</w:t>
      </w:r>
    </w:p>
    <w:p>
      <w:r>
        <w:t xml:space="preserve">An </w:t>
      </w:r>
      <w:r>
        <w:rPr>
          <w:b/>
        </w:rPr>
        <w:t>academic book</w:t>
      </w:r>
      <w:r>
        <w:t xml:space="preserve"> (published by MIT Press, Princeton University Press, University of Chicago Press) is primarily for scholars and graduate students. Advances are modest ($2,000–$10,000), print runs are small (1,000–3,000 copies), and royalties are low. The prestige value is real for an academic career but limited for your monetization goals.</w:t>
      </w:r>
    </w:p>
    <w:p>
      <w:r>
        <w:t xml:space="preserve">A </w:t>
      </w:r>
      <w:r>
        <w:rPr>
          <w:b/>
        </w:rPr>
        <w:t>trade book</w:t>
      </w:r>
      <w:r>
        <w:t xml:space="preserve"> (published by Simon &amp; Schuster, Penguin Random House, Norton, Hachette, etc.) is for general readers. Advances for first-time nonfiction authors with a strong hook range from $20,000–$100,000, with meaningful upside if the book sells. This is where you should aim.</w:t>
      </w:r>
    </w:p>
    <w:p>
      <w:r>
        <w:t>A hybrid option: W.W. Norton's general science/nonfiction list, or MIT Press's popular science list, sits between trade and academic. These can work well for data-driven narrative books.</w:t>
      </w:r>
    </w:p>
    <w:p>
      <w:pPr>
        <w:pStyle w:val="Heading3"/>
      </w:pPr>
      <w:r>
        <w:rPr>
          <w:b/>
          <w:i w:val="0"/>
          <w:sz w:val="24"/>
        </w:rPr>
        <w:t>How to Find a Literary Agent</w:t>
      </w:r>
    </w:p>
    <w:p>
      <w:r>
        <w:t>You need a literary agent to approach major trade publishers. Agents take 15% of advances and royalties in exchange for placing your book and negotiating your contract.</w:t>
      </w:r>
    </w:p>
    <w:p>
      <w:r>
        <w:rPr>
          <w:b/>
        </w:rPr>
        <w:t>How to find agents:</w:t>
      </w:r>
    </w:p>
    <w:p>
      <w:pPr>
        <w:pStyle w:val="ListNumber"/>
        <w:ind w:left="360"/>
      </w:pPr>
      <w:r>
        <w:rPr>
          <w:b/>
        </w:rPr>
        <w:t>QueryTracker (querytracker.net):</w:t>
      </w:r>
      <w:r>
        <w:t xml:space="preserve"> Database of literary agents with submission guidelines and track records.</w:t>
      </w:r>
    </w:p>
    <w:p>
      <w:pPr>
        <w:pStyle w:val="ListNumber"/>
        <w:ind w:left="360"/>
      </w:pPr>
      <w:r>
        <w:rPr>
          <w:b/>
        </w:rPr>
        <w:t>Publishers Marketplace (publishersmarketplace.com):</w:t>
      </w:r>
      <w:r>
        <w:t xml:space="preserve"> Shows recent deals by agent and genre. Search for agents who have sold sports narrative nonfiction, science journalism, or corruption/exposé books. These are the agents who will understand your proposal.</w:t>
      </w:r>
    </w:p>
    <w:p>
      <w:pPr>
        <w:pStyle w:val="ListNumber"/>
        <w:ind w:left="360"/>
      </w:pPr>
      <w:r>
        <w:rPr>
          <w:b/>
        </w:rPr>
        <w:t>Writer's Digest Guide to Literary Agents:</w:t>
      </w:r>
      <w:r>
        <w:t xml:space="preserve"> The standard annual reference.</w:t>
      </w:r>
    </w:p>
    <w:p>
      <w:pPr>
        <w:pStyle w:val="ListNumber"/>
        <w:ind w:left="360"/>
      </w:pPr>
      <w:r>
        <w:rPr>
          <w:b/>
        </w:rPr>
        <w:t>Conferences:</w:t>
      </w:r>
      <w:r>
        <w:t xml:space="preserve"> The Association of Writers and Writing Programs (AWP) conference and various literary festivals include agent pitch sessions. Less critical for nonfiction (proposal-driven) than fiction.</w:t>
      </w:r>
    </w:p>
    <w:p>
      <w:r>
        <w:rPr>
          <w:b/>
        </w:rPr>
        <w:t>Agents to research</w:t>
      </w:r>
      <w:r>
        <w:t xml:space="preserve"> (examples of agents who have represented similar work — research current status and current submissions):</w:t>
      </w:r>
    </w:p>
    <w:p>
      <w:pPr>
        <w:pStyle w:val="ListBullet"/>
        <w:ind w:left="360"/>
      </w:pPr>
      <w:r>
        <w:t>Agents at CAA, WME, and Janklow &amp; Nesbit who represent narrative sports nonfiction</w:t>
      </w:r>
    </w:p>
    <w:p>
      <w:pPr>
        <w:pStyle w:val="ListBullet"/>
        <w:ind w:left="360"/>
      </w:pPr>
      <w:r>
        <w:t xml:space="preserve">Agents who represented </w:t>
      </w:r>
      <w:r>
        <w:rPr>
          <w:i/>
        </w:rPr>
        <w:t>The Fix</w:t>
      </w:r>
      <w:r>
        <w:t xml:space="preserve">, </w:t>
      </w:r>
      <w:r>
        <w:rPr>
          <w:i/>
        </w:rPr>
        <w:t>Scorecasting</w:t>
      </w:r>
      <w:r>
        <w:t>, or similar titles</w:t>
      </w:r>
    </w:p>
    <w:p>
      <w:pPr>
        <w:pStyle w:val="ListBullet"/>
        <w:ind w:left="360"/>
      </w:pPr>
      <w:r>
        <w:t>Search Publishers Marketplace for "sports" + "nonfiction" deals from 2022–2026</w:t>
      </w:r>
    </w:p>
    <w:p>
      <w:pPr>
        <w:pStyle w:val="Heading3"/>
      </w:pPr>
      <w:r>
        <w:rPr>
          <w:b/>
          <w:i w:val="0"/>
          <w:sz w:val="24"/>
        </w:rPr>
        <w:t>The Book Proposal</w:t>
      </w:r>
    </w:p>
    <w:p>
      <w:r>
        <w:t>Trade publishers buy nonfiction on proposal, not completed manuscript. A book proposal is 20–50 pages including:</w:t>
      </w:r>
    </w:p>
    <w:p>
      <w:pPr>
        <w:pStyle w:val="ListBullet"/>
        <w:ind w:left="360"/>
      </w:pPr>
      <w:r>
        <w:t>Overview (the hook, the story, why now)</w:t>
      </w:r>
    </w:p>
    <w:p>
      <w:pPr>
        <w:pStyle w:val="ListBullet"/>
        <w:ind w:left="360"/>
      </w:pPr>
      <w:r>
        <w:t>Chapter-by-chapter outline</w:t>
      </w:r>
    </w:p>
    <w:p>
      <w:pPr>
        <w:pStyle w:val="ListBullet"/>
        <w:ind w:left="360"/>
      </w:pPr>
      <w:r>
        <w:t>Sample chapter (usually the most compelling narrative section)</w:t>
      </w:r>
    </w:p>
    <w:p>
      <w:pPr>
        <w:pStyle w:val="ListBullet"/>
        <w:ind w:left="360"/>
      </w:pPr>
      <w:r>
        <w:t>Market analysis (comparable titles and their sales)</w:t>
      </w:r>
    </w:p>
    <w:p>
      <w:pPr>
        <w:pStyle w:val="ListBullet"/>
        <w:ind w:left="360"/>
      </w:pPr>
      <w:r>
        <w:t>Author bio (your Booth MBA, your paper, your platform)</w:t>
      </w:r>
    </w:p>
    <w:p>
      <w:r>
        <w:t>Your strongest sample chapter is almost certainly the OWG 2026 ice dance story told as narrative: the competition, the scores, the statistical anomaly, the counterfactual medal table, and what it means.</w:t>
      </w:r>
    </w:p>
    <w:p>
      <w:pPr>
        <w:pStyle w:val="Heading3"/>
      </w:pPr>
      <w:r>
        <w:rPr>
          <w:b/>
          <w:i w:val="0"/>
          <w:sz w:val="24"/>
        </w:rPr>
        <w:t>Working Title Ideas</w:t>
      </w:r>
    </w:p>
    <w:p>
      <w:pPr>
        <w:pStyle w:val="ListBullet"/>
        <w:ind w:left="360"/>
      </w:pPr>
      <w:r>
        <w:rPr>
          <w:i/>
        </w:rPr>
        <w:t>The Crooked Judge: How Statistics Exposed an Olympic Scandal</w:t>
      </w:r>
    </w:p>
    <w:p>
      <w:pPr>
        <w:pStyle w:val="ListBullet"/>
        <w:ind w:left="360"/>
      </w:pPr>
      <w:r>
        <w:rPr>
          <w:i/>
        </w:rPr>
        <w:t>The Wrong Score: Inside the Hidden Math of Olympic Corruption</w:t>
      </w:r>
    </w:p>
    <w:p>
      <w:pPr>
        <w:pStyle w:val="ListBullet"/>
        <w:ind w:left="360"/>
      </w:pPr>
      <w:r>
        <w:rPr>
          <w:i/>
        </w:rPr>
        <w:t>Outlier: One Judge, One Olympic Gold Medal, and the Algorithm That Caught It</w:t>
      </w:r>
    </w:p>
    <w:p>
      <w:pPr>
        <w:pStyle w:val="ListBullet"/>
        <w:ind w:left="360"/>
      </w:pPr>
      <w:r>
        <w:rPr>
          <w:i/>
        </w:rPr>
        <w:t>The Null Hypothesis: Hunting Corruption in Olympic Figure Skating</w:t>
      </w:r>
    </w:p>
    <w:p>
      <w:pPr>
        <w:pStyle w:val="ListBullet"/>
        <w:ind w:left="360"/>
      </w:pPr>
      <w:r>
        <w:rPr>
          <w:i/>
        </w:rPr>
        <w:t>Against the Numbers: A Statistical Investigation of Olympic Judging</w:t>
      </w:r>
    </w:p>
    <w:p>
      <w:pPr>
        <w:pStyle w:val="Heading3"/>
      </w:pPr>
      <w:r>
        <w:rPr>
          <w:b/>
          <w:i w:val="0"/>
          <w:sz w:val="24"/>
        </w:rPr>
        <w:t>Timeline and Realistic Expectations</w:t>
      </w:r>
    </w:p>
    <w:p>
      <w:pPr>
        <w:pStyle w:val="ListBullet"/>
        <w:ind w:left="360"/>
      </w:pPr>
      <w:r>
        <w:t>Query agents: 6 months after paper publication (you need the publication as a credential)</w:t>
      </w:r>
    </w:p>
    <w:p>
      <w:pPr>
        <w:pStyle w:val="ListBullet"/>
        <w:ind w:left="360"/>
      </w:pPr>
      <w:r>
        <w:t>Agent offer: 2–6 months after querying</w:t>
      </w:r>
    </w:p>
    <w:p>
      <w:pPr>
        <w:pStyle w:val="ListBullet"/>
        <w:ind w:left="360"/>
      </w:pPr>
      <w:r>
        <w:t>Publisher offer: 3–9 months after signing with agent</w:t>
      </w:r>
    </w:p>
    <w:p>
      <w:pPr>
        <w:pStyle w:val="ListBullet"/>
        <w:ind w:left="360"/>
      </w:pPr>
      <w:r>
        <w:t>Publication: 12–18 months after publisher contract</w:t>
      </w:r>
    </w:p>
    <w:p>
      <w:pPr>
        <w:pStyle w:val="ListBullet"/>
        <w:ind w:left="360"/>
      </w:pPr>
      <w:r>
        <w:t>Realistic timeline to book in print: 3–4 years from now</w:t>
      </w:r>
    </w:p>
    <w:p>
      <w:r>
        <w:t>This is a long game. But a published trade book transforms your expert profile and creates a durable revenue asset (royalties continue for years, speaking fees jump significantly post-publication).</w:t>
      </w:r>
    </w:p>
    <w:p>
      <w:pPr>
        <w:pBdr>
          <w:bottom w:val="single" w:sz="6" w:space="1" w:color="AAAAAA"/>
        </w:pBdr>
      </w:pPr>
    </w:p>
    <w:p>
      <w:pPr>
        <w:pStyle w:val="Heading2"/>
      </w:pPr>
      <w:r>
        <w:rPr>
          <w:b/>
          <w:i w:val="0"/>
          <w:sz w:val="26"/>
        </w:rPr>
        <w:t>6. Online and Digital Revenue (Longer Term)</w:t>
      </w:r>
    </w:p>
    <w:p>
      <w:pPr>
        <w:pStyle w:val="Heading3"/>
      </w:pPr>
      <w:r>
        <w:rPr>
          <w:b/>
          <w:i w:val="0"/>
          <w:sz w:val="24"/>
        </w:rPr>
        <w:t>Substack Newsletter</w:t>
      </w:r>
    </w:p>
    <w:p>
      <w:r>
        <w:t>A newsletter on figure skating analytics is viable but niche. The figure skating fan base is passionate and data-hungry. A newsletter that covers:</w:t>
      </w:r>
    </w:p>
    <w:p>
      <w:pPr>
        <w:pStyle w:val="ListBullet"/>
        <w:ind w:left="360"/>
      </w:pPr>
      <w:r>
        <w:t>IJS scoring trends</w:t>
      </w:r>
    </w:p>
    <w:p>
      <w:pPr>
        <w:pStyle w:val="ListBullet"/>
        <w:ind w:left="360"/>
      </w:pPr>
      <w:r>
        <w:t>Judging anomaly analysis</w:t>
      </w:r>
    </w:p>
    <w:p>
      <w:pPr>
        <w:pStyle w:val="ListBullet"/>
        <w:ind w:left="360"/>
      </w:pPr>
      <w:r>
        <w:t>PCS vs. TES patterns</w:t>
      </w:r>
    </w:p>
    <w:p>
      <w:pPr>
        <w:pStyle w:val="ListBullet"/>
        <w:ind w:left="360"/>
      </w:pPr>
      <w:r>
        <w:t>Competition previews with historical data</w:t>
      </w:r>
    </w:p>
    <w:p>
      <w:r>
        <w:t>could build a subscriber base of 2,000–8,000 readers. At $8–$10/month paid subscription:</w:t>
      </w:r>
    </w:p>
    <w:p>
      <w:pPr>
        <w:pStyle w:val="ListBullet"/>
        <w:ind w:left="360"/>
      </w:pPr>
      <w:r>
        <w:t>500 paid subscribers = $4,000–$5,000/month</w:t>
      </w:r>
    </w:p>
    <w:p>
      <w:pPr>
        <w:pStyle w:val="ListBullet"/>
        <w:ind w:left="360"/>
      </w:pPr>
      <w:r>
        <w:t>2,000 paid subscribers = $16,000–$20,000/month</w:t>
      </w:r>
    </w:p>
    <w:p>
      <w:r>
        <w:t>This is possible but requires consistent content production (2–4 posts per month minimum) and 12–24 months to build. Start free, convert to paid after building audience. The Significance Magazine piece and Scientific Reports paper give you an immediate credibility spike to launch with.</w:t>
      </w:r>
    </w:p>
    <w:p>
      <w:r>
        <w:t>A broader framing — "sports judging analytics" covering gymnastics, diving, boxing, and other subjectively scored sports — expands the potential audience significantly.</w:t>
      </w:r>
    </w:p>
    <w:p>
      <w:pPr>
        <w:pStyle w:val="Heading3"/>
      </w:pPr>
      <w:r>
        <w:rPr>
          <w:b/>
          <w:i w:val="0"/>
          <w:sz w:val="24"/>
        </w:rPr>
        <w:t>Online Course</w:t>
      </w:r>
    </w:p>
    <w:p>
      <w:r>
        <w:t>A course titled "Statistical Methods for Sports Integrity Analysis" covering permutation testing, statistical auditing, and reproducible data science applied to sports could appeal to:</w:t>
      </w:r>
    </w:p>
    <w:p>
      <w:pPr>
        <w:pStyle w:val="ListBullet"/>
        <w:ind w:left="360"/>
      </w:pPr>
      <w:r>
        <w:t>Graduate students in statistics and sports science</w:t>
      </w:r>
    </w:p>
    <w:p>
      <w:pPr>
        <w:pStyle w:val="ListBullet"/>
        <w:ind w:left="360"/>
      </w:pPr>
      <w:r>
        <w:t>Data scientists in sports organizations</w:t>
      </w:r>
    </w:p>
    <w:p>
      <w:pPr>
        <w:pStyle w:val="ListBullet"/>
        <w:ind w:left="360"/>
      </w:pPr>
      <w:r>
        <w:t>Sports law practitioners who need to understand expert testimony</w:t>
      </w:r>
    </w:p>
    <w:p>
      <w:pPr>
        <w:pStyle w:val="ListBullet"/>
        <w:ind w:left="360"/>
      </w:pPr>
      <w:r>
        <w:t>Journalists covering sports data</w:t>
      </w:r>
    </w:p>
    <w:p>
      <w:r>
        <w:t>Platform: Coursera (requires institutional affiliation, harder), Teachable or Thinkific (self-hosted, lower fees), or Maven (cohort-based, can charge more per student).</w:t>
      </w:r>
    </w:p>
    <w:p>
      <w:r>
        <w:t>Realistic pricing: $200–$500/student. With 50–100 students per cohort: $10,000–$50,000 per cohort. But building and marketing a course is substantial work.</w:t>
      </w:r>
    </w:p>
    <w:p>
      <w:r>
        <w:t>This is an 18–24 month project. Start thinking about it after the book and speaking career begin generating interest.</w:t>
      </w:r>
    </w:p>
    <w:p>
      <w:pPr>
        <w:pStyle w:val="Heading3"/>
      </w:pPr>
      <w:r>
        <w:rPr>
          <w:b/>
          <w:i w:val="0"/>
          <w:sz w:val="24"/>
        </w:rPr>
        <w:t>Data Licensing</w:t>
      </w:r>
    </w:p>
    <w:p>
      <w:r>
        <w:t>Your compiled database (291,604 individual judge scores, cleaned and structured) has value even though the underlying ISU data is public. The value is in the curation, cleaning, linkage, and statistical outputs.</w:t>
      </w:r>
    </w:p>
    <w:p>
      <w:r>
        <w:t>Potential licensees:</w:t>
      </w:r>
    </w:p>
    <w:p>
      <w:pPr>
        <w:pStyle w:val="ListBullet"/>
        <w:ind w:left="360"/>
      </w:pPr>
      <w:r>
        <w:t>Sports analytics research teams at universities</w:t>
      </w:r>
    </w:p>
    <w:p>
      <w:pPr>
        <w:pStyle w:val="ListBullet"/>
        <w:ind w:left="360"/>
      </w:pPr>
      <w:r>
        <w:t>Integrity vendors (Sportradar, Genius Sports)</w:t>
      </w:r>
    </w:p>
    <w:p>
      <w:pPr>
        <w:pStyle w:val="ListBullet"/>
        <w:ind w:left="360"/>
      </w:pPr>
      <w:r>
        <w:t>Academic researchers in sports economics</w:t>
      </w:r>
    </w:p>
    <w:p>
      <w:r>
        <w:t>The database should remain fully open (GitHub) for academic use. A commercial licensing tier for commercial applications ($2,000–$10,000/year) is possible once you have established relationships in the industry.</w:t>
      </w:r>
    </w:p>
    <w:p>
      <w:pPr>
        <w:pBdr>
          <w:bottom w:val="single" w:sz="6" w:space="1" w:color="AAAAAA"/>
        </w:pBdr>
      </w:pPr>
    </w:p>
    <w:p>
      <w:pPr>
        <w:pStyle w:val="Heading2"/>
      </w:pPr>
      <w:r>
        <w:rPr>
          <w:b/>
          <w:i w:val="0"/>
          <w:sz w:val="26"/>
        </w:rPr>
        <w:t>7. Prioritized Action Plan</w:t>
      </w:r>
    </w:p>
    <w:p>
      <w:pPr>
        <w:pStyle w:val="Heading3"/>
      </w:pPr>
      <w:r>
        <w:rPr>
          <w:b/>
          <w:i w:val="0"/>
          <w:sz w:val="24"/>
        </w:rPr>
        <w:t>Next 30 Days (Pre-Publication)</w:t>
      </w:r>
    </w:p>
    <w:p>
      <w:pPr>
        <w:pStyle w:val="ListNumber"/>
        <w:ind w:left="360"/>
      </w:pPr>
      <w:r>
        <w:rPr>
          <w:b/>
        </w:rPr>
        <w:t>Build your website.</w:t>
      </w:r>
      <w:r>
        <w:t xml:space="preserve"> You need a personal site with: bio, research page, press/media page with contact info, and a "for attorneys" page describing expert witness availability. A simple site (Squarespace or WordPress) takes a weekend. This is non-negotiable — it is your professional home.</w:t>
      </w:r>
    </w:p>
    <w:p>
      <w:pPr>
        <w:pStyle w:val="ListNumber"/>
        <w:ind w:left="360"/>
      </w:pPr>
      <w:r>
        <w:rPr>
          <w:b/>
        </w:rPr>
        <w:t>Draft your elevator pitch.</w:t>
      </w:r>
      <w:r>
        <w:t xml:space="preserve"> One sentence: what you found, why it matters, who should care. Practice saying it. "I developed a statistical framework that identified 153 Olympic and championship figure skating events where a single judge's removal would have changed the podium — including the OWG 2026 ice dance gold medal."</w:t>
      </w:r>
    </w:p>
    <w:p>
      <w:pPr>
        <w:pStyle w:val="ListNumber"/>
        <w:ind w:left="360"/>
      </w:pPr>
      <w:r>
        <w:rPr>
          <w:b/>
        </w:rPr>
        <w:t>Prepare your GitHub repository.</w:t>
      </w:r>
      <w:r>
        <w:t xml:space="preserve"> Make sure the code is clean, well-documented, and readable by someone who didn't write it. This is your reproducibility credential and will be scrutinized by anyone who wants to challenge your methods.</w:t>
      </w:r>
    </w:p>
    <w:p>
      <w:pPr>
        <w:pStyle w:val="ListNumber"/>
        <w:ind w:left="360"/>
      </w:pPr>
      <w:r>
        <w:rPr>
          <w:b/>
        </w:rPr>
        <w:t>Draft the Significance Magazine piece</w:t>
      </w:r>
      <w:r>
        <w:t xml:space="preserve"> if not already written. Significance has a general statistics audience; write it accessibly with one clear narrative hook (the ice dance story) and methodological depth in the appendix.</w:t>
      </w:r>
    </w:p>
    <w:p>
      <w:pPr>
        <w:pStyle w:val="ListNumber"/>
        <w:ind w:left="360"/>
      </w:pPr>
      <w:r>
        <w:rPr>
          <w:b/>
        </w:rPr>
        <w:t>Identify 10 target journalists.</w:t>
      </w:r>
      <w:r>
        <w:t xml:space="preserve"> Find the bylines for figure skating and sports integrity at: AP, Reuters, NYT Sports, Washington Post Sports, The Guardian, The Athletic. Follow them. Note their email patterns.</w:t>
      </w:r>
    </w:p>
    <w:p>
      <w:pPr>
        <w:pStyle w:val="ListNumber"/>
        <w:ind w:left="360"/>
      </w:pPr>
      <w:r>
        <w:rPr>
          <w:b/>
        </w:rPr>
        <w:t>Draft your expert witness bio.</w:t>
      </w:r>
      <w:r>
        <w:t xml:space="preserve"> One page. Emphasize: peer-reviewed publication (forthcoming), database scale, quantitative background, Booth MBA, specific OWG findings.</w:t>
      </w:r>
    </w:p>
    <w:p>
      <w:pPr>
        <w:pStyle w:val="Heading3"/>
      </w:pPr>
      <w:r>
        <w:rPr>
          <w:b/>
          <w:i w:val="0"/>
          <w:sz w:val="24"/>
        </w:rPr>
        <w:t>After Paper Acceptance</w:t>
      </w:r>
    </w:p>
    <w:p>
      <w:pPr>
        <w:pStyle w:val="ListNumber"/>
        <w:ind w:left="360"/>
      </w:pPr>
      <w:r>
        <w:rPr>
          <w:b/>
        </w:rPr>
        <w:t>Issue a press release.</w:t>
      </w:r>
      <w:r>
        <w:t xml:space="preserve"> Work with Scientific Reports' communications team (Nature Portfolio has dedicated PR staff who pitch authors). Provide them with your key findings, the ice dance hook, and your contact information for media.</w:t>
      </w:r>
    </w:p>
    <w:p>
      <w:pPr>
        <w:pStyle w:val="ListNumber"/>
        <w:ind w:left="360"/>
      </w:pPr>
      <w:r>
        <w:rPr>
          <w:b/>
        </w:rPr>
        <w:t>Pitch journalists directly.</w:t>
      </w:r>
      <w:r>
        <w:t xml:space="preserve"> Email the 10 target journalists with a brief, jargon-free explanation of your findings and an offer for exclusive or early access to the paper. The ice dance finding is your hook — use it.</w:t>
      </w:r>
    </w:p>
    <w:p>
      <w:pPr>
        <w:pStyle w:val="ListNumber"/>
        <w:ind w:left="360"/>
      </w:pPr>
      <w:r>
        <w:rPr>
          <w:b/>
        </w:rPr>
        <w:t>Submit to MIT Sloan Conference</w:t>
      </w:r>
      <w:r>
        <w:t xml:space="preserve"> (if timing aligns with October 2026 submission window). Adapt your paper for their format.</w:t>
      </w:r>
    </w:p>
    <w:p>
      <w:pPr>
        <w:pStyle w:val="ListNumber"/>
        <w:ind w:left="360"/>
      </w:pPr>
      <w:r>
        <w:rPr>
          <w:b/>
        </w:rPr>
        <w:t>Register on expert witness directories</w:t>
      </w:r>
      <w:r>
        <w:t xml:space="preserve"> (SEAK, JurisExpert, National Expert Witness Directory).</w:t>
      </w:r>
    </w:p>
    <w:p>
      <w:pPr>
        <w:pStyle w:val="ListNumber"/>
        <w:ind w:left="360"/>
      </w:pPr>
      <w:r>
        <w:rPr>
          <w:b/>
        </w:rPr>
        <w:t>Write the sports law journal article.</w:t>
      </w:r>
      <w:r>
        <w:t xml:space="preserve"> Aim for submission within 3 months of main paper publication.</w:t>
      </w:r>
    </w:p>
    <w:p>
      <w:pPr>
        <w:pStyle w:val="ListNumber"/>
        <w:ind w:left="360"/>
      </w:pPr>
      <w:r>
        <w:rPr>
          <w:b/>
        </w:rPr>
        <w:t>Begin querying literary agents.</w:t>
      </w:r>
      <w:r>
        <w:t xml:space="preserve"> Research 20 agents, personalize queries, submit over 4–6 weeks.</w:t>
      </w:r>
    </w:p>
    <w:p>
      <w:pPr>
        <w:pStyle w:val="ListNumber"/>
        <w:ind w:left="360"/>
      </w:pPr>
      <w:r>
        <w:rPr>
          <w:b/>
        </w:rPr>
        <w:t>Announce publicly on LinkedIn.</w:t>
      </w:r>
      <w:r>
        <w:t xml:space="preserve"> Write a post that explains your finding in plain language. Tag relevant accounts (ISU, major figure skating media, sports analytics accounts). The goal is searchable internet presence.</w:t>
      </w:r>
    </w:p>
    <w:p>
      <w:pPr>
        <w:pStyle w:val="ListNumber"/>
        <w:ind w:left="360"/>
      </w:pPr>
      <w:r>
        <w:rPr>
          <w:b/>
        </w:rPr>
        <w:t>Start the Substack.</w:t>
      </w:r>
      <w:r>
        <w:t xml:space="preserve"> Even 3–4 posts will establish the newsletter and capture early interest from the media coverage. Start free.</w:t>
      </w:r>
    </w:p>
    <w:p>
      <w:pPr>
        <w:pStyle w:val="Heading3"/>
      </w:pPr>
      <w:r>
        <w:rPr>
          <w:b/>
          <w:i w:val="0"/>
          <w:sz w:val="24"/>
        </w:rPr>
        <w:t>After Significance Piece Is Published</w:t>
      </w:r>
    </w:p>
    <w:p>
      <w:pPr>
        <w:pStyle w:val="ListNumber"/>
        <w:ind w:left="360"/>
      </w:pPr>
      <w:r>
        <w:rPr>
          <w:b/>
        </w:rPr>
        <w:t>Submit an abstract to JSM</w:t>
      </w:r>
      <w:r>
        <w:t xml:space="preserve"> (if timing aligns) and the RSS Annual Conference.</w:t>
      </w:r>
    </w:p>
    <w:p>
      <w:pPr>
        <w:pStyle w:val="ListNumber"/>
        <w:ind w:left="360"/>
      </w:pPr>
      <w:r>
        <w:rPr>
          <w:b/>
        </w:rPr>
        <w:t>Reach out to podcast hosts</w:t>
      </w:r>
      <w:r>
        <w:t xml:space="preserve"> in figure skating, sports analytics, and sports integrity with a brief pitch and link to both publications.</w:t>
      </w:r>
    </w:p>
    <w:p>
      <w:pPr>
        <w:pStyle w:val="ListNumber"/>
        <w:ind w:left="360"/>
      </w:pPr>
      <w:r>
        <w:rPr>
          <w:b/>
        </w:rPr>
        <w:t>Draft the first consulting service description</w:t>
      </w:r>
      <w:r>
        <w:t xml:space="preserve"> and add it to your website.</w:t>
      </w:r>
    </w:p>
    <w:p>
      <w:pPr>
        <w:pStyle w:val="ListNumber"/>
        <w:ind w:left="360"/>
      </w:pPr>
      <w:r>
        <w:rPr>
          <w:b/>
        </w:rPr>
        <w:t>Approach 3–5 sports integrity organizations</w:t>
      </w:r>
      <w:r>
        <w:t xml:space="preserve"> (ICSS, Sport Integrity Australia, Sportradar Integrity) with your briefing document and meeting request.</w:t>
      </w:r>
    </w:p>
    <w:p>
      <w:pPr>
        <w:pStyle w:val="ListNumber"/>
        <w:ind w:left="360"/>
      </w:pPr>
      <w:r>
        <w:rPr>
          <w:b/>
        </w:rPr>
        <w:t>Follow up with any journalists</w:t>
      </w:r>
      <w:r>
        <w:t xml:space="preserve"> who covered the paper with an offer to write a contributed piece.</w:t>
      </w:r>
    </w:p>
    <w:p>
      <w:pPr>
        <w:pStyle w:val="ListNumber"/>
        <w:ind w:left="360"/>
      </w:pPr>
      <w:r>
        <w:rPr>
          <w:b/>
        </w:rPr>
        <w:t>Connect with attorneys at sports law firms.</w:t>
      </w:r>
      <w:r>
        <w:t xml:space="preserve"> LinkedIn outreach + the sports law journal article.</w:t>
      </w:r>
    </w:p>
    <w:p>
      <w:pPr>
        <w:pStyle w:val="Heading3"/>
      </w:pPr>
      <w:r>
        <w:rPr>
          <w:b/>
          <w:i w:val="0"/>
          <w:sz w:val="24"/>
        </w:rPr>
        <w:t>12-Month Revenue Roadmap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Month</w:t>
            </w:r>
          </w:p>
        </w:tc>
        <w:tc>
          <w:tcPr>
            <w:tcW w:type="dxa" w:w="2880"/>
          </w:tcPr>
          <w:p>
            <w:r/>
            <w:r>
              <w:rPr>
                <w:b/>
                <w:sz w:val="20"/>
              </w:rPr>
              <w:t>Milestone</w:t>
            </w:r>
          </w:p>
        </w:tc>
        <w:tc>
          <w:tcPr>
            <w:tcW w:type="dxa" w:w="2880"/>
          </w:tcPr>
          <w:p>
            <w:r/>
            <w:r>
              <w:rPr>
                <w:b/>
                <w:sz w:val="20"/>
              </w:rPr>
              <w:t>Expected Revenue</w:t>
            </w:r>
          </w:p>
        </w:tc>
      </w:tr>
      <w:tr>
        <w:tc>
          <w:tcPr>
            <w:tcW w:type="dxa" w:w="2880"/>
          </w:tcPr>
          <w:p>
            <w:r/>
            <w:r>
              <w:rPr>
                <w:b w:val="0"/>
                <w:i w:val="0"/>
                <w:sz w:val="20"/>
              </w:rPr>
              <w:t>1–3</w:t>
            </w:r>
          </w:p>
        </w:tc>
        <w:tc>
          <w:tcPr>
            <w:tcW w:type="dxa" w:w="2880"/>
          </w:tcPr>
          <w:p>
            <w:r/>
            <w:r>
              <w:rPr>
                <w:b w:val="0"/>
                <w:i w:val="0"/>
                <w:sz w:val="20"/>
              </w:rPr>
              <w:t>Website live, paper under review, Substack launched</w:t>
            </w:r>
          </w:p>
        </w:tc>
        <w:tc>
          <w:tcPr>
            <w:tcW w:type="dxa" w:w="2880"/>
          </w:tcPr>
          <w:p>
            <w:r/>
            <w:r>
              <w:rPr>
                <w:b w:val="0"/>
                <w:i w:val="0"/>
                <w:sz w:val="20"/>
              </w:rPr>
              <w:t>$0</w:t>
            </w:r>
          </w:p>
        </w:tc>
      </w:tr>
      <w:tr>
        <w:tc>
          <w:tcPr>
            <w:tcW w:type="dxa" w:w="2880"/>
          </w:tcPr>
          <w:p>
            <w:r/>
            <w:r>
              <w:rPr>
                <w:b w:val="0"/>
                <w:i w:val="0"/>
                <w:sz w:val="20"/>
              </w:rPr>
              <w:t>4–6</w:t>
            </w:r>
          </w:p>
        </w:tc>
        <w:tc>
          <w:tcPr>
            <w:tcW w:type="dxa" w:w="2880"/>
          </w:tcPr>
          <w:p>
            <w:r/>
            <w:r>
              <w:rPr>
                <w:b w:val="0"/>
                <w:i w:val="0"/>
                <w:sz w:val="20"/>
              </w:rPr>
              <w:t>Paper accepted, press coverage, speaking at first conference</w:t>
            </w:r>
          </w:p>
        </w:tc>
        <w:tc>
          <w:tcPr>
            <w:tcW w:type="dxa" w:w="2880"/>
          </w:tcPr>
          <w:p>
            <w:r/>
            <w:r>
              <w:rPr>
                <w:b w:val="0"/>
                <w:i w:val="0"/>
                <w:sz w:val="20"/>
              </w:rPr>
              <w:t>$0–$2,000</w:t>
            </w:r>
          </w:p>
        </w:tc>
      </w:tr>
      <w:tr>
        <w:tc>
          <w:tcPr>
            <w:tcW w:type="dxa" w:w="2880"/>
          </w:tcPr>
          <w:p>
            <w:r/>
            <w:r>
              <w:rPr>
                <w:b w:val="0"/>
                <w:i w:val="0"/>
                <w:sz w:val="20"/>
              </w:rPr>
              <w:t>7–9</w:t>
            </w:r>
          </w:p>
        </w:tc>
        <w:tc>
          <w:tcPr>
            <w:tcW w:type="dxa" w:w="2880"/>
          </w:tcPr>
          <w:p>
            <w:r/>
            <w:r>
              <w:rPr>
                <w:b w:val="0"/>
                <w:i w:val="0"/>
                <w:sz w:val="20"/>
              </w:rPr>
              <w:t>Significance piece published, first paid lecture/webinar</w:t>
            </w:r>
          </w:p>
        </w:tc>
        <w:tc>
          <w:tcPr>
            <w:tcW w:type="dxa" w:w="2880"/>
          </w:tcPr>
          <w:p>
            <w:r/>
            <w:r>
              <w:rPr>
                <w:b w:val="0"/>
                <w:i w:val="0"/>
                <w:sz w:val="20"/>
              </w:rPr>
              <w:t>$1,000–$5,000</w:t>
            </w:r>
          </w:p>
        </w:tc>
      </w:tr>
      <w:tr>
        <w:tc>
          <w:tcPr>
            <w:tcW w:type="dxa" w:w="2880"/>
          </w:tcPr>
          <w:p>
            <w:r/>
            <w:r>
              <w:rPr>
                <w:b w:val="0"/>
                <w:i w:val="0"/>
                <w:sz w:val="20"/>
              </w:rPr>
              <w:t>10–12</w:t>
            </w:r>
          </w:p>
        </w:tc>
        <w:tc>
          <w:tcPr>
            <w:tcW w:type="dxa" w:w="2880"/>
          </w:tcPr>
          <w:p>
            <w:r/>
            <w:r>
              <w:rPr>
                <w:b w:val="0"/>
                <w:i w:val="0"/>
                <w:sz w:val="20"/>
              </w:rPr>
              <w:t>First consulting inquiry or expert witness consult, Sloan submission in</w:t>
            </w:r>
          </w:p>
        </w:tc>
        <w:tc>
          <w:tcPr>
            <w:tcW w:type="dxa" w:w="2880"/>
          </w:tcPr>
          <w:p>
            <w:r/>
            <w:r>
              <w:rPr>
                <w:b w:val="0"/>
                <w:i w:val="0"/>
                <w:sz w:val="20"/>
              </w:rPr>
              <w:t>$2,000–$15,000</w:t>
            </w:r>
          </w:p>
        </w:tc>
      </w:tr>
      <w:tr>
        <w:tc>
          <w:tcPr>
            <w:tcW w:type="dxa" w:w="2880"/>
          </w:tcPr>
          <w:p>
            <w:r/>
            <w:r>
              <w:rPr>
                <w:b w:val="0"/>
                <w:i w:val="0"/>
                <w:sz w:val="20"/>
              </w:rPr>
              <w:t>Year 1 Total</w:t>
            </w:r>
          </w:p>
        </w:tc>
        <w:tc>
          <w:tcPr>
            <w:tcW w:type="dxa" w:w="2880"/>
          </w:tcPr>
          <w:p>
            <w:r/>
            <w:r>
              <w:rPr>
                <w:b w:val="0"/>
                <w:i w:val="0"/>
                <w:sz w:val="20"/>
              </w:rPr>
            </w:r>
          </w:p>
        </w:tc>
        <w:tc>
          <w:tcPr>
            <w:tcW w:type="dxa" w:w="2880"/>
          </w:tcPr>
          <w:p>
            <w:r/>
            <w:r>
              <w:rPr>
                <w:b w:val="0"/>
                <w:i w:val="0"/>
                <w:sz w:val="20"/>
              </w:rPr>
              <w:t>$3,000–$22,000</w:t>
            </w:r>
          </w:p>
        </w:tc>
      </w:tr>
    </w:tbl>
    <w:p/>
    <w:p>
      <w:r>
        <w:t>Year two, with a book deal in hand or signed and consulting relationships established, the figure rises meaningfully. Year three, with the book published, is when the compounding effects become financially significant.</w:t>
      </w:r>
    </w:p>
    <w:p>
      <w:pPr>
        <w:pBdr>
          <w:bottom w:val="single" w:sz="6" w:space="1" w:color="AAAAAA"/>
        </w:pBdr>
      </w:pPr>
    </w:p>
    <w:p>
      <w:pPr>
        <w:pStyle w:val="Heading2"/>
      </w:pPr>
      <w:r>
        <w:rPr>
          <w:b/>
          <w:i w:val="0"/>
          <w:sz w:val="26"/>
        </w:rPr>
        <w:t>8. Realistic Expectations</w:t>
      </w:r>
    </w:p>
    <w:p>
      <w:pPr>
        <w:pStyle w:val="Heading3"/>
      </w:pPr>
      <w:r>
        <w:rPr>
          <w:b/>
          <w:i w:val="0"/>
          <w:sz w:val="24"/>
        </w:rPr>
        <w:t>The Honest Timeline</w:t>
      </w:r>
    </w:p>
    <w:p>
      <w:r>
        <w:t>First papers do not immediately produce income. They produce credibility, which produces opportunities, which (eventually) produce income. The sequence is predictable even if the timing varies:</w:t>
      </w:r>
    </w:p>
    <w:p>
      <w:pPr>
        <w:pStyle w:val="ListNumber"/>
        <w:ind w:left="360"/>
      </w:pPr>
      <w:r>
        <w:t>Paper published → media coverage (weeks to months)</w:t>
      </w:r>
    </w:p>
    <w:p>
      <w:pPr>
        <w:pStyle w:val="ListNumber"/>
        <w:ind w:left="360"/>
      </w:pPr>
      <w:r>
        <w:t>Media coverage → speaking invitations (months)</w:t>
      </w:r>
    </w:p>
    <w:p>
      <w:pPr>
        <w:pStyle w:val="ListNumber"/>
        <w:ind w:left="360"/>
      </w:pPr>
      <w:r>
        <w:t>Speaking appearances → consulting inquiries (months to a year)</w:t>
      </w:r>
    </w:p>
    <w:p>
      <w:pPr>
        <w:pStyle w:val="ListNumber"/>
        <w:ind w:left="360"/>
      </w:pPr>
      <w:r>
        <w:t>Consulting relationships → retained work and referrals (1–2 years)</w:t>
      </w:r>
    </w:p>
    <w:p>
      <w:pPr>
        <w:pStyle w:val="ListNumber"/>
        <w:ind w:left="360"/>
      </w:pPr>
      <w:r>
        <w:t>Book deal → advance payment and profile transformation (2–4 years)</w:t>
      </w:r>
    </w:p>
    <w:p>
      <w:r>
        <w:t>Expert witness cases: Plan for 12–24 months before the first serious inquiry from an attorney, assuming you have done the marketing work (directories, sports law article, website). Cases emerge unpredictably — you cannot force them, only make yourself findable.</w:t>
      </w:r>
    </w:p>
    <w:p>
      <w:r>
        <w:t>First speaking fee: Realistically 6–12 months after publication for a modest paid engagement. The first few appearances will be unpaid or travel-only. This is normal and necessary.</w:t>
      </w:r>
    </w:p>
    <w:p>
      <w:pPr>
        <w:pStyle w:val="Heading3"/>
      </w:pPr>
      <w:r>
        <w:rPr>
          <w:b/>
          <w:i w:val="0"/>
          <w:sz w:val="24"/>
        </w:rPr>
        <w:t>The Compound Effect</w:t>
      </w:r>
    </w:p>
    <w:p>
      <w:r>
        <w:t>Every publication leads to more publications. Every speaking appearance leads to more invitations. Every media quote generates more media requests. Every consulting engagement produces referrals. The curve is slow in year one and accelerating in years two through five.</w:t>
      </w:r>
    </w:p>
    <w:p>
      <w:r>
        <w:t>The researchers who successfully monetize a first paper are the ones who treat marketing and outreach as a second full-time job in years one and two. The academic reflex is to publish and wait to be discovered. The entrepreneurial approach — which your Booth MBA prepares you for — is to publish and actively distribute.</w:t>
      </w:r>
    </w:p>
    <w:p>
      <w:pPr>
        <w:pStyle w:val="Heading3"/>
      </w:pPr>
      <w:r>
        <w:rPr>
          <w:b/>
          <w:i w:val="0"/>
          <w:sz w:val="24"/>
        </w:rPr>
        <w:t>What Sets You Apart</w:t>
      </w:r>
    </w:p>
    <w:p>
      <w:r>
        <w:t>Independent researchers without institutional affiliation face a real credibility gap in some contexts (academic publishing, university lectures). Your Booth MBA addresses this partly, and the peer-reviewed publication addresses it substantially.</w:t>
      </w:r>
    </w:p>
    <w:p>
      <w:r>
        <w:t>Your genuine advantages:</w:t>
      </w:r>
    </w:p>
    <w:p>
      <w:pPr>
        <w:pStyle w:val="ListBullet"/>
        <w:ind w:left="360"/>
      </w:pPr>
      <w:r>
        <w:t>First-mover: No one else has applied this framework to this data at this scale.</w:t>
      </w:r>
    </w:p>
    <w:p>
      <w:pPr>
        <w:pStyle w:val="ListBullet"/>
        <w:ind w:left="360"/>
      </w:pPr>
      <w:r>
        <w:t>Open data: Full reproducibility is a major scientific credibility signal and a legal one.</w:t>
      </w:r>
    </w:p>
    <w:p>
      <w:pPr>
        <w:pStyle w:val="ListBullet"/>
        <w:ind w:left="360"/>
      </w:pPr>
      <w:r>
        <w:t>Timing: OWG 2026 is current. The ice dance story is recent and resonant.</w:t>
      </w:r>
    </w:p>
    <w:p>
      <w:pPr>
        <w:pStyle w:val="ListBullet"/>
        <w:ind w:left="360"/>
      </w:pPr>
      <w:r>
        <w:t>Communication skills: MBA training produces people who can explain technical work to non-technical audiences. This is rarer among researchers than it should be.</w:t>
      </w:r>
    </w:p>
    <w:p>
      <w:pPr>
        <w:pStyle w:val="ListBullet"/>
        <w:ind w:left="360"/>
      </w:pPr>
      <w:r>
        <w:t>AI-assisted production: You have demonstrated that an independent researcher with the right tools can produce expert-quality work. This is itself a story that appeals to media and the tech/business press.</w:t>
      </w:r>
    </w:p>
    <w:p>
      <w:pPr>
        <w:pStyle w:val="Heading3"/>
      </w:pPr>
      <w:r>
        <w:rPr>
          <w:b/>
          <w:i w:val="0"/>
          <w:sz w:val="24"/>
        </w:rPr>
        <w:t>What This Could Be Worth</w:t>
      </w:r>
    </w:p>
    <w:p>
      <w:r>
        <w:t>At the conservative end, this research career adds $20,000–$50,000/year in consulting, speaking, and expert witness revenue within 3 years, alongside whatever primary income you maintain.</w:t>
      </w:r>
    </w:p>
    <w:p>
      <w:r>
        <w:t>At the optimistic end — a successful trade book, regular expert witness work, a few corporate keynotes per year, and a retained advisory role — this could be $100,000–$300,000/year by year five.</w:t>
      </w:r>
    </w:p>
    <w:p>
      <w:r>
        <w:t>The difference between those outcomes is almost entirely a function of how aggressively and consistently you execute the marketing and outreach steps described above. The quality of the work is already there. The rest is distribution.</w:t>
      </w:r>
    </w:p>
    <w:p>
      <w:pPr>
        <w:pBdr>
          <w:bottom w:val="single" w:sz="6" w:space="1" w:color="AAAAAA"/>
        </w:pBdr>
      </w:pPr>
    </w:p>
    <w:p>
      <w:pPr>
        <w:pStyle w:val="Heading2"/>
      </w:pPr>
      <w:r>
        <w:rPr>
          <w:b/>
          <w:i w:val="0"/>
          <w:sz w:val="26"/>
        </w:rPr>
        <w:t>Appendix: Key Organizations and Resources</w:t>
      </w:r>
    </w:p>
    <w:p>
      <w:pPr>
        <w:pStyle w:val="Heading3"/>
      </w:pPr>
      <w:r>
        <w:rPr>
          <w:b/>
          <w:i w:val="0"/>
          <w:sz w:val="24"/>
        </w:rPr>
        <w:t>Expert Witness</w:t>
      </w:r>
    </w:p>
    <w:p>
      <w:pPr>
        <w:pStyle w:val="ListBullet"/>
        <w:ind w:left="360"/>
      </w:pPr>
      <w:r>
        <w:t>SEAK Expert Witness Directory: seak.com</w:t>
      </w:r>
    </w:p>
    <w:p>
      <w:pPr>
        <w:pStyle w:val="ListBullet"/>
        <w:ind w:left="360"/>
      </w:pPr>
      <w:r>
        <w:t>JurisExpert: jurisexpert.com</w:t>
      </w:r>
    </w:p>
    <w:p>
      <w:pPr>
        <w:pStyle w:val="ListBullet"/>
        <w:ind w:left="360"/>
      </w:pPr>
      <w:r>
        <w:t>Sports Lawyers Association: sportslaw.org</w:t>
      </w:r>
    </w:p>
    <w:p>
      <w:pPr>
        <w:pStyle w:val="ListBullet"/>
        <w:ind w:left="360"/>
      </w:pPr>
      <w:r>
        <w:t>Court of Arbitration for Sport: tas-cas.org</w:t>
      </w:r>
    </w:p>
    <w:p>
      <w:pPr>
        <w:pStyle w:val="Heading3"/>
      </w:pPr>
      <w:r>
        <w:rPr>
          <w:b/>
          <w:i w:val="0"/>
          <w:sz w:val="24"/>
        </w:rPr>
        <w:t>Speaking and Conferences</w:t>
      </w:r>
    </w:p>
    <w:p>
      <w:pPr>
        <w:pStyle w:val="ListBullet"/>
        <w:ind w:left="360"/>
      </w:pPr>
      <w:r>
        <w:t>MIT Sloan Sports Analytics: sloanconference.com</w:t>
      </w:r>
    </w:p>
    <w:p>
      <w:pPr>
        <w:pStyle w:val="ListBullet"/>
        <w:ind w:left="360"/>
      </w:pPr>
      <w:r>
        <w:t>Joint Statistical Meetings: amstat.org/jsm</w:t>
      </w:r>
    </w:p>
    <w:p>
      <w:pPr>
        <w:pStyle w:val="ListBullet"/>
        <w:ind w:left="360"/>
      </w:pPr>
      <w:r>
        <w:t>Royal Statistical Society: rss.org.uk/events</w:t>
      </w:r>
    </w:p>
    <w:p>
      <w:pPr>
        <w:pStyle w:val="ListBullet"/>
        <w:ind w:left="360"/>
      </w:pPr>
      <w:r>
        <w:t>Play the Game: playthegame.org</w:t>
      </w:r>
    </w:p>
    <w:p>
      <w:pPr>
        <w:pStyle w:val="ListBullet"/>
        <w:ind w:left="360"/>
      </w:pPr>
      <w:r>
        <w:t>International Forum on Sports Integrity: unodc.org</w:t>
      </w:r>
    </w:p>
    <w:p>
      <w:pPr>
        <w:pStyle w:val="Heading3"/>
      </w:pPr>
      <w:r>
        <w:rPr>
          <w:b/>
          <w:i w:val="0"/>
          <w:sz w:val="24"/>
        </w:rPr>
        <w:t>Media</w:t>
      </w:r>
    </w:p>
    <w:p>
      <w:pPr>
        <w:pStyle w:val="ListBullet"/>
        <w:ind w:left="360"/>
      </w:pPr>
      <w:r>
        <w:t>Help a Reporter Out: helpareporter.com</w:t>
      </w:r>
    </w:p>
    <w:p>
      <w:pPr>
        <w:pStyle w:val="ListBullet"/>
        <w:ind w:left="360"/>
      </w:pPr>
      <w:r>
        <w:t>ProfNet: profnet.prnewswire.com</w:t>
      </w:r>
    </w:p>
    <w:p>
      <w:pPr>
        <w:pStyle w:val="Heading3"/>
      </w:pPr>
      <w:r>
        <w:rPr>
          <w:b/>
          <w:i w:val="0"/>
          <w:sz w:val="24"/>
        </w:rPr>
        <w:t>Publishing</w:t>
      </w:r>
    </w:p>
    <w:p>
      <w:pPr>
        <w:pStyle w:val="ListBullet"/>
        <w:ind w:left="360"/>
      </w:pPr>
      <w:r>
        <w:t>QueryTracker: querytracker.net</w:t>
      </w:r>
    </w:p>
    <w:p>
      <w:pPr>
        <w:pStyle w:val="ListBullet"/>
        <w:ind w:left="360"/>
      </w:pPr>
      <w:r>
        <w:t>Publishers Marketplace: publishersmarketplace.com</w:t>
      </w:r>
    </w:p>
    <w:p>
      <w:pPr>
        <w:pStyle w:val="ListBullet"/>
        <w:ind w:left="360"/>
      </w:pPr>
      <w:r>
        <w:t>Association of Writers and Writing Programs: awpwriter.org</w:t>
      </w:r>
    </w:p>
    <w:p>
      <w:pPr>
        <w:pStyle w:val="Heading3"/>
      </w:pPr>
      <w:r>
        <w:rPr>
          <w:b/>
          <w:i w:val="0"/>
          <w:sz w:val="24"/>
        </w:rPr>
        <w:t>Consulting Targets</w:t>
      </w:r>
    </w:p>
    <w:p>
      <w:pPr>
        <w:pStyle w:val="ListBullet"/>
        <w:ind w:left="360"/>
      </w:pPr>
      <w:r>
        <w:t>International Centre for Sport Security: theicss.org</w:t>
      </w:r>
    </w:p>
    <w:p>
      <w:pPr>
        <w:pStyle w:val="ListBullet"/>
        <w:ind w:left="360"/>
      </w:pPr>
      <w:r>
        <w:t>Sport Integrity Australia: sportintegrity.gov.au</w:t>
      </w:r>
    </w:p>
    <w:p>
      <w:pPr>
        <w:pStyle w:val="ListBullet"/>
        <w:ind w:left="360"/>
      </w:pPr>
      <w:r>
        <w:t>Sports Integrity Global Alliance: siga-sport.com</w:t>
      </w:r>
    </w:p>
    <w:p>
      <w:pPr>
        <w:pStyle w:val="ListBullet"/>
        <w:ind w:left="360"/>
      </w:pPr>
      <w:r>
        <w:t>Sportradar Integrity: sportradar.com/services/integrity-services</w:t>
      </w:r>
    </w:p>
    <w:p>
      <w:pPr>
        <w:pBdr>
          <w:bottom w:val="single" w:sz="6" w:space="1" w:color="AAAAAA"/>
        </w:pBdr>
      </w:pPr>
    </w:p>
    <w:p>
      <w:r>
        <w:rPr>
          <w:i/>
          <w:sz w:val="22"/>
        </w:rPr>
        <w:t>This document was prepared for Michael Allman on 2026-02-21. It reflects the state of the project as of OWG 2026 completion and the planned dual submission to Scientific Reports and Significance Magazine.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rPr>
              <w:color w:val="606060"/>
              <w:sz w:val="18"/>
            </w:rPr>
            <w:t>Allman — Revenue &amp; Commercialization Strategy</w:t>
          </w:r>
        </w:p>
      </w:tc>
      <w:tc>
        <w:tcPr>
          <w:tcW w:type="dxa" w:w="4680"/>
        </w:tcPr>
        <w:p>
          <w:pPr>
            <w:jc w:val="right"/>
          </w:pPr>
          <w:r>
            <w:rPr>
              <w:color w:val="606060"/>
              <w:sz w:val="18"/>
            </w:rPr>
            <w:t xml:space="preserve">Page </w:t>
          </w:r>
          <w:r>
            <w:fldChar w:fldCharType="begin"/>
            <w:instrText xml:space="preserve"> PAGE </w:instrText>
            <w:fldChar w:fldCharType="end"/>
          </w:r>
          <w:r>
            <w:rPr>
              <w:color w:val="606060"/>
              <w:sz w:val="18"/>
            </w:rPr>
            <w:t xml:space="preserve"> of </w:t>
          </w:r>
          <w:r>
            <w:fldChar w:fldCharType="begin"/>
            <w:instrText xml:space="preserve"> NUMPAGES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