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requires only exchangeability of the pooled Δ multiset across entries under the null; within-entry dependence affects power and the discreteness of the permutation distribution, not test validity.</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 Decomposing J1’s net +1.19 pt margin shift by scoring component: element (GOE) rows account for approximately +1.01 pts (85%) and programme component scores (PCS) account for approximately +0.20 pts (17%)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c>
          <w:tcPr/>
          <w:p>
            <w:r>
              <w:t>Yes</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c>
          <w:tcPr/>
          <w:p>
            <w:r>
              <w:t>Yes</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c>
          <w:tcPr/>
          <w:p>
            <w:r>
              <w:t>Yes</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c>
          <w:tcPr/>
          <w:p>
            <w:r>
              <w:t>No</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c>
          <w:tcPr/>
          <w:p>
            <w:r>
              <w:t>No</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c>
          <w:tcPr/>
          <w:p>
            <w:r>
              <w:t>Yes</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c>
          <w:tcPr/>
          <w:p>
            <w:r>
              <w:t>No</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c>
          <w:tcPr/>
          <w:p>
            <w:r>
              <w:t>No</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c>
          <w:tcPr/>
          <w:p>
            <w:r>
              <w:t>Yes</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w:t>
      </w:r>
      <w:r/>
      <w:r/>
      <w:r/>
      <w:r/>
      <w:r/>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