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distribution-preserving style control that retains each judge’s empirical marginal score distribution (separately for GOE and each PCS component) while breaking any stable judge–competitor association. We illustrate the method on the Olympic Winter Games 2026 Ice Dance Free Dance segment using the official ‘Judges Details per Skater’ sheet. Applying the method to 142 events across 17 competitions (January 2022–February 2026), we identify 9,463 significant judge-competitor pairings at BH q ≤ 0.05. Seven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14:paraId="45F03631" w14:textId="77777777" w:rsidR="003F0EA7" w:rsidRDefault="00000000">
      <w:pPr>
        <w:pStyle w:val="Heading1"/>
      </w:pPr>
      <w:r>
        <w:t>7. Effect size and outcome-determinative criterion</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style-adjusted (distribution-preserving)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q=0.034 (BH-FDR within-event). Other judges’ shifts for this pair are smaller in magnitude and not FDR-significant at 0.05.</w:t>
      </w:r>
      <w:r>
        <w:br/>
      </w:r>
      <w:r>
        <w:br/>
        <w:t>Event-level patterns. Across all 190 competitor pairs, the number of FDR-significant pairwise differentials (q&lt;=0.05) varies by judge in this segment (e.g., J4 and J6: 6 significant pairs each; J8: 5; J1 and J5: 2 each; J2, J3, J7, J9: none (21 of 1,710 pairs, 1.2%); all counts from the style-adjusted quantile null, M=10,000, seed=20260223, global CDFs).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48,309 (17.8%) yielded nominal permutation p-values ≤ 0.05, approximately 3.6 times the 5% rate expected under a null with no competitor-specific differentials — indicating systematic detection of real signal in the data. After Benjamini–Hochberg FDR correction at q ≤ 0.05, 9,463 pairs (3.5% of all tests) remained significant.</w:t>
      </w:r>
    </w:p>
    <w:p>
      <w:pPr/>
      <w:r>
        <w:t>Twenty-seven of 142 events (19.0%) had zero BH-significant pairs — consistent with the null characterization for those events. Among the 115 events with at least one significant pair, the distribution was highly right-skewed: the median was 57 significant pairs and the mean was 82, with 34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(4.5% of tests), followed by Ice Dance (3.4%) and Men's singles and Pair skating (both 2.8%). These differences reflect a combination of scoring structure and the judges assigned to each discipline.</w:t>
      </w:r>
    </w:p>
    <w:p>
      <w:pPr/>
      <w:r>
        <w:t>Significant pairs are not evenly distributed across competitions. The ISU European Championships 2022 alone accounts for 2,171 of the 9,463 significant pairs (23%), despite comprising only 8 of 142 events analyzed. In contrast, the ISU World Championships 2024 produced only 66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Seven of 142 events (4.9%) satisfy this criterion (Table 3).</w:t>
      </w:r>
    </w:p>
    <w:p>
      <w:pPr/>
      <w:r>
        <w:t>The seven events span all four main disciplines and five separate competitions. Margins range from 0.05 to 1.33 points and bias magnitudes from 0.75 to 1.95 points; all are statistically strong (p ≤ 0.002, q ≤ 0.039). The OWG 2026 Ice Dance Free Dance (Section 8) is the most prominent given the public significance of the competition, but not the most extreme: the 4CC 2025 Pair Skating Free Skating presents a larger absolute bias (1.95 pts, q = 0.005)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distribution-preserving transformations.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9,463 significant judge-competitor pairings and 7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t xml:space="preserve">The ISU 'Judges Details per Skater' scoring sheets used in this analysis are publicly available from the International Skating Union website (isu.org). The compiled SQLite database of 291,604 individual judge marks across 142 events (2022–2026) is available from the corresponding author upon reasonable request.</w:t>
      </w:r>
    </w:p>
    <w:p>
      <w:r>
        <w:rPr>
          <w:b/>
        </w:rPr>
        <w:t xml:space="preserve">Code availability</w:t>
      </w:r>
    </w:p>
    <w:p>
      <w:r>
        <w:t xml:space="preserve">The ISU-impact analysis pipeline, permutation test implementation, and all scripts used to produce the results in this paper are available at https://github.com/[repository].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Implementation notes for distribution-preserving style control</w:t>
      </w:r>
    </w:p>
    <w:p w14:paraId="7574878D" w14:textId="77777777" w:rsidR="003F0EA7" w:rsidRDefault="00000000">
      <w:r>
        <w:t>The distribution-preserving null uses per-judge empirical CDFs within scoring categories (GOE and each PCS component). Discrete ties are handled by randomized tie-breaking: if a value occupies ranks [a,b] among that judge’s marks, map to U(lo/n, hi/n) where lo and hi are the lower and upper rank positions of the tie group among n marks for that judge in that category, to obtain a continuous percentile. The inverse map uses the judge’s empirical quantile function. This preserves each judge’s marginal distribution exactly (up to tie-randomness) while making judge identity exchangeable within each row under the null. The random draws use NumPy's default PCG64 generator, seeded globally at the start of each event's permutation run (seed=20260223 for the full-database results reported in this paper).</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