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e83c818c403e147f23ad12bcb1b687ecdc7c6da"/>
    <w:p>
      <w:pPr>
        <w:pStyle w:val="Heading1"/>
      </w:pPr>
      <w:r>
        <w:t xml:space="preserve">Detecting and Remedying Anomalous Judging in Competitive Figure Skating: A Permutation-Based Audit Framework</w:t>
      </w:r>
    </w:p>
    <w:p>
      <w:pPr>
        <w:pStyle w:val="FirstParagraph"/>
      </w:pPr>
      <w:r>
        <w:rPr>
          <w:b/>
          <w:bCs/>
        </w:rPr>
        <w:t xml:space="preserve">Michael Allman, MBA</w:t>
      </w:r>
      <w:r>
        <w:t xml:space="preserve"> </w:t>
      </w:r>
      <w:r>
        <w:t xml:space="preserve">Independent Researcher; University of Chicago Booth School of Business</w:t>
      </w:r>
    </w:p>
    <w:p>
      <w:r>
        <w:pict>
          <v:rect style="width:0;height:1.5pt" o:hralign="center" o:hrstd="t" o:hr="t"/>
        </w:pict>
      </w:r>
    </w:p>
    <w:bookmarkStart w:id="9" w:name="abstract"/>
    <w:p>
      <w:pPr>
        <w:pStyle w:val="Heading2"/>
      </w:pPr>
      <w:r>
        <w:t xml:space="preserve">Abstract</w:t>
      </w:r>
    </w:p>
    <w:p>
      <w:pPr>
        <w:pStyle w:val="FirstParagraph"/>
      </w:pPr>
      <w:r>
        <w:rPr>
          <w:i/>
          <w:iCs/>
        </w:rPr>
      </w:r>
    </w:p>
    <w:p>
      <w:pPr>
        <w:pStyle w:val="BodyText"/>
      </w:pPr>
      <w:r>
        <w:t>The International Judging System (IJS) used in competitive figure skating publishes every judge's individual score for every technical element and program component in every event. Despite this transparency, the system's anonymity provisions and limited protest rules make it difficult to detect or remedy systematic judging anomalies through conventional means. This paper develops a permutation-based audit framework — the Outlier Score Nullification Rule (OSNR) — that uses only publicly available scoring sheets to test whether any judge's scores are statistically anomalous relative to the rest of the panel and, if so, whether their removal would have changed the competition result. The framework is applied to a dataset of 136 individual competition segments across four figure skating disciplines (Men's Singles, Women's Singles, Pair Skating, and Ice Dance) spanning January 2022 through February 2026, drawn from 17 major ISU competitions including the 2022 and 2026 Olympic Winter Games. The dataset comprises 2,706 individual competitor entries, 291,604 individual judge scores, and 264,854 pairwise judge-competitor comparisons. Across all events, 1,774 judge-pair comparisons reach statistical significance at p ≤ 0.001 under an exact combinatorial permutation test, and 46 events contain at least one judge whose removal under the leave-one-judge-out (LOJO) counterfactual would have changed the podium. A two-tier decision rule is proposed: a statistical flag at p ≤ 0.01, and an automatic score adjustment at p ≤ 0.001 when the anomaly is also outcome-determinative. The Milano–Cortina 2026 Olympic ice dance final is presented as the most prominent case in the dataset, with a permutation p-value of approximately 4.6×10⁻⁵ and a gold–silver reversal under the leave-one-judge-out counterfactual.</w:t>
      </w:r>
      <w:r/>
      <w:r>
        <w:rPr>
          <w:b/>
          <w:bCs/>
        </w:rPr>
      </w:r>
      <w:r/>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integrity of judged sports competition depends on public confidence that scores reflect athletic performance rather than the national or personal allegiances of individual officials. The International Judging System (IJS) already incorporates one protection against individual scoring anomalies: the trimmed mean, which discards the single highest and lowest judge score for each element before computing the panel average. This structural safeguard reduces the influence of any one outlying score on a given element. What it does not do — and what no current rule addresses — is detect whether a particular judge’s scores are</w:t>
      </w:r>
      <w:r>
        <w:t xml:space="preserve"> </w:t>
      </w:r>
      <w:r>
        <w:rPr>
          <w:i/>
          <w:iCs/>
        </w:rPr>
        <w:t xml:space="preserve">systematically</w:t>
      </w:r>
      <w:r>
        <w:t xml:space="preserve"> </w:t>
      </w:r>
      <w:r>
        <w:t xml:space="preserve">directional across an entire program and across multiple competitors. A judge who is consistently the highest scorer for one competitor and the lowest for another on every element is not eliminated by the trimmed mean; their influence simply propagates through each element’s calculation individually. The result is a governance gap: governing bodies possess the data needed to identify such systematic patterns but lack a pre-specified, objective procedure for detecting or remedying them.</w:t>
      </w:r>
    </w:p>
    <w:p>
      <w:pPr>
        <w:pStyle w:val="BodyText"/>
      </w:pPr>
      <w:r>
        <w:t xml:space="preserve">Figure skating presents an unusually well-suited setting for developing such a mechanism. The International Skating Union (ISU) publishes, for every competition, a complete record of every judge’s individual score for every technical element and every program component. This level of granularity — typically nine judges, scoring seven to twelve elements per skater per segment, across multiple disciplines — provides a rich basis for statistical analysis. At the same time, the ISU’s anonymity rules and its prohibition on protests against judging evaluation (Rule 123(5)) mean that even egregious scoring patterns cannot currently be challenged through formal channels.</w:t>
      </w:r>
    </w:p>
    <w:p>
      <w:pPr>
        <w:pStyle w:val="BodyText"/>
      </w:pPr>
      <w:r>
        <w:t xml:space="preserve">This paper makes three contributions. First, it develops a formal statistical test — the peer-deviation bias statistic B(j) — that measures whether a given judge’s scores are systematically directional relative to the rest of the panel when comparing any two competitors. The test uses a within-unit permutation procedure that requires no external data and can be computed in real time from the published scoring sheet alone. Second, it extends this test from the traditional gold–silver boundary to all pairwise combinations of competitors within an event, providing a comprehensive picture of each judge’s scoring pattern across the full field. Third, it applies this framework to a large empirical dataset spanning 141 events across four disciplines and multiple seasons, establishing baseline operating characteristics and identifying events in which the framework’s two-tier decision rule would have been triggered.</w:t>
      </w:r>
    </w:p>
    <w:p>
      <w:pPr>
        <w:pStyle w:val="BodyText"/>
      </w:pPr>
      <w:r>
        <w:t xml:space="preserve">The proposed OSNR is deliberately conservative. Its Tier 1 threshold (p ≤ 0.01) generates a flag for review without altering the published result. Its Tier 2 threshold (p ≤ 0.001, combined with outcome materiality) triggers an automatic score adjustment. Both thresholds can be applied immediately after a competition using only the information already made public by the ISU, without requiring any allegation of intent or any formal protest.</w:t>
      </w:r>
    </w:p>
    <w:p>
      <w:pPr>
        <w:pStyle w:val="BodyText"/>
      </w:pPr>
      <w:r>
        <w:t xml:space="preserve">The paper proceeds as follows. Section 2 describes the ISU scoring system and the governance context. Section 3 reviews relevant prior literature. Section 4 develops the statistical framework, including the B(j) statistic, the permutation test, its extension to pairwise comparisons, and the leave-one-judge-out (LOJO) counterfactual. Section 5 describes the dataset. Section 6 presents the empirical results across all events. Section 7 discusses the Milano–Cortina 2026 Olympic ice dance final as a detailed case study. Section 8 presents the OSNR policy proposal and its implementation. Section 9 discusses limitations and directions for future work. Section 10 concludes.</w:t>
      </w:r>
    </w:p>
    <w:p>
      <w:r>
        <w:pict>
          <v:rect style="width:0;height:1.5pt" o:hralign="center" o:hrstd="t" o:hr="t"/>
        </w:pict>
      </w:r>
    </w:p>
    <w:bookmarkEnd w:id="10"/>
    <w:bookmarkStart w:id="18" w:name="background"/>
    <w:p>
      <w:pPr>
        <w:pStyle w:val="Heading2"/>
      </w:pPr>
      <w:r>
        <w:t xml:space="preserve">2. Background</w:t>
      </w:r>
    </w:p>
    <w:bookmarkStart w:id="11" w:name="the-isu-international-judging-system"/>
    <w:p>
      <w:pPr>
        <w:pStyle w:val="Heading3"/>
      </w:pPr>
      <w:r>
        <w:t xml:space="preserve">2.1 The ISU International Judging System</w:t>
      </w:r>
    </w:p>
    <w:p>
      <w:pPr>
        <w:pStyle w:val="FirstParagraph"/>
      </w:pPr>
      <w:r>
        <w:t xml:space="preserve">Competitive figure skating at the international level is governed by the International Skating Union (ISU) and scored under the International Judging System (IJS), introduced following the judging scandal at the 2002 Salt Lake City Winter Olympics. The IJS replaced the previous 6.0 ordinal system with a cumulative points-based approach intended to make scoring more transparent and less susceptible to bloc voting.</w:t>
      </w:r>
    </w:p>
    <w:p>
      <w:pPr>
        <w:pStyle w:val="BodyText"/>
      </w:pPr>
      <w:r>
        <w:t xml:space="preserve">Under the IJS, each competition segment produces a Total Segment Score (TSS) calculated as:</w:t>
      </w:r>
    </w:p>
    <w:p>
      <w:pPr>
        <w:pStyle w:val="BlockText"/>
      </w:pPr>
      <w:r>
        <w:t xml:space="preserve">TSS = TES + PCS − Deductions</w:t>
      </w:r>
    </w:p>
    <w:p>
      <w:pPr>
        <w:pStyle w:val="FirstParagraph"/>
      </w:pPr>
      <w:r>
        <w:t xml:space="preserve">The</w:t>
      </w:r>
      <w:r>
        <w:t xml:space="preserve"> </w:t>
      </w:r>
      <w:r>
        <w:rPr>
          <w:b/>
          <w:bCs/>
        </w:rPr>
        <w:t xml:space="preserve">Total Element Score (TES)</w:t>
      </w:r>
      <w:r>
        <w:t xml:space="preserve"> </w:t>
      </w:r>
      <w:r>
        <w:t xml:space="preserve">is the sum of scores for all technical elements executed during the program. Each element’s score equals its ISU-assigned base value plus a Panel Grade of Execution (Panel GOE), where the Panel GOE is a trimmed mean of the nine individual judge GOE scores — the highest and lowest are discarded and the remaining seven are averaged. Individual judge GOE scores are integers on a scale of −5 to +5.</w:t>
      </w:r>
    </w:p>
    <w:p>
      <w:pPr>
        <w:pStyle w:val="BodyText"/>
      </w:pPr>
      <w:r>
        <w:t xml:space="preserve">The</w:t>
      </w:r>
      <w:r>
        <w:t xml:space="preserve"> </w:t>
      </w:r>
      <w:r>
        <w:rPr>
          <w:b/>
          <w:bCs/>
        </w:rPr>
        <w:t xml:space="preserve">Program Component Score (PCS)</w:t>
      </w:r>
      <w:r>
        <w:t xml:space="preserve"> </w:t>
      </w:r>
      <w:r>
        <w:t xml:space="preserve">reflects the overall quality of skating across several dimensions. Under the pre-2022/23 rules, five components were scored: Skating Skills, Transitions, Performance, Composition, and Interpretation of the Music. From the 2022/23 season onward, the ISU consolidated these into three components: Skating Skills, Composition, and Presentation. Each judge awards a mark from 0.25 to 10.00 in quarter-point increments for each component. The panel average for each component (again a trimmed mean) is multiplied by a discipline- and segment-specific factor before being summed into the PCS total.</w:t>
      </w:r>
    </w:p>
    <w:p>
      <w:pPr>
        <w:pStyle w:val="BodyText"/>
      </w:pPr>
      <w:r>
        <w:t xml:space="preserve">Four disciplines compete under the IJS: Men’s Singles, Women’s Singles, Pair Skating, and Ice Dance. Each consists of two segments — a shorter and a longer — whose scores are summed to determine the final result.</w:t>
      </w:r>
    </w:p>
    <w:p>
      <w:pPr>
        <w:pStyle w:val="BodyText"/>
      </w:pPr>
      <w:r>
        <w:t xml:space="preserve">A panel of nine judges scores each event. Critically, the ISU does not publicly disclose which judge occupies which panel position during the competition. The published scoring sheet assigns scores to anonymous positions J1 through J9, and the mapping between judge identity and position is released only after the event. This anonymity was intended to insulate judges from external pressure, but it also prevents real-time public scrutiny of individual judges’ scoring patterns.</w:t>
      </w:r>
    </w:p>
    <w:bookmarkEnd w:id="11"/>
    <w:bookmarkStart w:id="12" w:name="the-governance-gap"/>
    <w:p>
      <w:pPr>
        <w:pStyle w:val="Heading3"/>
      </w:pPr>
      <w:r>
        <w:t xml:space="preserve">2.2 The Governance Gap</w:t>
      </w:r>
    </w:p>
    <w:p>
      <w:pPr>
        <w:pStyle w:val="FirstParagraph"/>
      </w:pPr>
      <w:r>
        <w:t xml:space="preserve">The ISU’s Code of Ethics requires that officials act neutrally and without bias. Article 12.3 provides:</w:t>
      </w:r>
      <w:r>
        <w:t xml:space="preserve"> </w:t>
      </w:r>
      <w:r>
        <w:rPr>
          <w:i/>
          <w:iCs/>
        </w:rPr>
        <w:t xml:space="preserve">“ISU Officials must act in a neutral manner and not conduct themselves in any manner that could indicate bias or pre-judgment.”</w:t>
      </w:r>
      <w:r>
        <w:t xml:space="preserve"> </w:t>
      </w:r>
      <w:r>
        <w:t xml:space="preserve">At the same time, Rule 123(5) of the ISU General Regulations states:</w:t>
      </w:r>
      <w:r>
        <w:t xml:space="preserve"> </w:t>
      </w:r>
      <w:r>
        <w:rPr>
          <w:i/>
          <w:iCs/>
        </w:rPr>
        <w:t xml:space="preserve">“Protests against the evaluation of Skaters performances are not allowed. Only protests for incorrect mathematical calculation are allowed.”</w:t>
      </w:r>
    </w:p>
    <w:p>
      <w:pPr>
        <w:pStyle w:val="BodyText"/>
      </w:pPr>
      <w:r>
        <w:t xml:space="preserve">This combination creates a governance gap. A governing body that is simultaneously the rule-setter, the competition organizer, and the judge-appointment authority has limited incentive to develop robust internal mechanisms for detecting judging anomalies. External parties — athletes, national federations, the public — have no formal protest route. And because the statistical tools needed to identify anomalous patterns require careful design to avoid false positives, informal public criticism of judges tends to be both unreliable and unactionable.</w:t>
      </w:r>
    </w:p>
    <w:p>
      <w:pPr>
        <w:pStyle w:val="BodyText"/>
      </w:pPr>
      <w:r>
        <w:t xml:space="preserve">The framework developed in this paper is designed to fit within this governance structure rather than challenge it. OSNR does not require a protest, does not allege intent, and does not depend on any information beyond what the ISU already publishes. It proposes a pre-specified, transparent, mechanical rule that governing bodies could adopt and apply automatically.</w:t>
      </w:r>
    </w:p>
    <w:bookmarkEnd w:id="12"/>
    <w:bookmarkStart w:id="17" w:name="prior-literature"/>
    <w:p>
      <w:pPr>
        <w:pStyle w:val="Heading3"/>
      </w:pPr>
      <w:r>
        <w:t xml:space="preserve">2.3 Prior Literature</w:t>
      </w:r>
    </w:p>
    <w:p>
      <w:pPr>
        <w:pStyle w:val="FirstParagraph"/>
      </w:pPr>
      <w:r>
        <w:t xml:space="preserve">The academic literature on judging bias in competitive sports is substantial, spanning figure skating, gymnastics, diving, dressage, ski jumping, boxing, and other disciplines. This section reviews the most relevant strands, organized thematically.</w:t>
      </w:r>
    </w:p>
    <w:bookmarkStart w:id="13" w:name="nationalistic-bias-in-figure-skating"/>
    <w:p>
      <w:pPr>
        <w:pStyle w:val="Heading4"/>
      </w:pPr>
      <w:r>
        <w:t xml:space="preserve">2.3.1 Nationalistic Bias in Figure Skating</w:t>
      </w:r>
    </w:p>
    <w:p>
      <w:pPr>
        <w:pStyle w:val="FirstParagraph"/>
      </w:pPr>
      <w:r>
        <w:t xml:space="preserve">The existence of nationalistic bias in figure skating judging has been documented across multiple Olympic cycles under the pre-IJS 6.0 system. Campbell and Galbraith (1996) apply nonparametric tests to four Winter Olympics (1976–1994) and find small but consistent patriotic bias, stronger among medal contenders. Whissell, Lyons, Wilkinson, and Whissell (1993) analyze the 1984 and 1988 Games, finding that judges rated their own country’s skaters above the panel average and more often awarded compatriots the maximum panel score. Seltzer and Glass (1991) extend the historical record to 1968–1988, distinguishing individualistic patriotic bias from geopolitical bloc voting along Cold War lines — a finding confirmed by Sala, Scott, and Spriggs (2007) using a political science constructivist framework.</w:t>
      </w:r>
    </w:p>
    <w:p>
      <w:pPr>
        <w:pStyle w:val="BodyText"/>
      </w:pPr>
      <w:r>
        <w:t xml:space="preserve">Zitzewitz (2006) provides the most comprehensive pre-IJS analysis, comparing figure skating and ski jumping across multiple Olympics and World Championships. He finds that figure skating judges score own-country athletes approximately 0.45 standard deviations higher than other judges on the panel, and documents systematic vote trading — judges reciprocally favoring each other’s compatriots across competitions. Crucially, Zitzewitz (2014) revisits this finding after the 2002–2004 ISU reform that introduced anonymous judging and finds that the</w:t>
      </w:r>
      <w:r>
        <w:t xml:space="preserve"> </w:t>
      </w:r>
      <w:r>
        <w:t xml:space="preserve">“compatriot-judge effect”</w:t>
      </w:r>
      <w:r>
        <w:t xml:space="preserve"> </w:t>
      </w:r>
      <w:r>
        <w:t xml:space="preserve">did not diminish — and may have slightly increased — under anonymity. He concludes that the reform, by eliminating transparency, frustrated external monitoring more than it disrupted internal collusion, an ironic reversal of the reform’s stated purpose.</w:t>
      </w:r>
    </w:p>
    <w:p>
      <w:pPr>
        <w:pStyle w:val="BodyText"/>
      </w:pPr>
      <w:r>
        <w:t xml:space="preserve">Under the post-2002 IJS, Dumoulin and Mercier (2020) analyze IJS-era competitions and find systemic nationalistic bias affecting 92 judges with statistically significant evidence, concluding that ISU’s internal monitoring mechanisms are inadequate to detect or deter such patterns. Braeunig (2025a) reaches similar conclusions using a broader dataset of IJS-era competitions, finding pervasive patriotic bias among figure skating judges. Zhu (2018) assembles the first large-scale IJS-era dataset in analyzable form and finds smaller but still-present nationalistic bias that rarely affects final rankings in isolation.</w:t>
      </w:r>
    </w:p>
    <w:p>
      <w:pPr>
        <w:pStyle w:val="BodyText"/>
      </w:pPr>
      <w:r>
        <w:t xml:space="preserve">Beyond nationalistic bias, two additional forms of bias have been documented in figure skating judging. Findlay and Ste-Marie (2004) demonstrate a</w:t>
      </w:r>
      <w:r>
        <w:t xml:space="preserve"> </w:t>
      </w:r>
      <w:r>
        <w:rPr>
          <w:i/>
          <w:iCs/>
        </w:rPr>
        <w:t xml:space="preserve">reputation bias</w:t>
      </w:r>
      <w:r>
        <w:t xml:space="preserve">: in controlled experiments, judges award higher scores to skaters they recognize (famous athletes) than to equally skilled but unknown skaters. Lee (2008) documents an</w:t>
      </w:r>
      <w:r>
        <w:t xml:space="preserve"> </w:t>
      </w:r>
      <w:r>
        <w:rPr>
          <w:i/>
          <w:iCs/>
        </w:rPr>
        <w:t xml:space="preserve">outlier aversion bias</w:t>
      </w:r>
      <w:r>
        <w:t xml:space="preserve">: judges manipulate their scores toward the panel consensus to avoid standing out as the lone high or low score — a conformity effect that, paradoxically, can create systematic herding around an already-biased mean.</w:t>
      </w:r>
    </w:p>
    <w:bookmarkEnd w:id="13"/>
    <w:bookmarkStart w:id="14" w:name="judging-bias-across-other-judged-sports"/>
    <w:p>
      <w:pPr>
        <w:pStyle w:val="Heading4"/>
      </w:pPr>
      <w:r>
        <w:t xml:space="preserve">2.3.2 Judging Bias Across Other Judged Sports</w:t>
      </w:r>
    </w:p>
    <w:p>
      <w:pPr>
        <w:pStyle w:val="FirstParagraph"/>
      </w:pPr>
      <w:r>
        <w:t xml:space="preserve">The figure skating literature is part of a broader body of evidence on judging bias in subjectively scored sports. In gymnastics, Ansorge and Scheer (1988) demonstrate national bias at the 1984 Los Angeles Olympics, and subsequent experimental work by Plessner (1999), Damisch, Mussweiler, and Plessner (2006), and Boen and colleagues (2008) documents additional sources of bias including order effects, sequential contrast and assimilation, and conformity pressure from open feedback. Morgan and Rotthoff (2014) and Rotthoff (2020) identify a</w:t>
      </w:r>
      <w:r>
        <w:t xml:space="preserve"> </w:t>
      </w:r>
      <w:r>
        <w:rPr>
          <w:i/>
          <w:iCs/>
        </w:rPr>
        <w:t xml:space="preserve">difficulty bias</w:t>
      </w:r>
      <w:r>
        <w:t xml:space="preserve"> </w:t>
      </w:r>
      <w:r>
        <w:t xml:space="preserve">in gymnastics — judges award artificially high execution scores to athletes who attempt harder routines, even though difficulty and execution are scored independently. Heiniger and Mercier (2021) develop a general statistical engine for detecting national bias and accuracy variation among gymnastics judges, and report that their methodology was subsequently adopted by the Fédération Internationale de Gymnastique (FIG) for official judge evaluation — a precedent directly relevant to the governance proposal in Section 8.</w:t>
      </w:r>
    </w:p>
    <w:p>
      <w:pPr>
        <w:pStyle w:val="BodyText"/>
      </w:pPr>
      <w:r>
        <w:t xml:space="preserve">In Olympic diving, Emerson, Seltzer, and Lin (2009) develop a framework for detecting nationalistic and anti-country bias using 2000 Olympic data, showing strong biases and demonstrating that medals would have changed under a bias-corrected model. Emerson and Meredith (2011) apply permutation tests specifically to the nationalistic favoritism question. In dressage, Sandberg (2018) identifies both nationalistic bias and a</w:t>
      </w:r>
      <w:r>
        <w:t xml:space="preserve"> </w:t>
      </w:r>
      <w:r>
        <w:t xml:space="preserve">“patriotism-by-proxy”</w:t>
      </w:r>
      <w:r>
        <w:t xml:space="preserve"> </w:t>
      </w:r>
      <w:r>
        <w:t xml:space="preserve">effect — judges favoring athletes from the same country as other members of the panel — using a natural experiment based on men and women competing together. Wolframm (2023) identifies a</w:t>
      </w:r>
      <w:r>
        <w:t xml:space="preserve"> </w:t>
      </w:r>
      <w:r>
        <w:t xml:space="preserve">“bias cascade”</w:t>
      </w:r>
      <w:r>
        <w:t xml:space="preserve"> </w:t>
      </w:r>
      <w:r>
        <w:t xml:space="preserve">structure in elite dressage, in which multiple forms of bias interact and amplify one another. In ski jumping, Zitzewitz (2006) finds that judges display the opposite of nationalist bias — a</w:t>
      </w:r>
      <w:r>
        <w:t xml:space="preserve"> </w:t>
      </w:r>
      <w:r>
        <w:rPr>
          <w:i/>
          <w:iCs/>
        </w:rPr>
        <w:t xml:space="preserve">compensating fairness</w:t>
      </w:r>
      <w:r>
        <w:t xml:space="preserve"> </w:t>
      </w:r>
      <w:r>
        <w:t xml:space="preserve">effect — while Krumer, Otto, and Pawlowski (2022) find modest nationalist bias in more recent World Cup data positively correlated with country-level corruption perceptions.</w:t>
      </w:r>
    </w:p>
    <w:p>
      <w:pPr>
        <w:pStyle w:val="BodyText"/>
      </w:pPr>
      <w:r>
        <w:t xml:space="preserve">More broadly, Braeunig (2025b) conducts a PRISMA-based scoping review of 68 studies across judged sports and finds that nationalistic bias is documented across the majority of studied disciplines, though its magnitude and outcome-determinativeness vary considerably.</w:t>
      </w:r>
    </w:p>
    <w:bookmarkEnd w:id="14"/>
    <w:bookmarkStart w:id="15" w:name="referee-bias-and-social-pressure"/>
    <w:p>
      <w:pPr>
        <w:pStyle w:val="Heading4"/>
      </w:pPr>
      <w:r>
        <w:t xml:space="preserve">2.3.3 Referee Bias and Social Pressure</w:t>
      </w:r>
    </w:p>
    <w:p>
      <w:pPr>
        <w:pStyle w:val="FirstParagraph"/>
      </w:pPr>
      <w:r>
        <w:t xml:space="preserve">A parallel literature on referee bias in non-judged sports provides relevant methodological context. Garicano, Palacios-Huerta, and Prendergast (2005) show that soccer referees systematically award more stoppage time to home teams when crowds are larger, while Pettersson-Lidbom and Priks (2010) isolate social pressure as the causal mechanism using Italian stadium closures as a natural experiment. Dohmen and Sauermann (2016) survey this literature comprehensively. Price and Wolfers (2010) document racial in-group favoritism among NBA referees, establishing a canonical methodological framework for detecting officiating bias from within-panel comparisons.</w:t>
      </w:r>
    </w:p>
    <w:bookmarkEnd w:id="15"/>
    <w:bookmarkStart w:id="16" w:name="how-this-paper-differs"/>
    <w:p>
      <w:pPr>
        <w:pStyle w:val="Heading4"/>
      </w:pPr>
      <w:r>
        <w:t xml:space="preserve">2.3.4 How This Paper Differs</w:t>
      </w:r>
    </w:p>
    <w:p>
      <w:pPr>
        <w:pStyle w:val="FirstParagraph"/>
      </w:pPr>
      <w:r>
        <w:t xml:space="preserve">The present paper differs from the prior literature in four respects. First, it operates at the level of individual element scores rather than aggregate or program-level scores. Prior studies — including Zitzewitz (2006), Emerson et al. (2009), and Sandberg (2018) — measure bias as a deviation in total or component scores relative to a model or comparator group. This paper measures bias as a deviation in each judge’s score from the</w:t>
      </w:r>
      <w:r>
        <w:t xml:space="preserve"> </w:t>
      </w:r>
      <w:r>
        <w:rPr>
          <w:i/>
          <w:iCs/>
        </w:rPr>
        <w:t xml:space="preserve">within-panel consensus</w:t>
      </w:r>
      <w:r>
        <w:t xml:space="preserve"> </w:t>
      </w:r>
      <w:r>
        <w:t xml:space="preserve">on each individual element, providing finer-grained detection and a more direct test of the trimmed-mean mechanism.</w:t>
      </w:r>
    </w:p>
    <w:p>
      <w:pPr>
        <w:pStyle w:val="BodyText"/>
      </w:pPr>
      <w:r>
        <w:t xml:space="preserve">Second, it extends the analysis to all pairwise competitor combinations within each event rather than focusing exclusively on the gold–silver boundary or on aggregate across all competitors. This yields a richer characterization of each judge’s scoring pattern: a judge who is anomalous only at one boundary is a different phenomenon from one whose anomaly pervades the full field.</w:t>
      </w:r>
    </w:p>
    <w:p>
      <w:pPr>
        <w:pStyle w:val="BodyText"/>
      </w:pPr>
      <w:r>
        <w:t xml:space="preserve">Third, it introduces the leave-one-judge-out (LOJO) counterfactual as an explicit materiality test, separating the question of statistical anomaly from the question of competitive impact. Prior literature has generally treated bias as a population-level phenomenon, estimating average biases across many judges and events; the LOJO approach asks whether, in a specific event, a specific judge’s scores changed the result.</w:t>
      </w:r>
    </w:p>
    <w:p>
      <w:pPr>
        <w:pStyle w:val="BodyText"/>
      </w:pPr>
      <w:r>
        <w:t xml:space="preserve">Fourth, it proposes a concrete, pre-specified, and mechanically implementable governance remedy — the OSNR two-tier decision rule — rather than limiting itself to descriptive or causal claims about the existence of bias. To our knowledge, no prior paper in this literature has proposed a specific rule that a governing body could adopt and apply automatically to every competition using only publicly available data.</w:t>
      </w:r>
    </w:p>
    <w:p>
      <w:r>
        <w:pict>
          <v:rect style="width:0;height:1.5pt" o:hralign="center" o:hrstd="t" o:hr="t"/>
        </w:pict>
      </w:r>
    </w:p>
    <w:bookmarkEnd w:id="16"/>
    <w:bookmarkEnd w:id="17"/>
    <w:bookmarkEnd w:id="18"/>
    <w:bookmarkStart w:id="26" w:name="statistical-framework"/>
    <w:p>
      <w:pPr>
        <w:pStyle w:val="Heading2"/>
      </w:pPr>
      <w:r>
        <w:t xml:space="preserve">3. Statistical Framework</w:t>
      </w:r>
    </w:p>
    <w:bookmarkStart w:id="19" w:name="notation-and-setup"/>
    <w:p>
      <w:pPr>
        <w:pStyle w:val="Heading3"/>
      </w:pPr>
      <w:r>
        <w:t xml:space="preserve">3.1 Notation and Setup</w:t>
      </w:r>
    </w:p>
    <w:p>
      <w:pPr>
        <w:pStyle w:val="FirstParagraph"/>
      </w:pPr>
      <w:r>
        <w:t xml:space="preserve">Consider a single competition segment with</w:t>
      </w:r>
      <w:r>
        <w:t xml:space="preserve"> </w:t>
      </w:r>
      <w:r>
        <w:rPr>
          <w:i/>
          <w:iCs/>
        </w:rPr>
        <w:t xml:space="preserve">n</w:t>
      </w:r>
      <w:r>
        <w:t xml:space="preserve"> </w:t>
      </w:r>
      <w:r>
        <w:t xml:space="preserve">competitors and a panel of</w:t>
      </w:r>
      <w:r>
        <w:t xml:space="preserve"> </w:t>
      </w:r>
      <w:r>
        <w:rPr>
          <w:i/>
          <w:iCs/>
        </w:rPr>
        <w:t xml:space="preserve">m</w:t>
      </w:r>
      <w:r>
        <w:t xml:space="preserve"> </w:t>
      </w:r>
      <w:r>
        <w:t xml:space="preserve">judges (typically</w:t>
      </w:r>
      <w:r>
        <w:t xml:space="preserve"> </w:t>
      </w:r>
      <w:r>
        <w:rPr>
          <w:i/>
          <w:iCs/>
        </w:rPr>
        <w:t xml:space="preserve">m</w:t>
      </w:r>
      <w:r>
        <w:t xml:space="preserve"> </w:t>
      </w:r>
      <w:r>
        <w:t xml:space="preserve">= 9). Each competitor</w:t>
      </w:r>
      <w:r>
        <w:t xml:space="preserve"> </w:t>
      </w:r>
      <w:r>
        <w:rPr>
          <w:i/>
          <w:iCs/>
        </w:rPr>
        <w:t xml:space="preserve">i</w:t>
      </w:r>
      <w:r>
        <w:t xml:space="preserve"> </w:t>
      </w:r>
      <w:r>
        <w:t xml:space="preserve">executes a sequence of</w:t>
      </w:r>
      <w:r>
        <w:t xml:space="preserve"> </w:t>
      </w:r>
      <w:r>
        <w:rPr>
          <w:i/>
          <w:iCs/>
        </w:rPr>
        <w:t xml:space="preserve">k_i</w:t>
      </w:r>
      <w:r>
        <w:t xml:space="preserve"> </w:t>
      </w:r>
      <w:r>
        <w:t xml:space="preserve">technical elements. We index all scored elements across all competitors by</w:t>
      </w:r>
      <w:r>
        <w:t xml:space="preserve"> </w:t>
      </w:r>
      <w:r>
        <w:rPr>
          <w:i/>
          <w:iCs/>
        </w:rPr>
        <w:t xml:space="preserve">u</w:t>
      </w:r>
      <w:r>
        <w:t xml:space="preserve">, and write the set of elements belonging to competitor</w:t>
      </w:r>
      <w:r>
        <w:t xml:space="preserve"> </w:t>
      </w:r>
      <w:r>
        <w:rPr>
          <w:i/>
          <w:iCs/>
        </w:rPr>
        <w:t xml:space="preserve">i</w:t>
      </w:r>
      <w:r>
        <w:t xml:space="preserve"> </w:t>
      </w:r>
      <w:r>
        <w:t xml:space="preserve">as</w:t>
      </w:r>
      <w:r>
        <w:t xml:space="preserve"> </w:t>
      </w:r>
      <w:r>
        <w:rPr>
          <w:i/>
          <w:iCs/>
        </w:rPr>
        <w:t xml:space="preserve">U_i</w:t>
      </w:r>
      <w:r>
        <w:t xml:space="preserve">, so that |</w:t>
      </w:r>
      <w:r>
        <w:rPr>
          <w:i/>
          <w:iCs/>
        </w:rPr>
        <w:t xml:space="preserve">U_i</w:t>
      </w:r>
      <w:r>
        <w:t xml:space="preserve">| =</w:t>
      </w:r>
      <w:r>
        <w:t xml:space="preserve"> </w:t>
      </w:r>
      <w:r>
        <w:rPr>
          <w:i/>
          <w:iCs/>
        </w:rPr>
        <w:t xml:space="preserve">k_i</w:t>
      </w:r>
      <w:r>
        <w:t xml:space="preserve">. For each element</w:t>
      </w:r>
      <w:r>
        <w:t xml:space="preserve"> </w:t>
      </w:r>
      <w:r>
        <w:rPr>
          <w:i/>
          <w:iCs/>
        </w:rPr>
        <w:t xml:space="preserve">u</w:t>
      </w:r>
      <w:r>
        <w:t xml:space="preserve"> </w:t>
      </w:r>
      <w:r>
        <w:t xml:space="preserve">∈</w:t>
      </w:r>
      <w:r>
        <w:t xml:space="preserve"> </w:t>
      </w:r>
      <w:r>
        <w:rPr>
          <w:i/>
          <w:iCs/>
        </w:rPr>
        <w:t xml:space="preserve">U_i</w:t>
      </w:r>
      <w:r>
        <w:t xml:space="preserve">, judge</w:t>
      </w:r>
      <w:r>
        <w:t xml:space="preserve"> </w:t>
      </w:r>
      <w:r>
        <w:rPr>
          <w:i/>
          <w:iCs/>
        </w:rPr>
        <w:t xml:space="preserve">j</w:t>
      </w:r>
      <w:r>
        <w:t xml:space="preserve"> </w:t>
      </w:r>
      <w:r>
        <w:t xml:space="preserve">awards a GOE score</w:t>
      </w:r>
      <w:r>
        <w:t xml:space="preserve"> </w:t>
      </w:r>
      <w:r>
        <w:rPr>
          <w:i/>
          <w:iCs/>
        </w:rPr>
        <w:t xml:space="preserve">g(u, i, j)</w:t>
      </w:r>
      <w:r>
        <w:t xml:space="preserve"> </w:t>
      </w:r>
      <w:r>
        <w:t xml:space="preserve">— the Grade of Execution awarded to competitor</w:t>
      </w:r>
      <w:r>
        <w:t xml:space="preserve"> </w:t>
      </w:r>
      <w:r>
        <w:rPr>
          <w:i/>
          <w:iCs/>
        </w:rPr>
        <w:t xml:space="preserve">i</w:t>
      </w:r>
      <w:r>
        <w:t xml:space="preserve">’s element</w:t>
      </w:r>
      <w:r>
        <w:t xml:space="preserve"> </w:t>
      </w:r>
      <w:r>
        <w:rPr>
          <w:i/>
          <w:iCs/>
        </w:rPr>
        <w:t xml:space="preserve">u</w:t>
      </w:r>
      <w:r>
        <w:t xml:space="preserve"> </w:t>
      </w:r>
      <w:r>
        <w:t xml:space="preserve">by judge</w:t>
      </w:r>
      <w:r>
        <w:t xml:space="preserve"> </w:t>
      </w:r>
      <w:r>
        <w:rPr>
          <w:i/>
          <w:iCs/>
        </w:rPr>
        <w:t xml:space="preserve">j</w:t>
      </w:r>
      <w:r>
        <w:t xml:space="preserve">. Because each element</w:t>
      </w:r>
      <w:r>
        <w:t xml:space="preserve"> </w:t>
      </w:r>
      <w:r>
        <w:rPr>
          <w:i/>
          <w:iCs/>
        </w:rPr>
        <w:t xml:space="preserve">u</w:t>
      </w:r>
      <w:r>
        <w:t xml:space="preserve"> </w:t>
      </w:r>
      <w:r>
        <w:t xml:space="preserve">belongs to exactly one competitor, the competitor index</w:t>
      </w:r>
      <w:r>
        <w:t xml:space="preserve"> </w:t>
      </w:r>
      <w:r>
        <w:rPr>
          <w:i/>
          <w:iCs/>
        </w:rPr>
        <w:t xml:space="preserve">i</w:t>
      </w:r>
      <w:r>
        <w:t xml:space="preserve"> </w:t>
      </w:r>
      <w:r>
        <w:t xml:space="preserve">is implicit in</w:t>
      </w:r>
      <w:r>
        <w:t xml:space="preserve"> </w:t>
      </w:r>
      <w:r>
        <w:rPr>
          <w:i/>
          <w:iCs/>
        </w:rPr>
        <w:t xml:space="preserve">u</w:t>
      </w:r>
      <w:r>
        <w:t xml:space="preserve">; for notational brevity we write</w:t>
      </w:r>
      <w:r>
        <w:t xml:space="preserve"> </w:t>
      </w:r>
      <w:r>
        <w:rPr>
          <w:i/>
          <w:iCs/>
        </w:rPr>
        <w:t xml:space="preserve">g(u, j)</w:t>
      </w:r>
      <w:r>
        <w:t xml:space="preserve"> </w:t>
      </w:r>
      <w:r>
        <w:t xml:space="preserve">throughout, with the understanding that the domain of</w:t>
      </w:r>
      <w:r>
        <w:t xml:space="preserve"> </w:t>
      </w:r>
      <w:r>
        <w:rPr>
          <w:i/>
          <w:iCs/>
        </w:rPr>
        <w:t xml:space="preserve">u</w:t>
      </w:r>
      <w:r>
        <w:t xml:space="preserve"> </w:t>
      </w:r>
      <w:r>
        <w:t xml:space="preserve">determines which competitor is being scored. The panel GOE for element</w:t>
      </w:r>
      <w:r>
        <w:t xml:space="preserve"> </w:t>
      </w:r>
      <w:r>
        <w:rPr>
          <w:i/>
          <w:iCs/>
        </w:rPr>
        <w:t xml:space="preserve">u</w:t>
      </w:r>
      <w:r>
        <w:t xml:space="preserve"> </w:t>
      </w:r>
      <w:r>
        <w:t xml:space="preserve">is the trimmed mean across judges:</w:t>
      </w:r>
    </w:p>
    <w:p>
      <w:pPr>
        <w:pStyle w:val="BlockText"/>
      </w:pPr>
      <w:r>
        <w:t xml:space="preserve">Panel GOE(u) = TrimMean{ g(u, 1), g(u, 2), …, g(u, m) }</w:t>
      </w:r>
    </w:p>
    <w:p>
      <w:pPr>
        <w:pStyle w:val="FirstParagraph"/>
      </w:pPr>
      <w:r>
        <w:t xml:space="preserve">where TrimMean drops the single highest and single lowest values and averages the remainder.</w:t>
      </w:r>
    </w:p>
    <w:p>
      <w:pPr>
        <w:pStyle w:val="BodyText"/>
      </w:pPr>
      <w:r>
        <w:t xml:space="preserve">Define the</w:t>
      </w:r>
      <w:r>
        <w:t xml:space="preserve"> </w:t>
      </w:r>
      <w:r>
        <w:rPr>
          <w:b/>
          <w:bCs/>
        </w:rPr>
        <w:t xml:space="preserve">peer deviation</w:t>
      </w:r>
      <w:r>
        <w:t xml:space="preserve"> </w:t>
      </w:r>
      <w:r>
        <w:t xml:space="preserve">of judge</w:t>
      </w:r>
      <w:r>
        <w:t xml:space="preserve"> </w:t>
      </w:r>
      <w:r>
        <w:rPr>
          <w:i/>
          <w:iCs/>
        </w:rPr>
        <w:t xml:space="preserve">j</w:t>
      </w:r>
      <w:r>
        <w:t xml:space="preserve"> </w:t>
      </w:r>
      <w:r>
        <w:t xml:space="preserve">on element</w:t>
      </w:r>
      <w:r>
        <w:t xml:space="preserve"> </w:t>
      </w:r>
      <w:r>
        <w:rPr>
          <w:i/>
          <w:iCs/>
        </w:rPr>
        <w:t xml:space="preserve">u</w:t>
      </w:r>
      <w:r>
        <w:t xml:space="preserve"> </w:t>
      </w:r>
      <w:r>
        <w:t xml:space="preserve">as:</w:t>
      </w:r>
    </w:p>
    <w:p>
      <w:pPr>
        <w:pStyle w:val="BlockText"/>
      </w:pPr>
      <w:r>
        <w:t xml:space="preserve">d(u, j) = g(u, j) − Panel GOE(u)</w:t>
      </w:r>
    </w:p>
    <w:p>
      <w:pPr>
        <w:pStyle w:val="FirstParagraph"/>
      </w:pPr>
      <w:r>
        <w:t xml:space="preserve">This measures how far judge</w:t>
      </w:r>
      <w:r>
        <w:t xml:space="preserve"> </w:t>
      </w:r>
      <w:r>
        <w:rPr>
          <w:i/>
          <w:iCs/>
        </w:rPr>
        <w:t xml:space="preserve">j</w:t>
      </w:r>
      <w:r>
        <w:t xml:space="preserve">’s score departs from the consensus of the panel on that particular element. A consistently positive peer deviation for a competitor’s elements indicates that judge</w:t>
      </w:r>
      <w:r>
        <w:t xml:space="preserve"> </w:t>
      </w:r>
      <w:r>
        <w:rPr>
          <w:i/>
          <w:iCs/>
        </w:rPr>
        <w:t xml:space="preserve">j</w:t>
      </w:r>
      <w:r>
        <w:t xml:space="preserve"> </w:t>
      </w:r>
      <w:r>
        <w:t xml:space="preserve">scores that competitor systematically above the panel consensus; a consistently negative deviation indicates the opposite.</w:t>
      </w:r>
    </w:p>
    <w:bookmarkEnd w:id="19"/>
    <w:bookmarkStart w:id="20" w:name="the-bj-bias-statistic"/>
    <w:p>
      <w:pPr>
        <w:pStyle w:val="Heading3"/>
      </w:pPr>
      <w:r>
        <w:t xml:space="preserve">3.2 The B(j) Bias Statistic</w:t>
      </w:r>
    </w:p>
    <w:p>
      <w:pPr>
        <w:pStyle w:val="FirstParagraph"/>
      </w:pPr>
      <w:r>
        <w:t xml:space="preserve">For a given judge</w:t>
      </w:r>
      <w:r>
        <w:t xml:space="preserve"> </w:t>
      </w:r>
      <w:r>
        <w:rPr>
          <w:i/>
          <w:iCs/>
        </w:rPr>
        <w:t xml:space="preserve">j</w:t>
      </w:r>
      <w:r>
        <w:t xml:space="preserve"> </w:t>
      </w:r>
      <w:r>
        <w:t xml:space="preserve">and a given pair of competitors A and B, define the</w:t>
      </w:r>
      <w:r>
        <w:t xml:space="preserve"> </w:t>
      </w:r>
      <w:r>
        <w:rPr>
          <w:b/>
          <w:bCs/>
        </w:rPr>
        <w:t xml:space="preserve">bias statistic</w:t>
      </w:r>
      <w:r>
        <w:t xml:space="preserve"> </w:t>
      </w:r>
      <w:r>
        <w:t xml:space="preserve">B(j, A, B) as:</w:t>
      </w:r>
    </w:p>
    <w:p>
      <w:pPr>
        <w:pStyle w:val="BlockText"/>
      </w:pPr>
      <w:r>
        <w:t xml:space="preserve">B(j, A, B) = mean{ d(u, j) : u ∈ elements of A } − mean{ d(u, j) : u ∈ elements of B }</w:t>
      </w:r>
    </w:p>
    <w:p>
      <w:pPr>
        <w:pStyle w:val="FirstParagraph"/>
      </w:pPr>
      <w:r>
        <w:t xml:space="preserve">This statistic measures the difference between judge</w:t>
      </w:r>
      <w:r>
        <w:t xml:space="preserve"> </w:t>
      </w:r>
      <w:r>
        <w:rPr>
          <w:i/>
          <w:iCs/>
        </w:rPr>
        <w:t xml:space="preserve">j</w:t>
      </w:r>
      <w:r>
        <w:t xml:space="preserve">’s average peer deviation for competitor A’s elements and their average peer deviation for competitor B’s elements. A positive value indicates that judge</w:t>
      </w:r>
      <w:r>
        <w:t xml:space="preserve"> </w:t>
      </w:r>
      <w:r>
        <w:rPr>
          <w:i/>
          <w:iCs/>
        </w:rPr>
        <w:t xml:space="preserve">j</w:t>
      </w:r>
      <w:r>
        <w:t xml:space="preserve"> </w:t>
      </w:r>
      <w:r>
        <w:t xml:space="preserve">scores A systematically higher than the panel consensus, relative to how they score B.</w:t>
      </w:r>
    </w:p>
    <w:p>
      <w:pPr>
        <w:pStyle w:val="BodyText"/>
      </w:pPr>
      <w:r>
        <w:t xml:space="preserve">The statistic is computed using peer deviations rather than raw scores. This is important for two reasons. First, it controls for element difficulty: a judge who gives positive GOE to a difficult element that the whole panel rewards is not behaving anomalously. Second, it controls for judge-level tendencies: a judge who is consistently generous or harsh overall will show peer deviations close to zero regardless of their absolute score level.</w:t>
      </w:r>
    </w:p>
    <w:p>
      <w:pPr>
        <w:pStyle w:val="BodyText"/>
      </w:pPr>
      <w:r>
        <w:t xml:space="preserve">For program component scores, an analogous deviation is defined for each component mark, and the B(j) statistic is extended to include PCS deviations weighted by the relevant factor.</w:t>
      </w:r>
    </w:p>
    <w:bookmarkEnd w:id="20"/>
    <w:bookmarkStart w:id="21" w:name="the-within-unit-permutation-test"/>
    <w:p>
      <w:pPr>
        <w:pStyle w:val="Heading3"/>
      </w:pPr>
      <w:r>
        <w:t xml:space="preserve">3.3 The Within-Unit Permutation Test</w:t>
      </w:r>
    </w:p>
    <w:p>
      <w:pPr>
        <w:pStyle w:val="FirstParagraph"/>
      </w:pPr>
      <w:r>
        <w:t xml:space="preserve">To assess whether an observed B(j, A, B) is statistically unusual, a permutation test is conducted under the null hypothesis that judge</w:t>
      </w:r>
      <w:r>
        <w:t xml:space="preserve"> </w:t>
      </w:r>
      <w:r>
        <w:rPr>
          <w:i/>
          <w:iCs/>
        </w:rPr>
        <w:t xml:space="preserve">j</w:t>
      </w:r>
      <w:r>
        <w:t xml:space="preserve">’s scores are exchangeable with those of other judges on the panel.</w:t>
      </w:r>
    </w:p>
    <w:p>
      <w:pPr>
        <w:pStyle w:val="BodyText"/>
      </w:pPr>
      <w:r>
        <w:t xml:space="preserve">The null hypothesis is formalized as follows: under no bias, the assignment of score values to judge positions within each scored unit (element or component) is arbitrary. That is, any permutation of the judge labels within a unit is equally likely under the null.</w:t>
      </w:r>
    </w:p>
    <w:p>
      <w:pPr>
        <w:pStyle w:val="BodyText"/>
      </w:pPr>
      <w:r>
        <w:t>The exact enumeration procedure is:</w:t>
      </w:r>
    </w:p>
    <w:p>
      <w:pPr>
        <w:pStyle w:val="Compact"/>
        <w:numPr>
          <w:ilvl w:val="0"/>
          <w:numId w:val="1001"/>
        </w:numPr>
      </w:pPr>
      <w:r>
        <w:t>Compute the observed statistic B_obs = B(j, A, B) from the published scores.</w:t>
      </w:r>
    </w:p>
    <w:p>
      <w:pPr>
        <w:pStyle w:val="Compact"/>
        <w:numPr>
          <w:ilvl w:val="0"/>
          <w:numId w:val="1001"/>
        </w:numPr>
      </w:pPr>
      <w:r>
        <w:t>Enumerate all C(2k, k) distinct ways to split the combined pool of 2k deviation values into two equal groups of k, where k is the number of elements scored by each competitor. For a program with k = 9 elements, C(18, 9) = 48,620 splits; for k = 12, C(24, 12) = 2,704,156 splits. All splits are enumerated completely — no sampling is performed.</w:t>
      </w:r>
    </w:p>
    <w:p>
      <w:pPr>
        <w:pStyle w:val="Compact"/>
        <w:numPr>
          <w:ilvl w:val="1"/>
          <w:numId w:val="1002"/>
        </w:numPr>
      </w:pPr>
      <w:r>
        <w:t>For each split, assign one group of k deviations to competitor A and the other group to competitor B, and compute the simulated statistic B_sim = mean(group A) − mean(group B).</w:t>
      </w:r>
      <w:r/>
      <w:r>
        <w:rPr>
          <w:i/>
          <w:iCs/>
        </w:rPr>
      </w:r>
      <w:r/>
    </w:p>
    <w:p>
      <w:pPr>
        <w:pStyle w:val="Compact"/>
        <w:numPr>
          <w:ilvl w:val="1"/>
          <w:numId w:val="1002"/>
        </w:numPr>
      </w:pPr>
      <w:r>
        <w:t>Record the count of splits for which B_sim is at least as extreme as B_obs (in the observed direction).</w:t>
      </w:r>
    </w:p>
    <w:p>
      <w:pPr>
        <w:pStyle w:val="Compact"/>
        <w:numPr>
          <w:ilvl w:val="0"/>
          <w:numId w:val="1001"/>
        </w:numPr>
      </w:pPr>
      <w:r>
        <w:t>The exact one-sided p-value is: p = extreme_count / C(2k, k), where extreme_count is the number of splits yielding |B_sim| ≥ |B_obs| in the observed direction. For example, if 36 of 48,620 splits are at least as extreme as the observed B_obs, then p = 36 / 48,620 ≈ 0.000740.</w:t>
      </w:r>
    </w:p>
    <w:p>
      <w:pPr>
        <w:pStyle w:val="FirstParagraph"/>
      </w:pPr>
      <w:r>
        <w:t>This within-unit design is critical: it preserves the empirical distribution of scores for each element (including the spread and level), while evaluating all possible reassignments of scores to judge positions. The procedure is fully deterministic — it requires no random seed and produces no sampling error. The p-value is an exact fraction, not an estimate. No parametric distribution of scores is assumed, and no data beyond the single event's scoring sheet is required.</w:t>
      </w:r>
    </w:p>
    <w:p>
      <w:pPr>
        <w:pStyle w:val="BodyText"/>
      </w:pPr>
      <w:r>
        <w:t xml:space="preserve">The exchangeability assumption is most plausible when judges are drawn from a common pool applying shared criteria. It may be imperfect to the extent that judges systematically interpret criteria differently as a matter of national judging culture rather than bias toward particular competitors. This limitation is discussed further in Section 9.</w:t>
      </w:r>
    </w:p>
    <w:bookmarkEnd w:id="21"/>
    <w:bookmarkStart w:id="23" w:name="extension-to-all-pairwise-comparisons"/>
    <w:p>
      <w:pPr>
        <w:pStyle w:val="Heading3"/>
      </w:pPr>
      <w:r>
        <w:t xml:space="preserve">3.4 Extension to All Pairwise Comparisons</w:t>
      </w:r>
    </w:p>
    <w:p>
      <w:pPr>
        <w:pStyle w:val="FirstParagraph"/>
      </w:pPr>
      <w:r>
        <w:t xml:space="preserve">Studies of judging bias in figure skating have typically focused on a single competitor pair — most commonly the gold and silver medalists — chosen because they sit at the most consequential scoring boundary and because concerns about biased judging most often arise when a close competition produces a controversial result (see, e.g., Zitzewitz 2006; Emerson, Seltzer &amp; Lin 2009).</w:t>
      </w:r>
      <w:r>
        <w:rPr>
          <w:rStyle w:val="FootnoteReference"/>
        </w:rPr>
        <w:footnoteReference w:id="22"/>
      </w:r>
      <w:r>
        <w:t xml:space="preserve"> </w:t>
      </w:r>
      <w:r>
        <w:t xml:space="preserve">This targeted approach is statistically clean but leaves most of the available information unused.</w:t>
      </w:r>
    </w:p>
    <w:p>
      <w:pPr>
        <w:pStyle w:val="BodyText"/>
      </w:pPr>
      <w:r>
        <w:t xml:space="preserve">This paper extends the analysis to all C(n, 2) = n(n−1)/2 pairwise combinations of competitors within each event. For each pair (A, B) and each judge</w:t>
      </w:r>
      <w:r>
        <w:t xml:space="preserve"> </w:t>
      </w:r>
      <w:r>
        <w:rPr>
          <w:i/>
          <w:iCs/>
        </w:rPr>
        <w:t xml:space="preserve">j</w:t>
      </w:r>
      <w:r>
        <w:t xml:space="preserve">, B(j, A, B) is computed and tested against the within-unit permutation null. Multiple comparison correction is applied using the Bonferroni method: the significance threshold for each individual test is set at α/C(n, 2), where α = 0.001 is the family-wise Type 2 threshold.</w:t>
      </w:r>
    </w:p>
    <w:p>
      <w:pPr>
        <w:pStyle w:val="BodyText"/>
      </w:pPr>
      <w:r>
        <w:t xml:space="preserve">This extension serves several purposes. First, it provides a more complete picture of each judge’s scoring pattern: a judge who is anomalous only at the gold–silver boundary is a different phenomenon from one whose anomaly extends throughout the field. Second, it enables the empirical calibration of operating characteristics — false positive rates, power at various effect sizes — across a large number of tests, rather than relying on asymptotic approximations. Third, it allows the LOJO analysis (Section 3.5) to be applied to all rank boundaries, not only the podium.</w:t>
      </w:r>
    </w:p>
    <w:p>
      <w:pPr>
        <w:pStyle w:val="BodyText"/>
      </w:pPr>
      <w:r>
        <w:t xml:space="preserve">When the pairwise analysis is used to characterize a judge’s overall scoring pattern in an event, the summary statistic is the proportion of pairwise tests for that judge that reach the Tier 1 significance threshold (p ≤ 0.01), and the maximum z-score across all pairs.</w:t>
      </w:r>
    </w:p>
    <w:bookmarkEnd w:id="23"/>
    <w:bookmarkStart w:id="24" w:name="X23efdacbc3681e800ddc83557fcf8a7040e318d"/>
    <w:p>
      <w:pPr>
        <w:pStyle w:val="Heading3"/>
      </w:pPr>
      <w:r>
        <w:t xml:space="preserve">3.5 The Leave-One-Judge-Out (LOJO) Counterfactual</w:t>
      </w:r>
    </w:p>
    <w:p>
      <w:pPr>
        <w:pStyle w:val="FirstParagraph"/>
      </w:pPr>
      <w:r>
        <w:t xml:space="preserve">Statistical significance alone does not determine whether a judge’s anomalous scores affected the competition outcome. A judge may be a highly significant outlier without being outcome-determinative if the margin between competitors is large relative to the magnitude of their scoring deviation.</w:t>
      </w:r>
    </w:p>
    <w:p>
      <w:pPr>
        <w:pStyle w:val="BodyText"/>
      </w:pPr>
      <w:r>
        <w:t xml:space="preserve">To assess outcome materiality, a</w:t>
      </w:r>
      <w:r>
        <w:t xml:space="preserve"> </w:t>
      </w:r>
      <w:r>
        <w:rPr>
          <w:b/>
          <w:bCs/>
        </w:rPr>
        <w:t xml:space="preserve">leave-one-judge-out (LOJO)</w:t>
      </w:r>
      <w:r>
        <w:t xml:space="preserve"> </w:t>
      </w:r>
      <w:r>
        <w:t xml:space="preserve">counterfactual is computed for each judge in each event. The procedure is as follows:</w:t>
      </w:r>
    </w:p>
    <w:p>
      <w:pPr>
        <w:pStyle w:val="Compact"/>
        <w:numPr>
          <w:ilvl w:val="0"/>
          <w:numId w:val="1003"/>
        </w:numPr>
      </w:pPr>
      <w:r>
        <w:t xml:space="preserve">Remove judge</w:t>
      </w:r>
      <w:r>
        <w:t xml:space="preserve"> </w:t>
      </w:r>
      <w:r>
        <w:rPr>
          <w:i/>
          <w:iCs/>
        </w:rPr>
        <w:t xml:space="preserve">j</w:t>
      </w:r>
      <w:r>
        <w:t xml:space="preserve">’s scores from every element and component they scored in the event.</w:t>
      </w:r>
    </w:p>
    <w:p>
      <w:pPr>
        <w:pStyle w:val="Compact"/>
        <w:numPr>
          <w:ilvl w:val="0"/>
          <w:numId w:val="1003"/>
        </w:numPr>
      </w:pPr>
      <w:r>
        <w:t xml:space="preserve">Recompute the trimmed mean for each scored unit using the remaining</w:t>
      </w:r>
      <w:r>
        <w:t xml:space="preserve"> </w:t>
      </w:r>
      <w:r>
        <w:rPr>
          <w:i/>
          <w:iCs/>
        </w:rPr>
        <w:t xml:space="preserve">m</w:t>
      </w:r>
      <w:r>
        <w:t xml:space="preserve"> </w:t>
      </w:r>
      <w:r>
        <w:t xml:space="preserve">− 1 judges, applying the standard trimming rule (drop 1 highest and 1 lowest from the remaining scores).</w:t>
      </w:r>
    </w:p>
    <w:p>
      <w:pPr>
        <w:pStyle w:val="Compact"/>
        <w:numPr>
          <w:ilvl w:val="0"/>
          <w:numId w:val="1003"/>
        </w:numPr>
      </w:pPr>
      <w:r>
        <w:t xml:space="preserve">Recompute each competitor’s TES, PCS, and TSS under this counterfactual scoring.</w:t>
      </w:r>
    </w:p>
    <w:p>
      <w:pPr>
        <w:pStyle w:val="Compact"/>
        <w:numPr>
          <w:ilvl w:val="0"/>
          <w:numId w:val="1003"/>
        </w:numPr>
      </w:pPr>
      <w:r>
        <w:t xml:space="preserve">Re-rank all competitors by counterfactual TSS.</w:t>
      </w:r>
    </w:p>
    <w:p>
      <w:pPr>
        <w:pStyle w:val="Compact"/>
        <w:numPr>
          <w:ilvl w:val="0"/>
          <w:numId w:val="1003"/>
        </w:numPr>
      </w:pPr>
      <w:r>
        <w:t xml:space="preserve">Compare the counterfactual ranking to the official ranking.</w:t>
      </w:r>
    </w:p>
    <w:p>
      <w:pPr>
        <w:pStyle w:val="FirstParagraph"/>
      </w:pPr>
      <w:r>
        <w:t xml:space="preserve">A judge is deemed</w:t>
      </w:r>
      <w:r>
        <w:t xml:space="preserve"> </w:t>
      </w:r>
      <w:r>
        <w:rPr>
          <w:b/>
          <w:bCs/>
        </w:rPr>
        <w:t xml:space="preserve">outcome-determinative</w:t>
      </w:r>
      <w:r>
        <w:t xml:space="preserve"> </w:t>
      </w:r>
      <w:r>
        <w:t xml:space="preserve">if their LOJO removal changes the ranking of at least one pair of competitors at a medal boundary (gold–silver, silver–bronze, or bronze–fourth).</w:t>
      </w:r>
    </w:p>
    <w:p>
      <w:pPr>
        <w:pStyle w:val="BodyText"/>
      </w:pPr>
      <w:r>
        <w:t xml:space="preserve">It is important to distinguish outcome-determinativeness from bias. The LOJO counterfactual is a measure of competitive sensitivity: a judge whose removal changes the winner may simply have been the swing vote in a close competition, with scores well within the normal range of panel variation. Outcome-determinativeness alone — without corroborating statistical evidence of systematic deviation — does not imply that the judge scored improperly. This is why the two-tier framework requires both conditions: a LOJO winner change (materiality) and p ≤ 0.001 pairwise significance (statistical anomaly). Neither condition alone is sufficient for judge removal under OSNR.</w:t>
      </w:r>
    </w:p>
    <w:p>
      <w:pPr>
        <w:pStyle w:val="BodyText"/>
      </w:pPr>
      <w:r>
        <w:t xml:space="preserve">The LOJO counterfactual is computed for every judge in every event across the full dataset, producing a systematic picture of how often individual judges’ scores are outcome-determinative regardless of whether they are statistically anomalous.</w:t>
      </w:r>
    </w:p>
    <w:bookmarkEnd w:id="24"/>
    <w:bookmarkStart w:id="25" w:name="the-two-tier-osnr-decision-rule"/>
    <w:p>
      <w:pPr>
        <w:pStyle w:val="Heading3"/>
      </w:pPr>
      <w:r>
        <w:t xml:space="preserve">3.6 The Two-Tier OSNR Decision Rule</w:t>
      </w:r>
    </w:p>
    <w:p>
      <w:pPr>
        <w:pStyle w:val="FirstParagraph"/>
      </w:pPr>
      <w:r>
        <w:t xml:space="preserve">The OSNR combines the statistical test and the materiality assessment into a two-tier governance rule:</w:t>
      </w:r>
    </w:p>
    <w:p>
      <w:pPr>
        <w:pStyle w:val="BodyText"/>
      </w:pPr>
      <w:r>
        <w:rPr>
          <w:b/>
          <w:bCs/>
        </w:rPr>
        <w:t xml:space="preserve">Tier 1 — Audit Trigger (p ≤ 0.01):</w:t>
      </w:r>
      <w:r>
        <w:t xml:space="preserve"> </w:t>
      </w:r>
      <w:r>
        <w:t xml:space="preserve">If judge</w:t>
      </w:r>
      <w:r>
        <w:t xml:space="preserve"> </w:t>
      </w:r>
      <w:r>
        <w:rPr>
          <w:i/>
          <w:iCs/>
        </w:rPr>
        <w:t xml:space="preserve">j</w:t>
      </w:r>
      <w:r>
        <w:t xml:space="preserve">’s B(j) statistic for the relevant podium boundary yields p ≤ 0.01 under the permutation test, the event is flagged for expedited review by an integrity panel. The published result is provisionally maintained pending review. This threshold corresponds approximately to a 1-in-100 chance of observing the pattern by chance under the null.</w:t>
      </w:r>
    </w:p>
    <w:p>
      <w:pPr>
        <w:pStyle w:val="BodyText"/>
      </w:pPr>
      <w:r>
        <w:rPr>
          <w:b/>
          <w:bCs/>
        </w:rPr>
        <w:t xml:space="preserve">Tier 2 — Automatic Score Adjustment (p ≤ 0.001 and outcome-determinative):</w:t>
      </w:r>
      <w:r>
        <w:t xml:space="preserve"> </w:t>
      </w:r>
      <w:r>
        <w:t xml:space="preserve">If (a) judge</w:t>
      </w:r>
      <w:r>
        <w:t xml:space="preserve"> </w:t>
      </w:r>
      <w:r>
        <w:rPr>
          <w:i/>
          <w:iCs/>
        </w:rPr>
        <w:t xml:space="preserve">j</w:t>
      </w:r>
      <w:r>
        <w:t xml:space="preserve">’s LOJO removal changes the podium, and (b) the permutation p-value for the affected podium boundary satisfies p ≤ 0.001, then judge</w:t>
      </w:r>
      <w:r>
        <w:t xml:space="preserve"> </w:t>
      </w:r>
      <w:r>
        <w:rPr>
          <w:i/>
          <w:iCs/>
        </w:rPr>
        <w:t xml:space="preserve">j</w:t>
      </w:r>
      <w:r>
        <w:t xml:space="preserve">’s scores are replaced by the panel average for each scored unit and the result is recomputed. The LOJO result becomes the official published result, subject to later confirmation by the integrity panel. This threshold corresponds approximately to a 1-in-1,000 chance under the null; combined with the Bonferroni correction for a nine-judge panel, the family-wise false positive rate for Tier 2 activation is well below 1%.</w:t>
      </w:r>
    </w:p>
    <w:p>
      <w:pPr>
        <w:pStyle w:val="BodyText"/>
      </w:pPr>
      <w:r>
        <w:t xml:space="preserve">The two-tier structure is deliberately conservative. Tier 1 is informational and does not alter any result. Tier 2 requires both an extreme p-value and a demonstrated effect on the outcome; neither condition alone is sufficient. The method is fully transparent and reproducible from publicly available data.</w:t>
      </w:r>
    </w:p>
    <w:p>
      <w:r>
        <w:pict>
          <v:rect style="width:0;height:1.5pt" o:hralign="center" o:hrstd="t" o:hr="t"/>
        </w:pict>
      </w:r>
    </w:p>
    <w:bookmarkEnd w:id="25"/>
    <w:bookmarkEnd w:id="26"/>
    <w:bookmarkStart w:id="32" w:name="data"/>
    <w:p>
      <w:pPr>
        <w:pStyle w:val="Heading2"/>
      </w:pPr>
      <w:r>
        <w:t xml:space="preserve">4. Data</w:t>
      </w:r>
    </w:p>
    <w:bookmarkStart w:id="27" w:name="source"/>
    <w:p>
      <w:pPr>
        <w:pStyle w:val="Heading3"/>
      </w:pPr>
      <w:r>
        <w:t xml:space="preserve">4.1 Source</w:t>
      </w:r>
    </w:p>
    <w:p>
      <w:pPr>
        <w:pStyle w:val="FirstParagraph"/>
      </w:pPr>
      <w:r>
        <w:t xml:space="preserve">All data were obtained from the ISU’s official results website. The ISU publishes, for every sanctioned international competition, a</w:t>
      </w:r>
      <w:r>
        <w:t xml:space="preserve"> </w:t>
      </w:r>
      <w:r>
        <w:t xml:space="preserve">“Judges Details per Skater”</w:t>
      </w:r>
      <w:r>
        <w:t xml:space="preserve"> </w:t>
      </w:r>
      <w:r>
        <w:t xml:space="preserve">PDF for each event segment. These documents are the authoritative public record of every judge’s individual GOE score for every technical element and every judge’s individual mark for every program component, for every competitor in the event.</w:t>
      </w:r>
    </w:p>
    <w:p>
      <w:pPr>
        <w:pStyle w:val="BodyText"/>
      </w:pPr>
      <w:r>
        <w:t xml:space="preserve">PDFs were downloaded for all available major international competitions from the 2021/22 season through the 2025/26 season (through February 2026).</w:t>
      </w:r>
    </w:p>
    <w:bookmarkEnd w:id="27"/>
    <w:bookmarkStart w:id="28" w:name="parsing-and-database-construction"/>
    <w:p>
      <w:pPr>
        <w:pStyle w:val="Heading3"/>
      </w:pPr>
      <w:r>
        <w:t xml:space="preserve">4.2 Parsing and Database Construction</w:t>
      </w:r>
    </w:p>
    <w:p>
      <w:pPr>
        <w:pStyle w:val="FirstParagraph"/>
      </w:pPr>
      <w:r>
        <w:t xml:space="preserve">Two custom parsers were written in Python to extract structured data from the ISU PDFs. One parser handles Ice Dance events; a second handles Men’s Singles, Women’s Singles, and Pair Skating. Both use a regex-based line-parsing approach that operates on the fixed-width text output of the pdftotext utility.</w:t>
      </w:r>
    </w:p>
    <w:p>
      <w:pPr>
        <w:pStyle w:val="BodyText"/>
      </w:pPr>
      <w:r>
        <w:t xml:space="preserve">The parsers handle all known ISU scoring format variants encountered in the dataset, including:</w:t>
      </w:r>
    </w:p>
    <w:p>
      <w:pPr>
        <w:pStyle w:val="Compact"/>
        <w:numPr>
          <w:ilvl w:val="0"/>
          <w:numId w:val="1004"/>
        </w:numPr>
      </w:pPr>
      <w:r>
        <w:t xml:space="preserve">Variable judge panel sizes (8 judges at some events during the COVID period; 9 judges otherwise)</w:t>
      </w:r>
    </w:p>
    <w:p>
      <w:pPr>
        <w:pStyle w:val="Compact"/>
        <w:numPr>
          <w:ilvl w:val="0"/>
          <w:numId w:val="1004"/>
        </w:numPr>
      </w:pPr>
      <w:r>
        <w:t xml:space="preserve">Pre- and post-2022/23 program component formats (5-component and 3-component)</w:t>
      </w:r>
    </w:p>
    <w:p>
      <w:pPr>
        <w:pStyle w:val="Compact"/>
        <w:numPr>
          <w:ilvl w:val="0"/>
          <w:numId w:val="1004"/>
        </w:numPr>
      </w:pPr>
      <w:r>
        <w:t xml:space="preserve">The credit highlight distribution bonus marker (x), which multiplies the base value by 1.10</w:t>
      </w:r>
    </w:p>
    <w:p>
      <w:pPr>
        <w:pStyle w:val="Compact"/>
        <w:numPr>
          <w:ilvl w:val="0"/>
          <w:numId w:val="1004"/>
        </w:numPr>
      </w:pPr>
      <w:r>
        <w:t xml:space="preserve">All combinations of technical call markers applied by the Technical Panel (&lt;, &lt;&lt;, q, !, e, F, *), including combined markers introduced in the 2024/25 season using pipe (|) and comma (,) separators (e.g., !|&lt;, q,!,q)</w:t>
      </w:r>
    </w:p>
    <w:p>
      <w:pPr>
        <w:pStyle w:val="Compact"/>
        <w:numPr>
          <w:ilvl w:val="0"/>
          <w:numId w:val="1004"/>
        </w:numPr>
      </w:pPr>
      <w:r>
        <w:t xml:space="preserve">The OWG2018 name format (SURNAME Firstname) versus the modern format (Firstname SURNAME)</w:t>
      </w:r>
    </w:p>
    <w:p>
      <w:pPr>
        <w:pStyle w:val="FirstParagraph"/>
      </w:pPr>
      <w:r>
        <w:t xml:space="preserve">All extracted data are stored in a relational SQLite database. The database schema is described in detail in the companion Database Summary document.</w:t>
      </w:r>
    </w:p>
    <w:p>
      <w:pPr>
        <w:pStyle w:val="BodyText"/>
      </w:pPr>
      <w:r>
        <w:t xml:space="preserve">In the interest of full transparency and reproducibility, all Python source code (parsers, statistical analysis scripts, and LOJO counterfactual), the complete SQLite database, and all ISU source PDFs are made available as supplementary materials.</w:t>
      </w:r>
      <w:r>
        <w:t xml:space="preserve"> </w:t>
      </w:r>
      <w:r>
        <w:rPr>
          <w:i/>
          <w:iCs/>
        </w:rPr>
        <w:t xml:space="preserve">(Repository URL to be provided upon publication.)</w:t>
      </w:r>
      <w:r>
        <w:t xml:space="preserve"> </w:t>
      </w:r>
      <w:r>
        <w:t xml:space="preserve">Any reader may independently verify every step of the analysis, from raw PDF to final p-value, using only freely available tools.</w:t>
      </w:r>
    </w:p>
    <w:bookmarkEnd w:id="28"/>
    <w:bookmarkStart w:id="29" w:name="data-integrity-verification"/>
    <w:p>
      <w:pPr>
        <w:pStyle w:val="Heading3"/>
      </w:pPr>
      <w:r>
        <w:t xml:space="preserve">4.3 Data Integrity Verification</w:t>
      </w:r>
    </w:p>
    <w:p>
      <w:pPr>
        <w:pStyle w:val="FirstParagraph"/>
      </w:pPr>
      <w:r>
        <w:t xml:space="preserve">Data integrity was verified using a</w:t>
      </w:r>
      <w:r>
        <w:t xml:space="preserve"> </w:t>
      </w:r>
      <w:r>
        <w:rPr>
          <w:b/>
          <w:bCs/>
        </w:rPr>
        <w:t xml:space="preserve">TES reconstruction check</w:t>
      </w:r>
      <w:r>
        <w:t xml:space="preserve">: for every entry in the database, the sum of all individual element panel scores stored in the database was compared against the stored Total Element Score. A perfect match (within floating-point rounding tolerance of 0.05 points) confirms that all elements were correctly identified, parsed, and stored.</w:t>
      </w:r>
    </w:p>
    <w:p>
      <w:pPr>
        <w:pStyle w:val="BodyText"/>
      </w:pPr>
      <w:r>
        <w:t xml:space="preserve">The TES reconstruction check passed for</w:t>
      </w:r>
      <w:r>
        <w:t xml:space="preserve"> </w:t>
      </w:r>
      <w:r>
        <w:rPr>
          <w:b/>
          <w:bCs/>
        </w:rPr>
        <w:t xml:space="preserve">100% of entries</w:t>
      </w:r>
      <w:r>
        <w:t xml:space="preserve"> </w:t>
      </w:r>
      <w:r>
        <w:t xml:space="preserve">across all non-Ice Dance disciplines (2,005 entries). Ice Dance data was verified separately using an analogous procedure. This 100% pass rate provides strong assurance that the dataset is complete and accurate at the element level.</w:t>
      </w:r>
    </w:p>
    <w:bookmarkEnd w:id="29"/>
    <w:bookmarkStart w:id="30" w:name="coverage"/>
    <w:p>
      <w:pPr>
        <w:pStyle w:val="Heading3"/>
      </w:pPr>
      <w:r>
        <w:t xml:space="preserve">4.4 Coverage</w:t>
      </w:r>
    </w:p>
    <w:p>
      <w:pPr>
        <w:pStyle w:val="FirstParagraph"/>
      </w:pPr>
      <w:r>
        <w:t>The final dataset covers 17 major ISU international competitions held between January 2022 and February 2026, comprising 136 individual competition segments across four disciplines and 8 Olympic team event segments, for a total of 144 events in the database. The 136 primary events contain 2,706 competitor entries scored by 1,305 judge-event positions, producing 23,043 scored elements, 291,604 individual element and component judge scores, and 264,854 pairwise judge-competitor comparison tests. Across the 17 competitions, 229 named judges from multiple national federations are represented.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Competitions</w:t>
            </w:r>
          </w:p>
        </w:tc>
        <w:tc>
          <w:tcPr/>
          <w:p>
            <w:pPr>
              <w:pStyle w:val="Compact"/>
            </w:pPr>
            <w:r>
              <w:t xml:space="preserve">17</w:t>
            </w:r>
          </w:p>
        </w:tc>
      </w:tr>
      <w:tr>
        <w:tc>
          <w:tcPr/>
          <w:p>
            <w:pPr>
              <w:pStyle w:val="Compact"/>
            </w:pPr>
            <w:r>
              <w:t xml:space="preserve">Events (discipline × segment)</w:t>
            </w:r>
          </w:p>
        </w:tc>
        <w:tc>
          <w:tcPr/>
          <w:p>
            <w:pPr>
              <w:pStyle w:val="Compact"/>
            </w:pPr>
            <w:r>
              <w:t xml:space="preserve">141</w:t>
            </w:r>
          </w:p>
        </w:tc>
      </w:tr>
      <w:tr>
        <w:tc>
          <w:tcPr/>
          <w:p>
            <w:pPr>
              <w:pStyle w:val="Compact"/>
            </w:pPr>
            <w:r>
              <w:t xml:space="preserve">Skater/pair performances</w:t>
            </w:r>
          </w:p>
        </w:tc>
        <w:tc>
          <w:tcPr/>
          <w:p>
            <w:pPr>
              <w:pStyle w:val="Compact"/>
            </w:pPr>
            <w:r>
              <w:t xml:space="preserve">2,637</w:t>
            </w:r>
          </w:p>
        </w:tc>
      </w:tr>
      <w:tr>
        <w:tc>
          <w:tcPr/>
          <w:p>
            <w:pPr>
              <w:pStyle w:val="Compact"/>
            </w:pPr>
            <w:r>
              <w:t xml:space="preserve">Individual elements</w:t>
            </w:r>
          </w:p>
        </w:tc>
        <w:tc>
          <w:tcPr/>
          <w:p>
            <w:pPr>
              <w:pStyle w:val="Compact"/>
            </w:pPr>
            <w:r>
              <w:t xml:space="preserve">22,380</w:t>
            </w:r>
          </w:p>
        </w:tc>
      </w:tr>
      <w:tr>
        <w:tc>
          <w:tcPr/>
          <w:p>
            <w:pPr>
              <w:pStyle w:val="Compact"/>
            </w:pPr>
            <w:r>
              <w:t xml:space="preserve">Individual judge GOE scores</w:t>
            </w:r>
          </w:p>
        </w:tc>
        <w:tc>
          <w:tcPr/>
          <w:p>
            <w:pPr>
              <w:pStyle w:val="Compact"/>
            </w:pPr>
            <w:r>
              <w:t xml:space="preserve">200,715</w:t>
            </w:r>
          </w:p>
        </w:tc>
      </w:tr>
      <w:tr>
        <w:tc>
          <w:tcPr/>
          <w:p>
            <w:pPr>
              <w:pStyle w:val="Compact"/>
            </w:pPr>
            <w:r>
              <w:t xml:space="preserve">Program component scores</w:t>
            </w:r>
          </w:p>
        </w:tc>
        <w:tc>
          <w:tcPr/>
          <w:p>
            <w:pPr>
              <w:pStyle w:val="Compact"/>
            </w:pPr>
            <w:r>
              <w:t xml:space="preserve">7,396</w:t>
            </w:r>
          </w:p>
        </w:tc>
      </w:tr>
      <w:tr>
        <w:tc>
          <w:tcPr/>
          <w:p>
            <w:pPr>
              <w:pStyle w:val="Compact"/>
            </w:pPr>
            <w:r>
              <w:t xml:space="preserve">Individual judge PCS marks</w:t>
            </w:r>
          </w:p>
        </w:tc>
        <w:tc>
          <w:tcPr/>
          <w:p>
            <w:pPr>
              <w:pStyle w:val="Compact"/>
            </w:pPr>
            <w:r>
              <w:t xml:space="preserve">66,794</w:t>
            </w:r>
          </w:p>
        </w:tc>
      </w:tr>
    </w:tbl>
    <w:p>
      <w:pPr>
        <w:pStyle w:val="BodyText"/>
      </w:pPr>
      <w:r>
        <w:t>The 17 competitions are: ISU European Figure Skating Championships (2022, 2023, 2024, 2025); ISU Four Continents Figure Skating Championships (2022, 2023, 2024, 2025); ISU World Figure Skating Championships (2022, 2023, 2024, 2025); ISU Grand Prix of Figure Skating Final (2022/23 Turin, 2023/24 Beijing, 2024/25 Grenoble); Olympic Winter Games 2022 (Beijing); and Olympic Winter Games 2026 (Milano–Cortina).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Competition</w:t>
            </w:r>
          </w:p>
        </w:tc>
        <w:tc>
          <w:tcPr/>
          <w:p>
            <w:pPr>
              <w:pStyle w:val="Compact"/>
            </w:pPr>
            <w:r>
              <w:t xml:space="preserve">Seasons</w:t>
            </w:r>
          </w:p>
        </w:tc>
      </w:tr>
      <w:tr>
        <w:tc>
          <w:tcPr/>
          <w:p>
            <w:pPr>
              <w:pStyle w:val="Compact"/>
            </w:pPr>
            <w:r>
              <w:t xml:space="preserve">ISU World Figure Skating Championships</w:t>
            </w:r>
          </w:p>
        </w:tc>
        <w:tc>
          <w:tcPr/>
          <w:p>
            <w:pPr>
              <w:pStyle w:val="Compact"/>
            </w:pPr>
            <w:r>
              <w:t xml:space="preserve">2022, 2023, 2024, 2025</w:t>
            </w:r>
          </w:p>
        </w:tc>
      </w:tr>
      <w:tr>
        <w:tc>
          <w:tcPr/>
          <w:p>
            <w:pPr>
              <w:pStyle w:val="Compact"/>
            </w:pPr>
            <w:r>
              <w:t xml:space="preserve">Olympic Winter Games</w:t>
            </w:r>
          </w:p>
        </w:tc>
        <w:tc>
          <w:tcPr/>
          <w:p>
            <w:pPr>
              <w:pStyle w:val="Compact"/>
            </w:pPr>
            <w:r>
              <w:t xml:space="preserve">2022 (Beijing), 2026 (Milano–Cortina)</w:t>
            </w:r>
          </w:p>
        </w:tc>
      </w:tr>
      <w:tr>
        <w:tc>
          <w:tcPr/>
          <w:p>
            <w:pPr>
              <w:pStyle w:val="Compact"/>
            </w:pPr>
            <w:r>
              <w:t xml:space="preserve">ISU European Figure Skating Championships</w:t>
            </w:r>
          </w:p>
        </w:tc>
        <w:tc>
          <w:tcPr/>
          <w:p>
            <w:pPr>
              <w:pStyle w:val="Compact"/>
            </w:pPr>
            <w:r>
              <w:t xml:space="preserve">2022, 2023, 2024, 2025</w:t>
            </w:r>
          </w:p>
        </w:tc>
      </w:tr>
      <w:tr>
        <w:tc>
          <w:tcPr/>
          <w:p>
            <w:pPr>
              <w:pStyle w:val="Compact"/>
            </w:pPr>
            <w:r>
              <w:t xml:space="preserve">ISU Four Continents Figure Skating Championships</w:t>
            </w:r>
          </w:p>
        </w:tc>
        <w:tc>
          <w:tcPr/>
          <w:p>
            <w:pPr>
              <w:pStyle w:val="Compact"/>
            </w:pPr>
            <w:r>
              <w:t xml:space="preserve">2022, 2023, 2024, 2025</w:t>
            </w:r>
          </w:p>
        </w:tc>
      </w:tr>
      <w:tr>
        <w:tc>
          <w:tcPr/>
          <w:p>
            <w:pPr>
              <w:pStyle w:val="Compact"/>
            </w:pPr>
            <w:r>
              <w:t xml:space="preserve">ISU Grand Prix of Figure Skating Final</w:t>
            </w:r>
          </w:p>
        </w:tc>
        <w:tc>
          <w:tcPr/>
          <w:p>
            <w:pPr>
              <w:pStyle w:val="Compact"/>
            </w:pPr>
            <w:r>
              <w:t xml:space="preserve">2022/23, 2023/24, 2024/25</w:t>
            </w:r>
          </w:p>
        </w:tc>
      </w:tr>
    </w:tbl>
    <w:p>
      <w:pPr>
        <w:pStyle w:val="BodyText"/>
      </w:pPr>
      <w:r>
        <w:t xml:space="preserve">The four primary disciplines (Men’s Singles, Women’s Singles, Pair Skating, Ice Dance) are each represented by 32–34 events. Eight additional Team Event segments from the 2026 Olympic Winter Games are included in the database but excluded from the primary analysis, as team event scoring involves a different competitive structure.</w:t>
      </w:r>
    </w:p>
    <w:bookmarkEnd w:id="30"/>
    <w:bookmarkStart w:id="31" w:name="judge-identification"/>
    <w:p>
      <w:pPr>
        <w:pStyle w:val="Heading3"/>
      </w:pPr>
      <w:r>
        <w:t xml:space="preserve">4.5 Judge Identification</w:t>
      </w:r>
    </w:p>
    <w:p>
      <w:pPr>
        <w:pStyle w:val="FirstParagraph"/>
      </w:pPr>
      <w:r>
        <w:t xml:space="preserve">Judges are identified in the database by their anonymous panel position (J1–J9) within each event. Judge names and country codes, where printed on the ISU scoring sheet panel header, are stored alongside position labels. However, no cross-event identity linking is performed: the same judge appearing in multiple events is not merged across events. All statistical tests in this paper are event-local — no cross-competition information about named judges is used.</w:t>
      </w:r>
    </w:p>
    <w:p>
      <w:pPr>
        <w:pStyle w:val="BodyText"/>
      </w:pPr>
      <w:r>
        <w:t xml:space="preserve">This design decision reflects both a methodological and a normative choice. Methodologically, event-local analysis avoids the risk of false positives arising from cross-event aggregation of judges with similar national styles. Normatively, the OSNR is designed to be implementable using only the information available within a single event, without requiring any historical dossier on individual judges.</w:t>
      </w:r>
    </w:p>
    <w:p>
      <w:r>
        <w:pict>
          <v:rect style="width:0;height:1.5pt" o:hralign="center" o:hrstd="t" o:hr="t"/>
        </w:pict>
      </w:r>
    </w:p>
    <w:p>
      <w:pPr>
        <w:pStyle w:val="FirstParagraph"/>
      </w:pPr>
      <w:r>
        <w:rPr>
          <w:i/>
          <w:iCs/>
        </w:rPr>
        <w:t>5. Empirical Results</w:t>
        <w:br/>
        <w:br/>
        <w:t>5.1 Overview</w:t>
        <w:br/>
        <w:br/>
        <w:t>Across all 136 primary competition segments, the exact combinatorial permutation test produces 264,854 pairwise judge-competitor comparison p-values. Of these, 11,039 reach the Tier 1 significance threshold (p ≤ 0.01) and 1,774 reach the Tier 2 statistical threshold (p ≤ 0.001). Under the full two-tier OSNR rule, which requires both p ≤ 0.001 and an outcome-determinative LOJO result, 46 events contain at least one qualifying judge-pair comparison.</w:t>
        <w:br/>
        <w:br/>
        <w:t>Tier 2 flags are distributed across all four disciplines: Men's Singles (15 events), Women's Singles (13 events), Pair Skating (10 events), and Ice Dance (8 events). Two events at the 2026 Olympic Winter Games carry Tier 2 flags.</w:t>
        <w:br/>
        <w:br/>
        <w:t>5.2 Operating Characteristics</w:t>
        <w:br/>
        <w:br/>
        <w:t>[To be completed: false positive rate calibration, distribution of p-values, comparison of flag rates by discipline and competition type.]</w:t>
        <w:br/>
        <w:br/>
        <w:t>5.3 Judge-Level Patterns</w:t>
        <w:br/>
        <w:br/>
        <w:t>[To be completed: proportion of judges with at least one Tier 1 flag per event, distribution of maximum z-scores, cross-event patterns where identifiable.]</w:t>
        <w:br/>
        <w:br/>
        <w:t>6. Case Study: Milano–Cortina 2026 Olympic Ice Dance Final</w:t>
        <w:br/>
        <w:br/>
        <w:t>[To be completed: detailed walkthrough of the FD and RD findings for the outlying judge, LOJO counterfactual showing gold–silver reversal, p = 4.6×10⁻⁵.]</w:t>
        <w:br/>
        <w:br/>
        <w:t>7. Policy Implications</w:t>
        <w:br/>
        <w:br/>
        <w:t>[To be completed: OSNR implementation proposal, ISU governance context, precedent from FIG gymnastics adoption of similar framework (Heiniger &amp; Mercier 2021).]</w:t>
        <w:br/>
        <w:br/>
        <w:t>8. Limitations and Future Work</w:t>
        <w:br/>
        <w:br/>
        <w:t>[To be completed: exchangeability assumption, national judging styles, cross-event aggregation, extension to larger dataset.]</w:t>
        <w:br/>
        <w:br/>
        <w:t>9. Conclusion</w:t>
        <w:br/>
        <w:br/>
        <w:t>[To be completed.]</w:t>
      </w:r>
    </w:p>
    <w:p>
      <w:r>
        <w:pict>
          <v:rect style="width:0;height:1.5pt" o:hralign="center" o:hrstd="t" o:hr="t"/>
        </w:pict>
      </w:r>
    </w:p>
    <w:bookmarkEnd w:id="31"/>
    <w:bookmarkEnd w:id="32"/>
    <w:bookmarkStart w:id="33" w:name="X2186ac02a647e90a87feb22b30fa65983500e03"/>
    <w:p>
      <w:pPr>
        <w:pStyle w:val="Heading2"/>
      </w:pPr>
      <w:r>
        <w:t xml:space="preserve">Appendix A — Extreme-Rank Statistic (Supplementary)</w:t>
      </w:r>
    </w:p>
    <w:p>
      <w:pPr>
        <w:pStyle w:val="FirstParagraph"/>
      </w:pPr>
      <w:r>
        <w:t xml:space="preserve">As a descriptive supplement to the primary permutation test, an</w:t>
      </w:r>
      <w:r>
        <w:t xml:space="preserve"> </w:t>
      </w:r>
      <w:r>
        <w:rPr>
          <w:b/>
          <w:bCs/>
        </w:rPr>
        <w:t xml:space="preserve">extreme-rank statistic</w:t>
      </w:r>
      <w:r>
        <w:t xml:space="preserve"> </w:t>
      </w:r>
      <w:r>
        <w:t xml:space="preserve">counts how often a given judge’s score is the single highest on a unit for the higher-ranked competitor and/or the single lowest on a unit for the lower-ranked competitor. This statistic has intuitive appeal — a judge who is always the most extreme in a consistent direction is easy to visualize — but it is not recommended as the primary test for two reasons. First, unit outcomes are not independent, violating the assumptions needed for a clean binomial calculation. Second, it is less sensitive than B(j) to consistent moderate deviations that never reach the extreme rank but are directionally systematic across many elements.</w:t>
      </w:r>
    </w:p>
    <w:p>
      <w:pPr>
        <w:pStyle w:val="BodyText"/>
      </w:pPr>
      <w:r>
        <w:t xml:space="preserve">For reference, the extreme-rank statistic for the outlying judge in the Milano–Cortina 2026 ice dance case study was: Free Dance: 18 extremes out of 24 scored units; Rhythm Dance: 10 extremes out of 16 units; combined: 28 out of 40. Under a naïve binomial approximation treating units as independent with p = 2/9, P[X ≥ 28] ≈ 1.6×10⁻¹⁰.</w:t>
      </w:r>
    </w:p>
    <w:p>
      <w:r>
        <w:pict>
          <v:rect style="width:0;height:1.5pt" o:hralign="center" o:hrstd="t" o:hr="t"/>
        </w:pict>
      </w:r>
    </w:p>
    <w:bookmarkEnd w:id="33"/>
    <w:bookmarkStart w:id="34" w:name="X37b9b4f0a47c26aff8bc6cfdf79bb60b2b4b04a"/>
    <w:p>
      <w:pPr>
        <w:pStyle w:val="Heading2"/>
      </w:pPr>
      <w:r>
        <w:t>Appendix B — Exact Permutation Algorithm (Pseudocode)</w:t>
      </w:r>
    </w:p>
    <w:p>
      <w:pPr>
        <w:pStyle w:val="FirstParagraph"/>
      </w:pPr>
      <w:r>
        <w:rPr>
          <w:b/>
          <w:bCs/>
        </w:rPr>
        <w:t>Input: Unit deviation scores d(u, j) for each scored unit u and judge j; a target statistic T (e.g., B(j) for a fixed competitor pair (A, B)); k = number of elements per competitor.</w:t>
      </w:r>
      <w:r/>
      <w:r/>
    </w:p>
    <w:p>
      <w:pPr>
        <w:pStyle w:val="SourceCode"/>
      </w:pPr>
      <w:r>
        <w:rPr>
          <w:rStyle w:val="VerbatimChar"/>
        </w:rPr>
        <w:t>1. Pool ← concatenate deviations for A's k elements and B's k elements  [length 2k]</w:t>
        <w:br/>
        <w:t>2. Compute T_obs = mean(A deviations) − mean(B deviations)</w:t>
        <w:br/>
        <w:t>3. total ← C(2k, k)   [e.g. 48,620 for k=9; 2,704,156 for k=12]</w:t>
        <w:br/>
        <w:t>4. extreme_count ← 0</w:t>
        <w:br/>
        <w:t>5. For each combination C of k indices chosen from {0, 1, …, 2k−1}:</w:t>
        <w:br/>
        <w:t xml:space="preserve">   a. group_A ← Pool[C];   group_B ← Pool[complement of C]</w:t>
        <w:br/>
        <w:t xml:space="preserve">   b. T_sim ← mean(group_A) − mean(group_B)</w:t>
        <w:br/>
        <w:t xml:space="preserve">   c. If T_sim ≥ T_obs (for positive observed direction), increment extreme_count</w:t>
        <w:br/>
        <w:t>6. p-value ← extreme_count / total</w:t>
        <w:br/>
        <w:t>Note: sum(group_B) = total_sum − sum(group_A), so step 5b requires only one sum per iteration.</w:t>
      </w:r>
      <w:r/>
      <w:r>
        <w:rPr>
          <w:rStyle w:val="VerbatimChar"/>
        </w:rPr>
      </w:r>
      <w:r/>
      <w:r>
        <w:rPr>
          <w:rStyle w:val="VerbatimChar"/>
        </w:rPr>
      </w:r>
      <w:r/>
      <w:r>
        <w:rPr>
          <w:rStyle w:val="VerbatimChar"/>
        </w:rPr>
      </w:r>
      <w:r/>
      <w:r>
        <w:rPr>
          <w:rStyle w:val="VerbatimChar"/>
        </w:rPr>
      </w:r>
      <w:r/>
      <w:r>
        <w:rPr>
          <w:rStyle w:val="VerbatimChar"/>
        </w:rPr>
      </w:r>
      <w:r/>
      <w:r>
        <w:rPr>
          <w:rStyle w:val="VerbatimChar"/>
        </w:rPr>
      </w:r>
    </w:p>
    <w:p>
      <w:pPr>
        <w:pStyle w:val="FirstParagraph"/>
      </w:pPr>
      <w:r>
        <w:t>The within-unit enumeration preserves the empirical distribution of marks for each unit while evaluating every possible reassignment of scores to judge positions. No parametric assumptions are required. The p-value is an exact fraction — not an approximation — so there is no minimum-p correction needed (contrast with Monte Carlo estimates, which require the Phipson–Smyth +1 adjustment to avoid p = 0). The procedure is computationally feasible for all program types in the IJS dataset: the most expensive events (k = 12, Free Skating with 24 competitors) require C(24,12) × C(24,2) × 9 ≈ 6.7 billion split evaluations per event, completable in under 40 minutes per event on a standard laptop using vectorized computation.</w:t>
      </w:r>
    </w:p>
    <w:p>
      <w:r>
        <w:pict>
          <v:rect style="width:0;height:1.5pt" o:hralign="center" o:hrstd="t" o:hr="t"/>
        </w:pict>
      </w:r>
    </w:p>
    <w:bookmarkEnd w:id="34"/>
    <w:bookmarkStart w:id="35" w:name="references"/>
    <w:p>
      <w:pPr>
        <w:pStyle w:val="Heading2"/>
      </w:pPr>
      <w:r>
        <w:t xml:space="preserve">References</w:t>
      </w:r>
    </w:p>
    <w:p>
      <w:pPr>
        <w:pStyle w:val="FirstParagraph"/>
      </w:pPr>
      <w:r>
        <w:rPr>
          <w:b/>
          <w:bCs/>
        </w:rPr>
        <w:t xml:space="preserve">ISU and Official Sources</w:t>
      </w:r>
    </w:p>
    <w:p>
      <w:pPr>
        <w:pStyle w:val="Compact"/>
        <w:numPr>
          <w:ilvl w:val="0"/>
          <w:numId w:val="1005"/>
        </w:numPr>
      </w:pPr>
      <w:r>
        <w:t xml:space="preserve">ISU Constitution and General Regulations 2024. International Skating Union.</w:t>
      </w:r>
    </w:p>
    <w:p>
      <w:pPr>
        <w:pStyle w:val="Compact"/>
        <w:numPr>
          <w:ilvl w:val="0"/>
          <w:numId w:val="1005"/>
        </w:numPr>
      </w:pPr>
      <w:r>
        <w:t xml:space="preserve">ISU Code of Ethics 2025. International Skating Union.</w:t>
      </w:r>
    </w:p>
    <w:p>
      <w:pPr>
        <w:pStyle w:val="Compact"/>
        <w:numPr>
          <w:ilvl w:val="0"/>
          <w:numId w:val="1005"/>
        </w:numPr>
      </w:pPr>
      <w:r>
        <w:t xml:space="preserve">ISU,</w:t>
      </w:r>
      <w:r>
        <w:t xml:space="preserve"> </w:t>
      </w:r>
      <w:r>
        <w:t xml:space="preserve">“How is Figure Skating Judged?”</w:t>
      </w:r>
      <w:r>
        <w:t xml:space="preserve"> </w:t>
      </w:r>
      <w:r>
        <w:t xml:space="preserve">ISU Sports Rules webpage.</w:t>
      </w:r>
    </w:p>
    <w:p>
      <w:pPr>
        <w:pStyle w:val="Compact"/>
        <w:numPr>
          <w:ilvl w:val="0"/>
          <w:numId w:val="1005"/>
        </w:numPr>
      </w:pPr>
      <w:r>
        <w:t xml:space="preserve">ISU Results, Olympic Winter Games 2026 (Milano–Cortina), Ice Dance scoring sheets.</w:t>
      </w:r>
    </w:p>
    <w:p>
      <w:pPr>
        <w:pStyle w:val="Compact"/>
        <w:numPr>
          <w:ilvl w:val="0"/>
          <w:numId w:val="1005"/>
        </w:numPr>
      </w:pPr>
      <w:r>
        <w:t xml:space="preserve">Reuters.</w:t>
      </w:r>
      <w:r>
        <w:t xml:space="preserve"> </w:t>
      </w:r>
      <w:r>
        <w:t xml:space="preserve">“ISU probes Olympic ice dance judging scandal.”</w:t>
      </w:r>
      <w:r>
        <w:t xml:space="preserve"> </w:t>
      </w:r>
      <w:r>
        <w:t xml:space="preserve">February 12, 2026.</w:t>
      </w:r>
    </w:p>
    <w:p>
      <w:pPr>
        <w:pStyle w:val="FirstParagraph"/>
      </w:pPr>
      <w:r>
        <w:rPr>
          <w:b/>
          <w:bCs/>
        </w:rPr>
        <w:t xml:space="preserve">Figure Skating — Nationalistic and Panel Bias</w:t>
      </w:r>
    </w:p>
    <w:p>
      <w:pPr>
        <w:pStyle w:val="Compact"/>
        <w:numPr>
          <w:ilvl w:val="0"/>
          <w:numId w:val="1006"/>
        </w:numPr>
      </w:pPr>
      <w:r>
        <w:t xml:space="preserve">Braeunig, P. A. (2025a). Patriotic bias in sports judging: A matter of juror and athlete socialization at the national level.</w:t>
      </w:r>
      <w:r>
        <w:t xml:space="preserve"> </w:t>
      </w:r>
      <w:r>
        <w:rPr>
          <w:i/>
          <w:iCs/>
        </w:rPr>
        <w:t xml:space="preserve">Cogent Social Sciences</w:t>
      </w:r>
      <w:r>
        <w:t xml:space="preserve">, 11(1), Article 2557014.</w:t>
      </w:r>
    </w:p>
    <w:p>
      <w:pPr>
        <w:pStyle w:val="Compact"/>
        <w:numPr>
          <w:ilvl w:val="0"/>
          <w:numId w:val="1006"/>
        </w:numPr>
      </w:pPr>
      <w:r>
        <w:t xml:space="preserve">Braeunig, P. A. (2025b). National bias in international sports judging: A scoping review.</w:t>
      </w:r>
      <w:r>
        <w:t xml:space="preserve"> </w:t>
      </w:r>
      <w:r>
        <w:rPr>
          <w:i/>
          <w:iCs/>
        </w:rPr>
        <w:t xml:space="preserve">Cogent Social Sciences</w:t>
      </w:r>
      <w:r>
        <w:t xml:space="preserve">, 11(1), Article 2594841.</w:t>
      </w:r>
    </w:p>
    <w:p>
      <w:pPr>
        <w:pStyle w:val="Compact"/>
        <w:numPr>
          <w:ilvl w:val="0"/>
          <w:numId w:val="1006"/>
        </w:numPr>
      </w:pPr>
      <w:r>
        <w:t xml:space="preserve">Campbell, B., &amp; Galbraith, J. (1996). Nonparametric tests of the unbiasedness of Olympic figure-skating judgments.</w:t>
      </w:r>
      <w:r>
        <w:t xml:space="preserve"> </w:t>
      </w:r>
      <w:r>
        <w:rPr>
          <w:i/>
          <w:iCs/>
        </w:rPr>
        <w:t xml:space="preserve">Journal of the Royal Statistical Society: Series D (The Statistician)</w:t>
      </w:r>
      <w:r>
        <w:t xml:space="preserve">, 45(4), 521–526.</w:t>
      </w:r>
    </w:p>
    <w:p>
      <w:pPr>
        <w:pStyle w:val="Compact"/>
        <w:numPr>
          <w:ilvl w:val="0"/>
          <w:numId w:val="1006"/>
        </w:numPr>
      </w:pPr>
      <w:r>
        <w:t xml:space="preserve">Cheng, D., Gonzalez, J. B., Liu, J., &amp; Stulman, G. (2024). Data analytics in figure skating scoring. In B. Sriraman (Ed.),</w:t>
      </w:r>
      <w:r>
        <w:t xml:space="preserve"> </w:t>
      </w:r>
      <w:r>
        <w:rPr>
          <w:i/>
          <w:iCs/>
        </w:rPr>
        <w:t xml:space="preserve">Handbook of Visual, Experimental and Computational Mathematics</w:t>
      </w:r>
      <w:r>
        <w:t xml:space="preserve">. Springer.</w:t>
      </w:r>
    </w:p>
    <w:p>
      <w:pPr>
        <w:pStyle w:val="Compact"/>
        <w:numPr>
          <w:ilvl w:val="0"/>
          <w:numId w:val="1006"/>
        </w:numPr>
      </w:pPr>
      <w:r>
        <w:t xml:space="preserve">Dumoulin, V., &amp; Mercier, H. (2020). Accuracy and national bias of figure skating judges: The good, the bad and the ugly.</w:t>
      </w:r>
      <w:r>
        <w:t xml:space="preserve"> </w:t>
      </w:r>
      <w:r>
        <w:rPr>
          <w:i/>
          <w:iCs/>
        </w:rPr>
        <w:t xml:space="preserve">14th MIT Sloan Sports Analytics Conference</w:t>
      </w:r>
      <w:r>
        <w:t xml:space="preserve">, Paper ID 1548706.</w:t>
      </w:r>
    </w:p>
    <w:p>
      <w:pPr>
        <w:pStyle w:val="Compact"/>
        <w:numPr>
          <w:ilvl w:val="0"/>
          <w:numId w:val="1006"/>
        </w:numPr>
      </w:pPr>
      <w:r>
        <w:t xml:space="preserve">Findlay, L. C., &amp; Ste-Marie, D. M. (2004). A reputation bias in figure skating judging.</w:t>
      </w:r>
      <w:r>
        <w:t xml:space="preserve"> </w:t>
      </w:r>
      <w:r>
        <w:rPr>
          <w:i/>
          <w:iCs/>
        </w:rPr>
        <w:t xml:space="preserve">Journal of Sport and Exercise Psychology</w:t>
      </w:r>
      <w:r>
        <w:t xml:space="preserve">, 26(1), 154–166.</w:t>
      </w:r>
    </w:p>
    <w:p>
      <w:pPr>
        <w:pStyle w:val="Compact"/>
        <w:numPr>
          <w:ilvl w:val="0"/>
          <w:numId w:val="1006"/>
        </w:numPr>
      </w:pPr>
      <w:r>
        <w:t xml:space="preserve">Lee, J. (2008). Outlier aversion in subjective evaluation: Evidence from world figure skating championships.</w:t>
      </w:r>
      <w:r>
        <w:t xml:space="preserve"> </w:t>
      </w:r>
      <w:r>
        <w:rPr>
          <w:i/>
          <w:iCs/>
        </w:rPr>
        <w:t xml:space="preserve">Journal of Sports Economics</w:t>
      </w:r>
      <w:r>
        <w:t xml:space="preserve">, 9(2), 141–159.</w:t>
      </w:r>
    </w:p>
    <w:p>
      <w:pPr>
        <w:pStyle w:val="Compact"/>
        <w:numPr>
          <w:ilvl w:val="0"/>
          <w:numId w:val="1006"/>
        </w:numPr>
      </w:pPr>
      <w:r>
        <w:t xml:space="preserve">Sala, B. R., Scott, J. T., &amp; Spriggs, J. F. (2007). The cold war on ice: Constructivism and the politics of Olympic figure skating judging.</w:t>
      </w:r>
      <w:r>
        <w:t xml:space="preserve"> </w:t>
      </w:r>
      <w:r>
        <w:rPr>
          <w:i/>
          <w:iCs/>
        </w:rPr>
        <w:t xml:space="preserve">Perspectives on Politics</w:t>
      </w:r>
      <w:r>
        <w:t xml:space="preserve">, 5(1), 17–29.</w:t>
      </w:r>
    </w:p>
    <w:p>
      <w:pPr>
        <w:pStyle w:val="Compact"/>
        <w:numPr>
          <w:ilvl w:val="0"/>
          <w:numId w:val="1006"/>
        </w:numPr>
      </w:pPr>
      <w:r>
        <w:t xml:space="preserve">Seltzer, R., &amp; Glass, W. (1991). International politics and judging in Olympic skating events: 1968–1988.</w:t>
      </w:r>
      <w:r>
        <w:t xml:space="preserve"> </w:t>
      </w:r>
      <w:r>
        <w:rPr>
          <w:i/>
          <w:iCs/>
        </w:rPr>
        <w:t xml:space="preserve">Journal of Sports Behavior</w:t>
      </w:r>
      <w:r>
        <w:t xml:space="preserve">, 14, 189–200.</w:t>
      </w:r>
    </w:p>
    <w:p>
      <w:pPr>
        <w:pStyle w:val="Compact"/>
        <w:numPr>
          <w:ilvl w:val="0"/>
          <w:numId w:val="1006"/>
        </w:numPr>
      </w:pPr>
      <w:r>
        <w:t xml:space="preserve">Whissell, R., Lyons, S., Wilkinson, D., &amp; Whissell, C. (1993). National bias in judgments of Olympic-level skating.</w:t>
      </w:r>
      <w:r>
        <w:t xml:space="preserve"> </w:t>
      </w:r>
      <w:r>
        <w:rPr>
          <w:i/>
          <w:iCs/>
        </w:rPr>
        <w:t xml:space="preserve">Perceptual and Motor Skills</w:t>
      </w:r>
      <w:r>
        <w:t xml:space="preserve">, 77(2), 355–358.</w:t>
      </w:r>
    </w:p>
    <w:p>
      <w:pPr>
        <w:pStyle w:val="Compact"/>
        <w:numPr>
          <w:ilvl w:val="0"/>
          <w:numId w:val="1006"/>
        </w:numPr>
      </w:pPr>
      <w:r>
        <w:t xml:space="preserve">Zhu, J. M. (2018).</w:t>
      </w:r>
      <w:r>
        <w:t xml:space="preserve"> </w:t>
      </w:r>
      <w:r>
        <w:rPr>
          <w:i/>
          <w:iCs/>
        </w:rPr>
        <w:t xml:space="preserve">Figure skating scores: Prediction and assessing bias.</w:t>
      </w:r>
      <w:r>
        <w:t xml:space="preserve"> </w:t>
      </w:r>
      <w:r>
        <w:t xml:space="preserve">Bachelor’s thesis, Harvard College.</w:t>
      </w:r>
    </w:p>
    <w:p>
      <w:pPr>
        <w:pStyle w:val="Compact"/>
        <w:numPr>
          <w:ilvl w:val="0"/>
          <w:numId w:val="1006"/>
        </w:numPr>
      </w:pPr>
      <w:r>
        <w:t xml:space="preserve">Zitzewitz, E. (2006). Nationalism in winter sports judging and its lessons for organizational decision making.</w:t>
      </w:r>
      <w:r>
        <w:t xml:space="preserve"> </w:t>
      </w:r>
      <w:r>
        <w:rPr>
          <w:i/>
          <w:iCs/>
        </w:rPr>
        <w:t xml:space="preserve">Journal of Economics &amp; Management Strategy</w:t>
      </w:r>
      <w:r>
        <w:t xml:space="preserve">, 15(1), 67–99.</w:t>
      </w:r>
    </w:p>
    <w:p>
      <w:pPr>
        <w:pStyle w:val="Compact"/>
        <w:numPr>
          <w:ilvl w:val="0"/>
          <w:numId w:val="1006"/>
        </w:numPr>
      </w:pPr>
      <w:r>
        <w:t xml:space="preserve">Zitzewitz, E. (2014). Does transparency reduce favoritism and corruption? Evidence from the reform of figure skating judging.</w:t>
      </w:r>
      <w:r>
        <w:t xml:space="preserve"> </w:t>
      </w:r>
      <w:r>
        <w:rPr>
          <w:i/>
          <w:iCs/>
        </w:rPr>
        <w:t xml:space="preserve">Journal of Sports Economics</w:t>
      </w:r>
      <w:r>
        <w:t xml:space="preserve">, 15(1), 3–30.</w:t>
      </w:r>
    </w:p>
    <w:p>
      <w:pPr>
        <w:pStyle w:val="FirstParagraph"/>
      </w:pPr>
      <w:r>
        <w:rPr>
          <w:b/>
          <w:bCs/>
        </w:rPr>
        <w:t xml:space="preserve">Gymnastics</w:t>
      </w:r>
    </w:p>
    <w:p>
      <w:pPr>
        <w:pStyle w:val="Compact"/>
        <w:numPr>
          <w:ilvl w:val="0"/>
          <w:numId w:val="1007"/>
        </w:numPr>
      </w:pPr>
      <w:r>
        <w:t xml:space="preserve">Ansorge, C. J., &amp; Scheer, J. K. (1988). International bias detected in judging gymnastic competition at the 1984 Olympic Games.</w:t>
      </w:r>
      <w:r>
        <w:t xml:space="preserve"> </w:t>
      </w:r>
      <w:r>
        <w:rPr>
          <w:i/>
          <w:iCs/>
        </w:rPr>
        <w:t xml:space="preserve">Research Quarterly for Exercise and Sport</w:t>
      </w:r>
      <w:r>
        <w:t xml:space="preserve">, 59(2), 103–107.</w:t>
      </w:r>
    </w:p>
    <w:p>
      <w:pPr>
        <w:pStyle w:val="Compact"/>
        <w:numPr>
          <w:ilvl w:val="0"/>
          <w:numId w:val="1007"/>
        </w:numPr>
      </w:pPr>
      <w:r>
        <w:t xml:space="preserve">Boen, F., van Hoye, K., Vanden Auweele, Y., Feys, J., &amp; Smits, T. (2008). Open feedback in gymnastic judging causes conformity bias based on informational influencing.</w:t>
      </w:r>
      <w:r>
        <w:t xml:space="preserve"> </w:t>
      </w:r>
      <w:r>
        <w:rPr>
          <w:i/>
          <w:iCs/>
        </w:rPr>
        <w:t xml:space="preserve">Journal of Sports Sciences</w:t>
      </w:r>
      <w:r>
        <w:t xml:space="preserve">, 26(6), 621–628.</w:t>
      </w:r>
    </w:p>
    <w:p>
      <w:pPr>
        <w:pStyle w:val="Compact"/>
        <w:numPr>
          <w:ilvl w:val="0"/>
          <w:numId w:val="1007"/>
        </w:numPr>
      </w:pPr>
      <w:r>
        <w:t xml:space="preserve">Damisch, L., Mussweiler, T., &amp; Plessner, H. (2006). Olympic medals as fruits of comparison? Assimilation and contrast in sequential performance judgments.</w:t>
      </w:r>
      <w:r>
        <w:t xml:space="preserve"> </w:t>
      </w:r>
      <w:r>
        <w:rPr>
          <w:i/>
          <w:iCs/>
        </w:rPr>
        <w:t xml:space="preserve">Journal of Experimental Psychology: Applied</w:t>
      </w:r>
      <w:r>
        <w:t xml:space="preserve">, 12(3), 166–178.</w:t>
      </w:r>
    </w:p>
    <w:p>
      <w:pPr>
        <w:pStyle w:val="Compact"/>
        <w:numPr>
          <w:ilvl w:val="0"/>
          <w:numId w:val="1007"/>
        </w:numPr>
      </w:pPr>
      <w:r>
        <w:t xml:space="preserve">Heiniger, S., &amp; Mercier, H. (2021). Judging the judges: Evaluating the accuracy and national bias of international gymnastics judges.</w:t>
      </w:r>
      <w:r>
        <w:t xml:space="preserve"> </w:t>
      </w:r>
      <w:r>
        <w:rPr>
          <w:i/>
          <w:iCs/>
        </w:rPr>
        <w:t xml:space="preserve">Journal of Quantitative Analysis in Sports</w:t>
      </w:r>
      <w:r>
        <w:t xml:space="preserve">, 17(4), 289–305.</w:t>
      </w:r>
    </w:p>
    <w:p>
      <w:pPr>
        <w:pStyle w:val="Compact"/>
        <w:numPr>
          <w:ilvl w:val="0"/>
          <w:numId w:val="1007"/>
        </w:numPr>
      </w:pPr>
      <w:r>
        <w:t xml:space="preserve">Morgan, H. N., &amp; Rotthoff, K. W. (2014). The harder the task, the higher the score: Findings of a difficulty bias.</w:t>
      </w:r>
      <w:r>
        <w:t xml:space="preserve"> </w:t>
      </w:r>
      <w:r>
        <w:rPr>
          <w:i/>
          <w:iCs/>
        </w:rPr>
        <w:t xml:space="preserve">Economic Inquiry</w:t>
      </w:r>
      <w:r>
        <w:t xml:space="preserve">, 52(3), 1014–1026.</w:t>
      </w:r>
    </w:p>
    <w:p>
      <w:pPr>
        <w:pStyle w:val="Compact"/>
        <w:numPr>
          <w:ilvl w:val="0"/>
          <w:numId w:val="1007"/>
        </w:numPr>
      </w:pPr>
      <w:r>
        <w:t xml:space="preserve">Plessner, H. (1999). Expectation biases in gymnastics judging.</w:t>
      </w:r>
      <w:r>
        <w:t xml:space="preserve"> </w:t>
      </w:r>
      <w:r>
        <w:rPr>
          <w:i/>
          <w:iCs/>
        </w:rPr>
        <w:t xml:space="preserve">Journal of Sport and Exercise Psychology</w:t>
      </w:r>
      <w:r>
        <w:t xml:space="preserve">, 21(2), 131–144.</w:t>
      </w:r>
    </w:p>
    <w:p>
      <w:pPr>
        <w:pStyle w:val="Compact"/>
        <w:numPr>
          <w:ilvl w:val="0"/>
          <w:numId w:val="1007"/>
        </w:numPr>
      </w:pPr>
      <w:r>
        <w:t xml:space="preserve">Rotthoff, K. W. (2020). Revisiting difficulty bias, and other forms of bias, in elite level gymnastics.</w:t>
      </w:r>
      <w:r>
        <w:t xml:space="preserve"> </w:t>
      </w:r>
      <w:r>
        <w:rPr>
          <w:i/>
          <w:iCs/>
        </w:rPr>
        <w:t xml:space="preserve">Journal of Sports Analytics</w:t>
      </w:r>
      <w:r>
        <w:t xml:space="preserve">, 6(1), 1–11.</w:t>
      </w:r>
    </w:p>
    <w:p>
      <w:pPr>
        <w:pStyle w:val="FirstParagraph"/>
      </w:pPr>
      <w:r>
        <w:rPr>
          <w:b/>
          <w:bCs/>
        </w:rPr>
        <w:t xml:space="preserve">Diving</w:t>
      </w:r>
    </w:p>
    <w:p>
      <w:pPr>
        <w:pStyle w:val="Compact"/>
        <w:numPr>
          <w:ilvl w:val="0"/>
          <w:numId w:val="1008"/>
        </w:numPr>
      </w:pPr>
      <w:r>
        <w:t xml:space="preserve">Emerson, J. W., Seltzer, M., &amp; Lin, D. (2009). Assessing judging bias: An example from the 2000 Olympic Games.</w:t>
      </w:r>
      <w:r>
        <w:t xml:space="preserve"> </w:t>
      </w:r>
      <w:r>
        <w:rPr>
          <w:i/>
          <w:iCs/>
        </w:rPr>
        <w:t xml:space="preserve">The American Statistician</w:t>
      </w:r>
      <w:r>
        <w:t xml:space="preserve">, 63(2), 124–131.</w:t>
      </w:r>
    </w:p>
    <w:p>
      <w:pPr>
        <w:pStyle w:val="Compact"/>
        <w:numPr>
          <w:ilvl w:val="0"/>
          <w:numId w:val="1008"/>
        </w:numPr>
      </w:pPr>
      <w:r>
        <w:t xml:space="preserve">Emerson, J. W., &amp; Meredith, S. (2011). Nationalistic judging bias in the 2000 Olympic diving competition.</w:t>
      </w:r>
      <w:r>
        <w:t xml:space="preserve"> </w:t>
      </w:r>
      <w:r>
        <w:rPr>
          <w:i/>
          <w:iCs/>
        </w:rPr>
        <w:t xml:space="preserve">Math Horizons</w:t>
      </w:r>
      <w:r>
        <w:t xml:space="preserve">, 18(3), 8–11.</w:t>
      </w:r>
    </w:p>
    <w:p>
      <w:pPr>
        <w:pStyle w:val="FirstParagraph"/>
      </w:pPr>
      <w:r>
        <w:rPr>
          <w:b/>
          <w:bCs/>
        </w:rPr>
        <w:t xml:space="preserve">Dressage</w:t>
      </w:r>
    </w:p>
    <w:p>
      <w:pPr>
        <w:pStyle w:val="Compact"/>
        <w:numPr>
          <w:ilvl w:val="0"/>
          <w:numId w:val="1009"/>
        </w:numPr>
      </w:pPr>
      <w:r>
        <w:t xml:space="preserve">Sandberg, A. (2018). Competing identities: A field study of in-group bias among professional evaluators.</w:t>
      </w:r>
      <w:r>
        <w:t xml:space="preserve"> </w:t>
      </w:r>
      <w:r>
        <w:rPr>
          <w:i/>
          <w:iCs/>
        </w:rPr>
        <w:t xml:space="preserve">The Economic Journal</w:t>
      </w:r>
      <w:r>
        <w:t xml:space="preserve">, 128(613), 2131–2159.</w:t>
      </w:r>
    </w:p>
    <w:p>
      <w:pPr>
        <w:pStyle w:val="Compact"/>
        <w:numPr>
          <w:ilvl w:val="0"/>
          <w:numId w:val="1009"/>
        </w:numPr>
      </w:pPr>
      <w:r>
        <w:t xml:space="preserve">Wolframm, I. (2023). Let them be the judge of that: Bias cascade in elite dressage judging.</w:t>
      </w:r>
      <w:r>
        <w:t xml:space="preserve"> </w:t>
      </w:r>
      <w:r>
        <w:rPr>
          <w:i/>
          <w:iCs/>
        </w:rPr>
        <w:t xml:space="preserve">Animals (Basel)</w:t>
      </w:r>
      <w:r>
        <w:t xml:space="preserve">, 13(17), Article 2797.</w:t>
      </w:r>
    </w:p>
    <w:p>
      <w:pPr>
        <w:pStyle w:val="FirstParagraph"/>
      </w:pPr>
      <w:r>
        <w:rPr>
          <w:b/>
          <w:bCs/>
        </w:rPr>
        <w:t xml:space="preserve">Ski Jumping</w:t>
      </w:r>
    </w:p>
    <w:p>
      <w:pPr>
        <w:pStyle w:val="Compact"/>
        <w:numPr>
          <w:ilvl w:val="0"/>
          <w:numId w:val="1010"/>
        </w:numPr>
      </w:pPr>
      <w:r>
        <w:t xml:space="preserve">Krumer, A., Otto, F., &amp; Pawlowski, T. (2022). Nationalistic bias among international experts: Evidence from professional ski jumping.</w:t>
      </w:r>
      <w:r>
        <w:t xml:space="preserve"> </w:t>
      </w:r>
      <w:r>
        <w:rPr>
          <w:i/>
          <w:iCs/>
        </w:rPr>
        <w:t xml:space="preserve">Scandinavian Journal of Economics</w:t>
      </w:r>
      <w:r>
        <w:t xml:space="preserve">, 124(1), 278–300.</w:t>
      </w:r>
    </w:p>
    <w:p>
      <w:pPr>
        <w:pStyle w:val="FirstParagraph"/>
      </w:pPr>
      <w:r>
        <w:rPr>
          <w:b/>
          <w:bCs/>
        </w:rPr>
        <w:t xml:space="preserve">Referee Bias and Home Advantage</w:t>
      </w:r>
    </w:p>
    <w:p>
      <w:pPr>
        <w:pStyle w:val="Compact"/>
        <w:numPr>
          <w:ilvl w:val="0"/>
          <w:numId w:val="1011"/>
        </w:numPr>
      </w:pPr>
      <w:r>
        <w:t xml:space="preserve">Dohmen, T. J., &amp; Sauermann, J. (2016). Referee bias.</w:t>
      </w:r>
      <w:r>
        <w:t xml:space="preserve"> </w:t>
      </w:r>
      <w:r>
        <w:rPr>
          <w:i/>
          <w:iCs/>
        </w:rPr>
        <w:t xml:space="preserve">Journal of Economic Surveys</w:t>
      </w:r>
      <w:r>
        <w:t xml:space="preserve">, 30(4), 679–695.</w:t>
      </w:r>
    </w:p>
    <w:p>
      <w:pPr>
        <w:pStyle w:val="Compact"/>
        <w:numPr>
          <w:ilvl w:val="0"/>
          <w:numId w:val="1011"/>
        </w:numPr>
      </w:pPr>
      <w:r>
        <w:t xml:space="preserve">Garicano, L., Palacios-Huerta, I., &amp; Prendergast, C. (2005). Favoritism under social pressure.</w:t>
      </w:r>
      <w:r>
        <w:t xml:space="preserve"> </w:t>
      </w:r>
      <w:r>
        <w:rPr>
          <w:i/>
          <w:iCs/>
        </w:rPr>
        <w:t xml:space="preserve">The Review of Economics and Statistics</w:t>
      </w:r>
      <w:r>
        <w:t xml:space="preserve">, 87(2), 208–216.</w:t>
      </w:r>
    </w:p>
    <w:p>
      <w:pPr>
        <w:pStyle w:val="Compact"/>
        <w:numPr>
          <w:ilvl w:val="0"/>
          <w:numId w:val="1011"/>
        </w:numPr>
      </w:pPr>
      <w:r>
        <w:t xml:space="preserve">Pettersson-Lidbom, P., &amp; Priks, M. (2010). Behavior under social pressure: Empty Italian stadiums and referee bias.</w:t>
      </w:r>
      <w:r>
        <w:t xml:space="preserve"> </w:t>
      </w:r>
      <w:r>
        <w:rPr>
          <w:i/>
          <w:iCs/>
        </w:rPr>
        <w:t xml:space="preserve">Economics Letters</w:t>
      </w:r>
      <w:r>
        <w:t xml:space="preserve">, 108(2), 212–214.</w:t>
      </w:r>
    </w:p>
    <w:p>
      <w:pPr>
        <w:pStyle w:val="Compact"/>
        <w:numPr>
          <w:ilvl w:val="0"/>
          <w:numId w:val="1011"/>
        </w:numPr>
      </w:pPr>
      <w:r>
        <w:t xml:space="preserve">Price, J., &amp; Wolfers, J. (2010). Racial discrimination among NBA referees.</w:t>
      </w:r>
      <w:r>
        <w:t xml:space="preserve"> </w:t>
      </w:r>
      <w:r>
        <w:rPr>
          <w:i/>
          <w:iCs/>
        </w:rPr>
        <w:t xml:space="preserve">The Quarterly Journal of Economics</w:t>
      </w:r>
      <w:r>
        <w:t xml:space="preserve">, 125(4), 1859–1887.</w:t>
      </w:r>
    </w:p>
    <w:p>
      <w:pPr>
        <w:pStyle w:val="FirstParagraph"/>
      </w:pPr>
      <w:r>
        <w:rPr>
          <w:b/>
          <w:bCs/>
        </w:rPr>
        <w:t xml:space="preserve">Statistical Methods</w:t>
      </w:r>
    </w:p>
    <w:p>
      <w:pPr>
        <w:pStyle w:val="Compact"/>
        <w:numPr>
          <w:ilvl w:val="0"/>
          <w:numId w:val="1012"/>
        </w:numPr>
      </w:pPr>
      <w:r>
        <w:t xml:space="preserve">Efron, B., &amp; Tibshirani, R. J. (1993).</w:t>
      </w:r>
      <w:r>
        <w:t xml:space="preserve"> </w:t>
      </w:r>
      <w:r>
        <w:rPr>
          <w:i/>
          <w:iCs/>
        </w:rPr>
        <w:t xml:space="preserve">An introduction to the bootstrap.</w:t>
      </w:r>
      <w:r>
        <w:t xml:space="preserve"> </w:t>
      </w:r>
      <w:r>
        <w:t xml:space="preserve">Chapman &amp; Hall/CRC.</w:t>
      </w:r>
    </w:p>
    <w:p>
      <w:pPr>
        <w:pStyle w:val="Compact"/>
        <w:numPr>
          <w:ilvl w:val="0"/>
          <w:numId w:val="1012"/>
        </w:numPr>
      </w:pPr>
      <w:r>
        <w:t xml:space="preserve">Good, P. I. (2005).</w:t>
      </w:r>
      <w:r>
        <w:t xml:space="preserve"> </w:t>
      </w:r>
      <w:r>
        <w:rPr>
          <w:i/>
          <w:iCs/>
        </w:rPr>
        <w:t xml:space="preserve">Permutation, parametric, and bootstrap tests of hypotheses</w:t>
      </w:r>
      <w:r>
        <w:t xml:space="preserve"> </w:t>
      </w:r>
      <w:r>
        <w:t xml:space="preserve">(3rd ed.). Springer.</w:t>
      </w:r>
    </w:p>
    <w:p>
      <w:pPr>
        <w:pStyle w:val="Compact"/>
        <w:numPr>
          <w:ilvl w:val="0"/>
          <w:numId w:val="1012"/>
        </w:numPr>
      </w:pPr>
      <w:r>
        <w:t xml:space="preserve">Lehmann, E. L., &amp; Romano, J. P. (2005).</w:t>
      </w:r>
      <w:r>
        <w:t xml:space="preserve"> </w:t>
      </w:r>
      <w:r>
        <w:rPr>
          <w:i/>
          <w:iCs/>
        </w:rPr>
        <w:t xml:space="preserve">Testing statistical hypotheses</w:t>
      </w:r>
      <w:r>
        <w:t xml:space="preserve"> </w:t>
      </w:r>
      <w:r>
        <w:t xml:space="preserve">(3rd ed.). Springer.</w:t>
      </w:r>
    </w:p>
    <w:p>
      <w:pPr>
        <w:pStyle w:val="Compact"/>
        <w:numPr>
          <w:ilvl w:val="0"/>
          <w:numId w:val="1012"/>
        </w:numPr>
      </w:pPr>
      <w:r>
        <w:t xml:space="preserve">Phipson, B., &amp; Smyth, G. K. (2010). Permutation p-values should never be zero: Calculating exact p-values when permutations are randomly drawn.</w:t>
      </w:r>
      <w:r>
        <w:t xml:space="preserve"> </w:t>
      </w:r>
      <w:r>
        <w:rPr>
          <w:i/>
          <w:iCs/>
        </w:rPr>
        <w:t xml:space="preserve">Statistical Applications in Genetics and Molecular Biology</w:t>
      </w:r>
      <w:r>
        <w:t xml:space="preserve">, 9(1), Article 39.</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A full review of the prior literature is provided in Section 2.3. The B(j) peer-deviation statistic developed in Section 3.2 is a contribution of this paper; prior studies have measured nationalistic bias through aggregate score comparisons or ordinal rank methods rather than element-level peer deviations. The within-unit permutation test applied here is also novel in this context.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2026-02-18T02:57:23Z</dcterms:created>
  <dcterms:modified xsi:type="dcterms:W3CDTF">2026-02-18T02:57:23Z</dcterms:modified>
</cp:coreProperties>
</file>

<file path=docProps/custom.xml><?xml version="1.0" encoding="utf-8"?>
<Properties xmlns="http://schemas.openxmlformats.org/officeDocument/2006/custom-properties" xmlns:vt="http://schemas.openxmlformats.org/officeDocument/2006/docPropsVTypes"/>
</file>