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EEE4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Your diagnostic intuition is spot-on. What you experienced on the first run is a classic multimodal bottleneck, and your proposed pivot—switching to </w:t>
      </w:r>
      <w:r>
        <w:rPr>
          <w:rFonts w:ascii="Google Sans" w:eastAsia="Google Sans" w:hAnsi="Google Sans" w:cs="Google Sans"/>
          <w:b/>
          <w:bCs/>
          <w:color w:val="1F1F1F"/>
        </w:rPr>
        <w:t>Item 1A (Risk Factors)</w:t>
      </w:r>
      <w:r>
        <w:rPr>
          <w:rFonts w:ascii="Google Sans" w:eastAsia="Google Sans" w:hAnsi="Google Sans" w:cs="Google Sans"/>
          <w:color w:val="1F1F1F"/>
        </w:rPr>
        <w:t xml:space="preserve"> using </w:t>
      </w:r>
      <w:r>
        <w:rPr>
          <w:rFonts w:ascii="Google Sans" w:eastAsia="Google Sans" w:hAnsi="Google Sans" w:cs="Google Sans"/>
          <w:b/>
          <w:bCs/>
          <w:color w:val="1F1F1F"/>
        </w:rPr>
        <w:t>paragraph lead sentences</w:t>
      </w:r>
      <w:r>
        <w:rPr>
          <w:rFonts w:ascii="Google Sans" w:eastAsia="Google Sans" w:hAnsi="Google Sans" w:cs="Google Sans"/>
          <w:color w:val="1F1F1F"/>
        </w:rPr>
        <w:t xml:space="preserve"> while </w:t>
      </w:r>
      <w:r>
        <w:rPr>
          <w:rFonts w:ascii="Google Sans" w:eastAsia="Google Sans" w:hAnsi="Google Sans" w:cs="Google Sans"/>
          <w:b/>
          <w:bCs/>
          <w:color w:val="1F1F1F"/>
        </w:rPr>
        <w:t>pruning the structured columns</w:t>
      </w:r>
      <w:r>
        <w:rPr>
          <w:rFonts w:ascii="Google Sans" w:eastAsia="Google Sans" w:hAnsi="Google Sans" w:cs="Google Sans"/>
          <w:color w:val="1F1F1F"/>
        </w:rPr>
        <w:t>—directly targets the root causes of why both Joint Frozen and Joint TAR failed.</w:t>
      </w:r>
    </w:p>
    <w:p w14:paraId="7628EEE5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Below is an analysis of why your first run failed, how to execute your Item 1A lead-sentence extraction so it succeeds, exactly which structured columns to drop, and how to cut your runtime from </w:t>
      </w:r>
      <w:r>
        <w:rPr>
          <w:rFonts w:ascii="Google Sans" w:eastAsia="Google Sans" w:hAnsi="Google Sans" w:cs="Google Sans"/>
          <w:b/>
          <w:bCs/>
          <w:color w:val="1F1F1F"/>
        </w:rPr>
        <w:t>7 hours down to ~15 minutes for testing (and ~60 minutes for the final run)</w:t>
      </w:r>
      <w:r>
        <w:rPr>
          <w:rFonts w:ascii="Google Sans" w:eastAsia="Google Sans" w:hAnsi="Google Sans" w:cs="Google Sans"/>
          <w:color w:val="1F1F1F"/>
        </w:rPr>
        <w:t xml:space="preserve"> without distorting the data distribution.</w:t>
      </w:r>
    </w:p>
    <w:p w14:paraId="7628EEE6" w14:textId="77777777" w:rsidR="008C5FF7" w:rsidRDefault="00622081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Opinion on Switching to Item 1A + First Sentence per Paragraph</w:t>
      </w:r>
    </w:p>
    <w:p w14:paraId="7628EEE7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Why Item 7 Failed Both Frozen and TAR</w:t>
      </w:r>
    </w:p>
    <w:p w14:paraId="7628EEE8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raw SEC 10-K filings (eloukas/edgar-corpus), the first 350–400 words of Item 7 (MD&amp;A) are almost always </w:t>
      </w:r>
      <w:r>
        <w:rPr>
          <w:rFonts w:ascii="Google Sans" w:eastAsia="Google Sans" w:hAnsi="Google Sans" w:cs="Google Sans"/>
          <w:b/>
          <w:bCs/>
          <w:color w:val="1F1F1F"/>
        </w:rPr>
        <w:t>legal safe-harbor boilerplate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"The following discussion should be read in conjunction with our consolidated financial statements... This report contains forward-looking statements within the meaning of Section 27A..."</w:t>
      </w:r>
      <w:r>
        <w:rPr>
          <w:rFonts w:ascii="Google Sans" w:eastAsia="Google Sans" w:hAnsi="Google Sans" w:cs="Google Sans"/>
          <w:color w:val="1F1F1F"/>
        </w:rPr>
        <w:t>) followed by a generic description of what the company sells. Because e5-small-v2 cuts off at 512 tokens, the model was mostly reading legal disclaimers rather than operational numbers or distress signals.</w:t>
      </w:r>
    </w:p>
    <w:p w14:paraId="7628EEE9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Why Item 1A + "First Sentence of Each Paragraph" Is a Great Fix</w:t>
      </w:r>
    </w:p>
    <w:p w14:paraId="7628EEEA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Under SEC Regulation S-K (Item 105), companies are </w:t>
      </w:r>
      <w:r>
        <w:rPr>
          <w:rFonts w:ascii="Google Sans" w:eastAsia="Google Sans" w:hAnsi="Google Sans" w:cs="Google Sans"/>
          <w:b/>
          <w:bCs/>
          <w:color w:val="1F1F1F"/>
        </w:rPr>
        <w:t>legally required</w:t>
      </w:r>
      <w:r>
        <w:rPr>
          <w:rFonts w:ascii="Google Sans" w:eastAsia="Google Sans" w:hAnsi="Google Sans" w:cs="Google Sans"/>
          <w:color w:val="1F1F1F"/>
        </w:rPr>
        <w:t xml:space="preserve"> to organize Item 1A (</w:t>
      </w:r>
      <w:r>
        <w:rPr>
          <w:rFonts w:ascii="Google Sans" w:eastAsia="Google Sans" w:hAnsi="Google Sans" w:cs="Google Sans"/>
          <w:i/>
          <w:iCs/>
          <w:color w:val="1F1F1F"/>
        </w:rPr>
        <w:t>Risk Factors</w:t>
      </w:r>
      <w:r>
        <w:rPr>
          <w:rFonts w:ascii="Google Sans" w:eastAsia="Google Sans" w:hAnsi="Google Sans" w:cs="Google Sans"/>
          <w:color w:val="1F1F1F"/>
        </w:rPr>
        <w:t>) by placing each risk under a concise subcaption or opening topic sentence summarizing the exact risk, ordered from most material to least material.</w:t>
      </w:r>
    </w:p>
    <w:p w14:paraId="7628EEEB" w14:textId="77777777" w:rsidR="008C5FF7" w:rsidRDefault="006220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 full Item 1A section is often 8,000–15,000 words long, meaning normal truncation only reads the first 2 risk factors.</w:t>
      </w:r>
    </w:p>
    <w:p w14:paraId="7628EEEC" w14:textId="77777777" w:rsidR="008C5FF7" w:rsidRDefault="006220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By extracting </w:t>
      </w:r>
      <w:r>
        <w:rPr>
          <w:rFonts w:ascii="Google Sans" w:eastAsia="Google Sans" w:hAnsi="Google Sans" w:cs="Google Sans"/>
          <w:b/>
          <w:bCs/>
          <w:color w:val="1F1F1F"/>
        </w:rPr>
        <w:t>only the first sentence (or subheader + first sentence) of each paragraph</w:t>
      </w:r>
      <w:r>
        <w:rPr>
          <w:rFonts w:ascii="Google Sans" w:eastAsia="Google Sans" w:hAnsi="Google Sans" w:cs="Google Sans"/>
          <w:color w:val="1F1F1F"/>
        </w:rPr>
        <w:t xml:space="preserve">, you turn the 512-token window into a </w:t>
      </w:r>
      <w:r>
        <w:rPr>
          <w:rFonts w:ascii="Google Sans" w:eastAsia="Google Sans" w:hAnsi="Google Sans" w:cs="Google Sans"/>
          <w:b/>
          <w:bCs/>
          <w:color w:val="1F1F1F"/>
        </w:rPr>
        <w:t>high-density extractive summary of 15 to 25 distinct risk factors</w:t>
      </w:r>
      <w:r>
        <w:rPr>
          <w:rFonts w:ascii="Google Sans" w:eastAsia="Google Sans" w:hAnsi="Google Sans" w:cs="Google Sans"/>
          <w:color w:val="1F1F1F"/>
        </w:rPr>
        <w:t xml:space="preserve"> spanning the entire filing (debt covenants, litigation, customer concentration, going-concern warnings, supply chain bottlenecks).</w:t>
      </w:r>
    </w:p>
    <w:p w14:paraId="7628EEED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 Rules to Make Paragraph-Lead Extraction Work (Crucial)</w:t>
      </w:r>
    </w:p>
    <w:p w14:paraId="7628EEEE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you naively split on \n\n and take sentence 1, you will still grab table-of-contents lines, page numbers, and introductory legal boilerplate. Apply these three filters in your text preprocessing script:</w:t>
      </w:r>
    </w:p>
    <w:p w14:paraId="7628EEEF" w14:textId="77777777" w:rsidR="008C5FF7" w:rsidRDefault="00622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Skip Introductory Boilerplate:</w:t>
      </w:r>
      <w:r>
        <w:rPr>
          <w:rFonts w:ascii="Google Sans" w:eastAsia="Google Sans" w:hAnsi="Google Sans" w:cs="Google Sans"/>
          <w:color w:val="1F1F1F"/>
        </w:rPr>
        <w:t xml:space="preserve"> Drop any sentence containing phrases like "forward-looking statements", "item 1a", "investing in our", "high degree of risk", "carefully consider", or "securities act".</w:t>
      </w:r>
    </w:p>
    <w:p w14:paraId="7628EEF0" w14:textId="77777777" w:rsidR="008C5FF7" w:rsidRDefault="00622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Enforce a Word-Count Filter (</w:t>
      </w:r>
      <m:oMath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8≤</m:t>
        </m:r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words</m:t>
        </m:r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≤45</m:t>
        </m:r>
      </m:oMath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In edgar-corpus, paragraphs often include standalone Risk Subheaders (which are 10–25 words long and contain the highest signal, e.g., </w:t>
      </w:r>
      <w:r>
        <w:rPr>
          <w:rFonts w:ascii="Google Sans" w:eastAsia="Google Sans" w:hAnsi="Google Sans" w:cs="Google Sans"/>
          <w:i/>
          <w:iCs/>
          <w:color w:val="1F1F1F"/>
        </w:rPr>
        <w:t>"Our substantial indebtedness could adversely affect our financial health and prevent us from fulfilling our obligations."</w:t>
      </w:r>
      <w:r>
        <w:rPr>
          <w:rFonts w:ascii="Google Sans" w:eastAsia="Google Sans" w:hAnsi="Google Sans" w:cs="Google Sans"/>
          <w:color w:val="1F1F1F"/>
        </w:rPr>
        <w:t xml:space="preserve">) alongside stray table fragments ("2022 2021"). Keeping only lead sentences/headers between </w:t>
      </w:r>
      <w:r>
        <w:rPr>
          <w:rFonts w:ascii="Google Sans" w:eastAsia="Google Sans" w:hAnsi="Google Sans" w:cs="Google Sans"/>
          <w:b/>
          <w:bCs/>
          <w:color w:val="1F1F1F"/>
        </w:rPr>
        <w:t>8 and 45 words</w:t>
      </w:r>
      <w:r>
        <w:rPr>
          <w:rFonts w:ascii="Google Sans" w:eastAsia="Google Sans" w:hAnsi="Google Sans" w:cs="Google Sans"/>
          <w:color w:val="1F1F1F"/>
        </w:rPr>
        <w:t xml:space="preserve"> with </w:t>
      </w:r>
      <w:r>
        <w:rPr>
          <w:rFonts w:ascii="Google Sans" w:eastAsia="Google Sans" w:hAnsi="Google Sans" w:cs="Google Sans"/>
          <w:color w:val="1F1F1F"/>
        </w:rPr>
        <w:lastRenderedPageBreak/>
        <w:t>$&lt;15\%$ numeric characters strips out table garbage and keeps pure risk statements.</w:t>
      </w:r>
    </w:p>
    <w:p w14:paraId="7628EEF1" w14:textId="77777777" w:rsidR="008C5FF7" w:rsidRDefault="00622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Target ~220–260 Words Total (First 12–15 Valid Paragraphs):</w:t>
      </w:r>
      <w:r>
        <w:rPr>
          <w:rFonts w:ascii="Google Sans" w:eastAsia="Google Sans" w:hAnsi="Google Sans" w:cs="Google Sans"/>
          <w:color w:val="1F1F1F"/>
        </w:rPr>
        <w:t xml:space="preserve"> Do not pack all the way to 512 tokens if the later paragraphs are generic macro risks (e.g., </w:t>
      </w:r>
      <w:r>
        <w:rPr>
          <w:rFonts w:ascii="Google Sans" w:eastAsia="Google Sans" w:hAnsi="Google Sans" w:cs="Google Sans"/>
          <w:i/>
          <w:iCs/>
          <w:color w:val="1F1F1F"/>
        </w:rPr>
        <w:t>"Changes in tax laws or macroeconomic conditions could hurt us"</w:t>
      </w:r>
      <w:r>
        <w:rPr>
          <w:rFonts w:ascii="Google Sans" w:eastAsia="Google Sans" w:hAnsi="Google Sans" w:cs="Google Sans"/>
          <w:color w:val="1F1F1F"/>
        </w:rPr>
        <w:t xml:space="preserve">). The SEC requires firm-specific, acute risks to be listed </w:t>
      </w:r>
      <w:r>
        <w:rPr>
          <w:rFonts w:ascii="Google Sans" w:eastAsia="Google Sans" w:hAnsi="Google Sans" w:cs="Google Sans"/>
          <w:b/>
          <w:bCs/>
          <w:color w:val="1F1F1F"/>
        </w:rPr>
        <w:t>first</w:t>
      </w:r>
      <w:r>
        <w:rPr>
          <w:rFonts w:ascii="Google Sans" w:eastAsia="Google Sans" w:hAnsi="Google Sans" w:cs="Google Sans"/>
          <w:color w:val="1F1F1F"/>
        </w:rPr>
        <w:t xml:space="preserve"> in Item 1A. Taking the first </w:t>
      </w:r>
      <w:r>
        <w:rPr>
          <w:rFonts w:ascii="Google Sans" w:eastAsia="Google Sans" w:hAnsi="Google Sans" w:cs="Google Sans"/>
          <w:b/>
          <w:bCs/>
          <w:color w:val="1F1F1F"/>
        </w:rPr>
        <w:t>12 to 15 valid paragraph lead sentences</w:t>
      </w:r>
      <w:r>
        <w:rPr>
          <w:rFonts w:ascii="Google Sans" w:eastAsia="Google Sans" w:hAnsi="Google Sans" w:cs="Google Sans"/>
          <w:color w:val="1F1F1F"/>
        </w:rPr>
        <w:t xml:space="preserve"> gives you ~220–260 words (~300 tokens) of high-signal firm-specific risk factors and cuts your LoRA training time in half.</w:t>
      </w:r>
    </w:p>
    <w:p w14:paraId="7628EEF2" w14:textId="77777777" w:rsidR="008C5FF7" w:rsidRDefault="00622081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Which Structured Columns to Drop (and Which to Keep)</w:t>
      </w:r>
    </w:p>
    <w:p w14:paraId="7628EEF3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Why Unimodal Structured Blocked Joint Frozen</w:t>
      </w:r>
    </w:p>
    <w:p w14:paraId="7628EEF4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corporate finance, accounting ratios are heavily autocorrelated from year </w:t>
      </w:r>
      <m:oMath>
        <m:r>
          <w:rPr>
            <w:rFonts w:ascii="Google Sans" w:eastAsia="Google Sans" w:hAnsi="Google Sans" w:cs="Google Sans"/>
            <w:color w:val="1F1F1F"/>
          </w:rPr>
          <m:t>t</m:t>
        </m:r>
      </m:oMath>
      <w:r>
        <w:rPr>
          <w:rFonts w:ascii="Google Sans" w:eastAsia="Google Sans" w:hAnsi="Google Sans" w:cs="Google Sans"/>
          <w:color w:val="1F1F1F"/>
        </w:rPr>
        <w:t xml:space="preserve"> to year </w:t>
      </w:r>
      <m:oMath>
        <m:r>
          <w:rPr>
            <w:rFonts w:ascii="Google Sans" w:eastAsia="Google Sans" w:hAnsi="Google Sans" w:cs="Google Sans"/>
            <w:color w:val="1F1F1F"/>
          </w:rPr>
          <m:t>t</m:t>
        </m:r>
        <m:r>
          <w:rPr>
            <w:rFonts w:ascii="Google Sans" w:eastAsia="Google Sans" w:hAnsi="Google Sans" w:cs="Google Sans"/>
            <w:color w:val="1F1F1F"/>
          </w:rPr>
          <m:t>+1</m:t>
        </m:r>
      </m:oMath>
      <w:r>
        <w:rPr>
          <w:rFonts w:ascii="Google Sans" w:eastAsia="Google Sans" w:hAnsi="Google Sans" w:cs="Google Sans"/>
          <w:color w:val="1F1F1F"/>
        </w:rPr>
        <w:t xml:space="preserve"> (</w:t>
      </w:r>
      <m:oMath>
        <m:r>
          <w:rPr>
            <w:rFonts w:ascii="Google Sans" w:eastAsia="Google Sans" w:hAnsi="Google Sans" w:cs="Google Sans"/>
            <w:color w:val="1F1F1F"/>
          </w:rPr>
          <m:t>r</m:t>
        </m:r>
        <m:r>
          <w:rPr>
            <w:rFonts w:ascii="Google Sans" w:eastAsia="Google Sans" w:hAnsi="Google Sans" w:cs="Google Sans"/>
            <w:color w:val="1F1F1F"/>
          </w:rPr>
          <m:t>≈0.75-0.85</m:t>
        </m:r>
      </m:oMath>
      <w:r>
        <w:rPr>
          <w:rFonts w:ascii="Google Sans" w:eastAsia="Google Sans" w:hAnsi="Google Sans" w:cs="Google Sans"/>
          <w:color w:val="1F1F1F"/>
        </w:rPr>
        <w:t xml:space="preserve">). If your target </w:t>
      </w:r>
      <m:oMath>
        <m:sSub>
          <m:sSubPr>
            <m:ctrlPr>
              <w:rPr>
                <w:rFonts w:ascii="Google Sans" w:eastAsia="Google Sans" w:hAnsi="Google Sans" w:cs="Google Sans"/>
                <w:color w:val="1F1F1F"/>
              </w:rPr>
            </m:ctrlPr>
          </m:sSubPr>
          <m:e>
            <m:r>
              <w:rPr>
                <w:rFonts w:ascii="Google Sans" w:eastAsia="Google Sans" w:hAnsi="Google Sans" w:cs="Google Sans"/>
                <w:color w:val="1F1F1F"/>
              </w:rPr>
              <m:t>y</m:t>
            </m:r>
          </m:e>
          <m:sub>
            <m:r>
              <w:rPr>
                <w:rFonts w:ascii="Google Sans" w:eastAsia="Google Sans" w:hAnsi="Google Sans" w:cs="Google Sans"/>
                <w:color w:val="1F1F1F"/>
              </w:rPr>
              <m:t>t</m:t>
            </m:r>
            <m:r>
              <w:rPr>
                <w:rFonts w:ascii="Google Sans" w:eastAsia="Google Sans" w:hAnsi="Google Sans" w:cs="Google Sans"/>
                <w:color w:val="1F1F1F"/>
              </w:rPr>
              <m:t>+1</m:t>
            </m:r>
          </m:sub>
        </m:sSub>
      </m:oMath>
      <w:r>
        <w:rPr>
          <w:rFonts w:ascii="Google Sans" w:eastAsia="Google Sans" w:hAnsi="Google Sans" w:cs="Google Sans"/>
          <w:color w:val="1F1F1F"/>
        </w:rPr>
        <w:t xml:space="preserve"> measures profitability drop, cash flow distress, or return volatility, and you give GBDTs/TabPFN year-</w:t>
      </w:r>
      <m:oMath>
        <m:r>
          <w:rPr>
            <w:rFonts w:ascii="Google Sans" w:eastAsia="Google Sans" w:hAnsi="Google Sans" w:cs="Google Sans"/>
            <w:color w:val="1F1F1F"/>
          </w:rPr>
          <m:t>t</m:t>
        </m:r>
      </m:oMath>
      <w:r>
        <w:rPr>
          <w:rFonts w:ascii="Google Sans" w:eastAsia="Google Sans" w:hAnsi="Google Sans" w:cs="Google Sans"/>
          <w:color w:val="1F1F1F"/>
        </w:rPr>
        <w:t xml:space="preserve"> profitability and coverage ratios (ROA, Operating_Margin, OCF_to_Assets, Interest_Coverage), Unimodal Structured already achieves near-ceiling performance. When you concatenate </w:t>
      </w:r>
      <w:r>
        <w:rPr>
          <w:rFonts w:ascii="Google Sans" w:eastAsia="Google Sans" w:hAnsi="Google Sans" w:cs="Google Sans"/>
          <w:b/>
          <w:bCs/>
          <w:color w:val="1F1F1F"/>
        </w:rPr>
        <w:t>30 PCA text columns</w:t>
      </w:r>
      <w:r>
        <w:rPr>
          <w:rFonts w:ascii="Google Sans" w:eastAsia="Google Sans" w:hAnsi="Google Sans" w:cs="Google Sans"/>
          <w:color w:val="1F1F1F"/>
        </w:rPr>
        <w:t xml:space="preserve"> in Joint Frozen, the tree models suffer from feature dilution/collinearity and score </w:t>
      </w:r>
      <w:r>
        <w:rPr>
          <w:rFonts w:ascii="Google Sans" w:eastAsia="Google Sans" w:hAnsi="Google Sans" w:cs="Google Sans"/>
          <w:i/>
          <w:iCs/>
          <w:color w:val="1F1F1F"/>
        </w:rPr>
        <w:t>lower</w:t>
      </w:r>
      <w:r>
        <w:rPr>
          <w:rFonts w:ascii="Google Sans" w:eastAsia="Google Sans" w:hAnsi="Google Sans" w:cs="Google Sans"/>
          <w:color w:val="1F1F1F"/>
        </w:rPr>
        <w:t xml:space="preserve"> than Unimodal Structured.</w:t>
      </w:r>
    </w:p>
    <w:p w14:paraId="7628EEF5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What to DROP Immediately</w:t>
      </w:r>
    </w:p>
    <w:p w14:paraId="7628EEF6" w14:textId="77777777" w:rsidR="008C5FF7" w:rsidRDefault="006220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Drop SIC_Sector_Division (Industry Code) from the Structured Table:</w:t>
      </w:r>
    </w:p>
    <w:p w14:paraId="7628EEF7" w14:textId="77777777" w:rsidR="008C5FF7" w:rsidRDefault="006220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Why this is your biggest lever:</w:t>
      </w:r>
      <w:r>
        <w:rPr>
          <w:rFonts w:ascii="Google Sans" w:eastAsia="Google Sans" w:hAnsi="Google Sans" w:cs="Google Sans"/>
          <w:color w:val="1F1F1F"/>
        </w:rPr>
        <w:t xml:space="preserve"> Frozen e5-small-v2 embeddings naturally cluster 10-K texts by industry sector (tech vs. biotech vs. banking). When SIC_Sector is in the structured table, Frozen E5 brings zero new information over the table. Once you </w:t>
      </w:r>
      <w:r>
        <w:rPr>
          <w:rFonts w:ascii="Google Sans" w:eastAsia="Google Sans" w:hAnsi="Google Sans" w:cs="Google Sans"/>
          <w:b/>
          <w:bCs/>
          <w:color w:val="1F1F1F"/>
        </w:rPr>
        <w:t>remove SIC_Sector from the tabular columns</w:t>
      </w:r>
      <w:r>
        <w:rPr>
          <w:rFonts w:ascii="Google Sans" w:eastAsia="Google Sans" w:hAnsi="Google Sans" w:cs="Google Sans"/>
          <w:color w:val="1F1F1F"/>
        </w:rPr>
        <w:t xml:space="preserve">, the tabular model is blind to the company's industry, and </w:t>
      </w:r>
      <w:r>
        <w:rPr>
          <w:rFonts w:ascii="Google Sans" w:eastAsia="Google Sans" w:hAnsi="Google Sans" w:cs="Google Sans"/>
          <w:b/>
          <w:bCs/>
          <w:color w:val="1F1F1F"/>
        </w:rPr>
        <w:t>Joint Frozen immediately gains a strong complementary signal</w:t>
      </w:r>
      <w:r>
        <w:rPr>
          <w:rFonts w:ascii="Google Sans" w:eastAsia="Google Sans" w:hAnsi="Google Sans" w:cs="Google Sans"/>
          <w:color w:val="1F1F1F"/>
        </w:rPr>
        <w:t xml:space="preserve"> because the text embeddings supply the missing industry context!</w:t>
      </w:r>
    </w:p>
    <w:p w14:paraId="7628EEF8" w14:textId="77777777" w:rsidR="008C5FF7" w:rsidRDefault="006220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Drop All Direct Profitability &amp; Coverage Proxies of Your Target:</w:t>
      </w:r>
    </w:p>
    <w:p w14:paraId="7628EEF9" w14:textId="77777777" w:rsidR="008C5FF7" w:rsidRDefault="0062208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Drop </w:t>
      </w:r>
      <w:r>
        <w:rPr>
          <w:rFonts w:ascii="Google Sans" w:eastAsia="Google Sans" w:hAnsi="Google Sans" w:cs="Google Sans"/>
          <w:b/>
          <w:bCs/>
          <w:color w:val="1F1F1F"/>
        </w:rPr>
        <w:t>ROA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Operating_Margin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Gross_Margin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OCF_to_Assets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r>
        <w:rPr>
          <w:rFonts w:ascii="Google Sans" w:eastAsia="Google Sans" w:hAnsi="Google Sans" w:cs="Google Sans"/>
          <w:b/>
          <w:bCs/>
          <w:color w:val="1F1F1F"/>
        </w:rPr>
        <w:t>Interest_Coverage_Ratio</w:t>
      </w:r>
      <w:r>
        <w:rPr>
          <w:rFonts w:ascii="Google Sans" w:eastAsia="Google Sans" w:hAnsi="Google Sans" w:cs="Google Sans"/>
          <w:color w:val="1F1F1F"/>
        </w:rPr>
        <w:t>. These directly leak the company's current earnings distress into the unimodal table, making the text unnecessary.</w:t>
      </w:r>
    </w:p>
    <w:p w14:paraId="7628EEFA" w14:textId="77777777" w:rsidR="008C5FF7" w:rsidRDefault="006220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Drop Collinear Duplicates:</w:t>
      </w:r>
    </w:p>
    <w:p w14:paraId="7628EEFB" w14:textId="77777777" w:rsidR="008C5FF7" w:rsidRDefault="0062208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Drop </w:t>
      </w:r>
      <w:r>
        <w:rPr>
          <w:rFonts w:ascii="Google Sans" w:eastAsia="Google Sans" w:hAnsi="Google Sans" w:cs="Google Sans"/>
          <w:b/>
          <w:bCs/>
          <w:color w:val="1F1F1F"/>
        </w:rPr>
        <w:t>Log_Revenue</w:t>
      </w:r>
      <w:r>
        <w:rPr>
          <w:rFonts w:ascii="Google Sans" w:eastAsia="Google Sans" w:hAnsi="Google Sans" w:cs="Google Sans"/>
          <w:color w:val="1F1F1F"/>
        </w:rPr>
        <w:t xml:space="preserve"> (collinear with Log_Total_Assets), </w:t>
      </w:r>
      <w:r>
        <w:rPr>
          <w:rFonts w:ascii="Google Sans" w:eastAsia="Google Sans" w:hAnsi="Google Sans" w:cs="Google Sans"/>
          <w:b/>
          <w:bCs/>
          <w:color w:val="1F1F1F"/>
        </w:rPr>
        <w:t>Quick_Ratio</w:t>
      </w:r>
      <w:r>
        <w:rPr>
          <w:rFonts w:ascii="Google Sans" w:eastAsia="Google Sans" w:hAnsi="Google Sans" w:cs="Google Sans"/>
          <w:color w:val="1F1F1F"/>
        </w:rPr>
        <w:t xml:space="preserve"> (collinear with Current_Ratio), and </w:t>
      </w:r>
      <w:r>
        <w:rPr>
          <w:rFonts w:ascii="Google Sans" w:eastAsia="Google Sans" w:hAnsi="Google Sans" w:cs="Google Sans"/>
          <w:b/>
          <w:bCs/>
          <w:color w:val="1F1F1F"/>
        </w:rPr>
        <w:t>Debt_to_Equity</w:t>
      </w:r>
      <w:r>
        <w:rPr>
          <w:rFonts w:ascii="Google Sans" w:eastAsia="Google Sans" w:hAnsi="Google Sans" w:cs="Google Sans"/>
          <w:color w:val="1F1F1F"/>
        </w:rPr>
        <w:t xml:space="preserve"> (noisy denominator when equity is near zero; keep Debt_to_Assets instead).</w:t>
      </w:r>
    </w:p>
    <w:p w14:paraId="7628EEFC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Ideal 7-Column Structured Set to KEEP</w:t>
      </w:r>
    </w:p>
    <w:p w14:paraId="7628EEFD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Keep only </w:t>
      </w:r>
      <w:r>
        <w:rPr>
          <w:rFonts w:ascii="Google Sans" w:eastAsia="Google Sans" w:hAnsi="Google Sans" w:cs="Google Sans"/>
          <w:b/>
          <w:bCs/>
          <w:color w:val="1F1F1F"/>
        </w:rPr>
        <w:t>structural balance-sheet scale and capital allocation features</w:t>
      </w:r>
      <w:r>
        <w:rPr>
          <w:rFonts w:ascii="Google Sans" w:eastAsia="Google Sans" w:hAnsi="Google Sans" w:cs="Google Sans"/>
          <w:color w:val="1F1F1F"/>
        </w:rPr>
        <w:t xml:space="preserve"> that set the baseline context without revealing whether operations are currently failing:</w:t>
      </w:r>
    </w:p>
    <w:p w14:paraId="7628EEFE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Log_Total_Assets (Company size)</w:t>
      </w:r>
    </w:p>
    <w:p w14:paraId="7628EEFF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Debt_to_Assets (Overall leverage load)</w:t>
      </w:r>
    </w:p>
    <w:p w14:paraId="7628EF00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Current_Ratio (Short-term working capital ratio)</w:t>
      </w:r>
    </w:p>
    <w:p w14:paraId="7628EF01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Cash_to_Total_Assets (Liquidity buffer)</w:t>
      </w:r>
    </w:p>
    <w:p w14:paraId="7628EF02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Asset_Turnover (</w:t>
      </w:r>
      <m:oMath>
        <m:r>
          <w:rPr>
            <w:rFonts w:ascii="Google Sans" w:eastAsia="Google Sans" w:hAnsi="Google Sans" w:cs="Google Sans"/>
            <w:color w:val="1F1F1F"/>
          </w:rPr>
          <m:t>Revenue</m:t>
        </m:r>
        <m:r>
          <w:rPr>
            <w:rFonts w:ascii="Google Sans" w:eastAsia="Google Sans" w:hAnsi="Google Sans" w:cs="Google Sans"/>
            <w:color w:val="1F1F1F"/>
          </w:rPr>
          <m:t>/</m:t>
        </m:r>
        <m:r>
          <w:rPr>
            <w:rFonts w:ascii="Google Sans" w:eastAsia="Google Sans" w:hAnsi="Google Sans" w:cs="Google Sans"/>
            <w:color w:val="1F1F1F"/>
          </w:rPr>
          <m:t>TotalAssets</m:t>
        </m:r>
      </m:oMath>
      <w:r>
        <w:rPr>
          <w:rFonts w:ascii="Google Sans" w:eastAsia="Google Sans" w:hAnsi="Google Sans" w:cs="Google Sans"/>
          <w:color w:val="1F1F1F"/>
        </w:rPr>
        <w:t xml:space="preserve"> — capital intensity)</w:t>
      </w:r>
    </w:p>
    <w:p w14:paraId="7628EF03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CapEx_to_Assets (or YoY_Asset_Growth — expansion rate)</w:t>
      </w:r>
    </w:p>
    <w:p w14:paraId="7628EF04" w14:textId="77777777" w:rsidR="008C5FF7" w:rsidRDefault="006220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Fiscal_Year (Macroeconomic regime)</w:t>
      </w:r>
    </w:p>
    <w:p w14:paraId="7628EF05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Why this works across all 4 conditions:</w:t>
      </w:r>
    </w:p>
    <w:p w14:paraId="7628EF06" w14:textId="77777777" w:rsidR="008C5FF7" w:rsidRDefault="006220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Unimodal Structured:</w:t>
      </w:r>
      <w:r>
        <w:rPr>
          <w:rFonts w:ascii="Google Sans" w:eastAsia="Google Sans" w:hAnsi="Google Sans" w:cs="Google Sans"/>
          <w:color w:val="1F1F1F"/>
        </w:rPr>
        <w:t xml:space="preserve"> Knows how big the company is and how much debt/cash it carries, but does not know its industry, profit margins, or specific risk factors.</w:t>
      </w:r>
    </w:p>
    <w:p w14:paraId="7628EF07" w14:textId="77777777" w:rsidR="008C5FF7" w:rsidRDefault="006220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Joint Frozen &gt; Structured:</w:t>
      </w:r>
      <w:r>
        <w:rPr>
          <w:rFonts w:ascii="Google Sans" w:eastAsia="Google Sans" w:hAnsi="Google Sans" w:cs="Google Sans"/>
          <w:color w:val="1F1F1F"/>
        </w:rPr>
        <w:t xml:space="preserve"> Frozen E5 injects the company's sector/business model and broad risk category (e.g., clinical-stage biotech vs. leveraged retail), providing a reliable boost over the 7 balance-sheet columns.</w:t>
      </w:r>
    </w:p>
    <w:p w14:paraId="7628EF08" w14:textId="77777777" w:rsidR="008C5FF7" w:rsidRDefault="006220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Joint TAR &gt; Frozen:</w:t>
      </w:r>
      <w:r>
        <w:rPr>
          <w:rFonts w:ascii="Google Sans" w:eastAsia="Google Sans" w:hAnsi="Google Sans" w:cs="Google Sans"/>
          <w:color w:val="1F1F1F"/>
        </w:rPr>
        <w:t xml:space="preserve"> Because all companies in the same industry share similar frozen E5 embeddings, Joint Frozen cannot tell </w:t>
      </w:r>
      <w:r>
        <w:rPr>
          <w:rFonts w:ascii="Google Sans" w:eastAsia="Google Sans" w:hAnsi="Google Sans" w:cs="Google Sans"/>
          <w:i/>
          <w:iCs/>
          <w:color w:val="1F1F1F"/>
        </w:rPr>
        <w:t>which</w:t>
      </w:r>
      <w:r>
        <w:rPr>
          <w:rFonts w:ascii="Google Sans" w:eastAsia="Google Sans" w:hAnsi="Google Sans" w:cs="Google Sans"/>
          <w:color w:val="1F1F1F"/>
        </w:rPr>
        <w:t xml:space="preserve"> leveraged company is actually about to breach a debt covenant or lose a key customer. LoRA (Joint TAR) fine-tunes on the target to spot acute distress phrasing in the Item 1A lead sentences (e.g., </w:t>
      </w:r>
      <w:r>
        <w:rPr>
          <w:rFonts w:ascii="Google Sans" w:eastAsia="Google Sans" w:hAnsi="Google Sans" w:cs="Google Sans"/>
          <w:i/>
          <w:iCs/>
          <w:color w:val="1F1F1F"/>
        </w:rPr>
        <w:t>"going concern," "covenant waiver," "accumulated deficit," "clinical hold"</w:t>
      </w:r>
      <w:r>
        <w:rPr>
          <w:rFonts w:ascii="Google Sans" w:eastAsia="Google Sans" w:hAnsi="Google Sans" w:cs="Google Sans"/>
          <w:color w:val="1F1F1F"/>
        </w:rPr>
        <w:t>).</w:t>
      </w:r>
    </w:p>
    <w:p w14:paraId="7628EF09" w14:textId="77777777" w:rsidR="008C5FF7" w:rsidRDefault="00622081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How to Cut the 7-Hour Runtime Without Changing the Distribution</w:t>
      </w:r>
    </w:p>
    <w:p w14:paraId="7628EF0A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7-hour runtime comes from two quadratic bottlenecks in the MulTaBench pipeline:</w:t>
      </w:r>
    </w:p>
    <w:p w14:paraId="7628EF0B" w14:textId="77777777" w:rsidR="008C5FF7" w:rsidRDefault="0062208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TabPFN 2.0 and TabPFN 2.5:</w:t>
      </w:r>
      <w:r>
        <w:rPr>
          <w:rFonts w:ascii="Google Sans" w:eastAsia="Google Sans" w:hAnsi="Google Sans" w:cs="Google Sans"/>
          <w:color w:val="1F1F1F"/>
        </w:rPr>
        <w:t xml:space="preserve"> Unlike GBDTs, TabPFN performs in-context self-attention </w:t>
      </w:r>
      <w:r>
        <w:rPr>
          <w:rFonts w:ascii="Google Sans" w:eastAsia="Google Sans" w:hAnsi="Google Sans" w:cs="Google Sans"/>
          <w:b/>
          <w:bCs/>
          <w:color w:val="1F1F1F"/>
        </w:rPr>
        <w:t>across rows (</w:t>
      </w:r>
      <m:oMath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O</m:t>
        </m:r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(</m:t>
        </m:r>
        <m:sSubSup>
          <m:sSubSupPr>
            <m:ctrlPr>
              <w:rPr>
                <w:rFonts w:ascii="Google Sans" w:eastAsia="Google Sans" w:hAnsi="Google Sans" w:cs="Google Sans"/>
                <w:b/>
                <w:bCs/>
                <w:color w:val="1F1F1F"/>
              </w:rPr>
            </m:ctrlPr>
          </m:sSubSupPr>
          <m:e>
            <m:r>
              <m:rPr>
                <m:sty m:val="bi"/>
              </m:rPr>
              <w:rPr>
                <w:rFonts w:ascii="Google Sans" w:eastAsia="Google Sans" w:hAnsi="Google Sans" w:cs="Google Sans"/>
                <w:color w:val="1F1F1F"/>
              </w:rPr>
              <m:t>N</m:t>
            </m:r>
          </m:e>
          <m:sub>
            <m:r>
              <m:rPr>
                <m:sty m:val="bi"/>
              </m:rPr>
              <w:rPr>
                <w:rFonts w:ascii="Google Sans" w:eastAsia="Google Sans" w:hAnsi="Google Sans" w:cs="Google Sans"/>
                <w:color w:val="1F1F1F"/>
              </w:rPr>
              <m:t>train</m:t>
            </m:r>
          </m:sub>
          <m:sup>
            <m:r>
              <m:rPr>
                <m:sty m:val="bi"/>
              </m:rPr>
              <w:rPr>
                <w:rFonts w:ascii="Google Sans" w:eastAsia="Google Sans" w:hAnsi="Google Sans" w:cs="Google Sans"/>
                <w:color w:val="1F1F1F"/>
              </w:rPr>
              <m:t>2</m:t>
            </m:r>
          </m:sup>
        </m:sSubSup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)</m:t>
        </m:r>
      </m:oMath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. Going from </w:t>
      </w:r>
      <m:oMath>
        <m:r>
          <w:rPr>
            <w:rFonts w:ascii="Google Sans" w:eastAsia="Google Sans" w:hAnsi="Google Sans" w:cs="Google Sans"/>
            <w:color w:val="1F1F1F"/>
          </w:rPr>
          <m:t>N</m:t>
        </m:r>
        <m:r>
          <w:rPr>
            <w:rFonts w:ascii="Google Sans" w:eastAsia="Google Sans" w:hAnsi="Google Sans" w:cs="Google Sans"/>
            <w:color w:val="1F1F1F"/>
          </w:rPr>
          <m:t>=2,500</m:t>
        </m:r>
      </m:oMath>
      <w:r>
        <w:rPr>
          <w:rFonts w:ascii="Google Sans" w:eastAsia="Google Sans" w:hAnsi="Google Sans" w:cs="Google Sans"/>
          <w:color w:val="1F1F1F"/>
        </w:rPr>
        <w:t xml:space="preserve"> rows to </w:t>
      </w:r>
      <m:oMath>
        <m:r>
          <w:rPr>
            <w:rFonts w:ascii="Google Sans" w:eastAsia="Google Sans" w:hAnsi="Google Sans" w:cs="Google Sans"/>
            <w:color w:val="1F1F1F"/>
          </w:rPr>
          <m:t>N</m:t>
        </m:r>
        <m:r>
          <w:rPr>
            <w:rFonts w:ascii="Google Sans" w:eastAsia="Google Sans" w:hAnsi="Google Sans" w:cs="Google Sans"/>
            <w:color w:val="1F1F1F"/>
          </w:rPr>
          <m:t>=8,500</m:t>
        </m:r>
      </m:oMath>
      <w:r>
        <w:rPr>
          <w:rFonts w:ascii="Google Sans" w:eastAsia="Google Sans" w:hAnsi="Google Sans" w:cs="Google Sans"/>
          <w:color w:val="1F1F1F"/>
        </w:rPr>
        <w:t xml:space="preserve"> rows increases TabPFN compute time by </w:t>
      </w:r>
      <m:oMath>
        <m: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10×</m:t>
        </m:r>
      </m:oMath>
      <w:r>
        <w:rPr>
          <w:rFonts w:ascii="Google Sans" w:eastAsia="Google Sans" w:hAnsi="Google Sans" w:cs="Google Sans"/>
          <w:color w:val="1F1F1F"/>
        </w:rPr>
        <w:t>.</w:t>
      </w:r>
    </w:p>
    <w:p w14:paraId="7628EF0C" w14:textId="77777777" w:rsidR="008C5FF7" w:rsidRDefault="0062208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LoRA Fine-Tuning (Joint TAR):</w:t>
      </w:r>
      <w:r>
        <w:rPr>
          <w:rFonts w:ascii="Google Sans" w:eastAsia="Google Sans" w:hAnsi="Google Sans" w:cs="Google Sans"/>
          <w:color w:val="1F1F1F"/>
        </w:rPr>
        <w:t xml:space="preserve"> Transformer self-attention scales as </w:t>
      </w:r>
      <m:oMath>
        <m:r>
          <w:rPr>
            <w:rFonts w:ascii="Google Sans" w:eastAsia="Google Sans" w:hAnsi="Google Sans" w:cs="Google Sans"/>
            <w:color w:val="1F1F1F"/>
          </w:rPr>
          <m:t>O</m:t>
        </m:r>
        <m:r>
          <w:rPr>
            <w:rFonts w:ascii="Google Sans" w:eastAsia="Google Sans" w:hAnsi="Google Sans" w:cs="Google Sans"/>
            <w:color w:val="1F1F1F"/>
          </w:rPr>
          <m:t>(</m:t>
        </m:r>
        <m:sSub>
          <m:sSubPr>
            <m:ctrlPr>
              <w:rPr>
                <w:rFonts w:ascii="Google Sans" w:eastAsia="Google Sans" w:hAnsi="Google Sans" w:cs="Google Sans"/>
                <w:color w:val="1F1F1F"/>
              </w:rPr>
            </m:ctrlPr>
          </m:sSubPr>
          <m:e>
            <m:r>
              <w:rPr>
                <w:rFonts w:ascii="Google Sans" w:eastAsia="Google Sans" w:hAnsi="Google Sans" w:cs="Google Sans"/>
                <w:color w:val="1F1F1F"/>
              </w:rPr>
              <m:t>N</m:t>
            </m:r>
          </m:e>
          <m:sub>
            <m:r>
              <w:rPr>
                <w:rFonts w:ascii="Google Sans" w:eastAsia="Google Sans" w:hAnsi="Google Sans" w:cs="Google Sans"/>
                <w:color w:val="1F1F1F"/>
              </w:rPr>
              <m:t>train</m:t>
            </m:r>
          </m:sub>
        </m:sSub>
        <m:r>
          <w:rPr>
            <w:rFonts w:ascii="Google Sans" w:eastAsia="Google Sans" w:hAnsi="Google Sans" w:cs="Google Sans"/>
            <w:color w:val="1F1F1F"/>
          </w:rPr>
          <m:t>⋅</m:t>
        </m:r>
        <m:sSup>
          <m:sSupPr>
            <m:ctrlPr>
              <w:rPr>
                <w:rFonts w:ascii="Google Sans" w:eastAsia="Google Sans" w:hAnsi="Google Sans" w:cs="Google Sans"/>
                <w:color w:val="1F1F1F"/>
              </w:rPr>
            </m:ctrlPr>
          </m:sSupPr>
          <m:e>
            <m:r>
              <w:rPr>
                <w:rFonts w:ascii="Google Sans" w:eastAsia="Google Sans" w:hAnsi="Google Sans" w:cs="Google Sans"/>
                <w:color w:val="1F1F1F"/>
              </w:rPr>
              <m:t>L</m:t>
            </m:r>
          </m:e>
          <m:sup>
            <m:r>
              <w:rPr>
                <w:rFonts w:ascii="Google Sans" w:eastAsia="Google Sans" w:hAnsi="Google Sans" w:cs="Google Sans"/>
                <w:color w:val="1F1F1F"/>
              </w:rPr>
              <m:t>2</m:t>
            </m:r>
          </m:sup>
        </m:sSup>
        <m:r>
          <w:rPr>
            <w:rFonts w:ascii="Google Sans" w:eastAsia="Google Sans" w:hAnsi="Google Sans" w:cs="Google Sans"/>
            <w:color w:val="1F1F1F"/>
          </w:rPr>
          <m:t>)</m:t>
        </m:r>
      </m:oMath>
      <w:r>
        <w:rPr>
          <w:rFonts w:ascii="Google Sans" w:eastAsia="Google Sans" w:hAnsi="Google Sans" w:cs="Google Sans"/>
          <w:color w:val="1F1F1F"/>
        </w:rPr>
        <w:t xml:space="preserve"> with sequence length </w:t>
      </w:r>
      <m:oMath>
        <m:r>
          <w:rPr>
            <w:rFonts w:ascii="Google Sans" w:eastAsia="Google Sans" w:hAnsi="Google Sans" w:cs="Google Sans"/>
            <w:color w:val="1F1F1F"/>
          </w:rPr>
          <m:t>L</m:t>
        </m:r>
      </m:oMath>
      <w:r>
        <w:rPr>
          <w:rFonts w:ascii="Google Sans" w:eastAsia="Google Sans" w:hAnsi="Google Sans" w:cs="Google Sans"/>
          <w:color w:val="1F1F1F"/>
        </w:rPr>
        <w:t xml:space="preserve">. At </w:t>
      </w:r>
      <m:oMath>
        <m:r>
          <w:rPr>
            <w:rFonts w:ascii="Google Sans" w:eastAsia="Google Sans" w:hAnsi="Google Sans" w:cs="Google Sans"/>
            <w:color w:val="1F1F1F"/>
          </w:rPr>
          <m:t>N</m:t>
        </m:r>
        <m:r>
          <w:rPr>
            <w:rFonts w:ascii="Google Sans" w:eastAsia="Google Sans" w:hAnsi="Google Sans" w:cs="Google Sans"/>
            <w:color w:val="1F1F1F"/>
          </w:rPr>
          <m:t>=8,500</m:t>
        </m:r>
      </m:oMath>
      <w:r>
        <w:rPr>
          <w:rFonts w:ascii="Google Sans" w:eastAsia="Google Sans" w:hAnsi="Google Sans" w:cs="Google Sans"/>
          <w:color w:val="1F1F1F"/>
        </w:rPr>
        <w:t xml:space="preserve"> and </w:t>
      </w:r>
      <m:oMath>
        <m:r>
          <w:rPr>
            <w:rFonts w:ascii="Google Sans" w:eastAsia="Google Sans" w:hAnsi="Google Sans" w:cs="Google Sans"/>
            <w:color w:val="1F1F1F"/>
          </w:rPr>
          <m:t>L</m:t>
        </m:r>
        <m:r>
          <w:rPr>
            <w:rFonts w:ascii="Google Sans" w:eastAsia="Google Sans" w:hAnsi="Google Sans" w:cs="Google Sans"/>
            <w:color w:val="1F1F1F"/>
          </w:rPr>
          <m:t>=512</m:t>
        </m:r>
      </m:oMath>
      <w:r>
        <w:rPr>
          <w:rFonts w:ascii="Google Sans" w:eastAsia="Google Sans" w:hAnsi="Google Sans" w:cs="Google Sans"/>
          <w:color w:val="1F1F1F"/>
        </w:rPr>
        <w:t xml:space="preserve"> across 5 seeds, LoRA runs hundreds of thousands of long-sequence backward passes.</w:t>
      </w:r>
    </w:p>
    <w:p w14:paraId="7628EF0D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Here is the balanced 3-step method to cut your runtime by </w:t>
      </w:r>
      <w:r>
        <w:rPr>
          <w:rFonts w:ascii="Google Sans" w:eastAsia="Google Sans" w:hAnsi="Google Sans" w:cs="Google Sans"/>
          <w:b/>
          <w:bCs/>
          <w:color w:val="1F1F1F"/>
        </w:rPr>
        <w:t>80–85%</w:t>
      </w:r>
      <w:r>
        <w:rPr>
          <w:rFonts w:ascii="Google Sans" w:eastAsia="Google Sans" w:hAnsi="Google Sans" w:cs="Google Sans"/>
          <w:color w:val="1F1F1F"/>
        </w:rPr>
        <w:t xml:space="preserve"> while keeping the statistical distribution intact:</w:t>
      </w:r>
    </w:p>
    <w:p w14:paraId="7628EF0E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1: Multi-Strata Subsampling to </w:t>
      </w:r>
      <m:oMath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N</m:t>
        </m:r>
        <m:r>
          <m:rPr>
            <m:sty m:val="bi"/>
          </m:rPr>
          <w:rPr>
            <w:rFonts w:ascii="Google Sans" w:eastAsia="Google Sans" w:hAnsi="Google Sans" w:cs="Google Sans"/>
            <w:color w:val="1F1F1F"/>
          </w:rPr>
          <m:t>=2,500-3,000</m:t>
        </m:r>
      </m:oMath>
      <w:r>
        <w:rPr>
          <w:rFonts w:ascii="Google Sans" w:eastAsia="Google Sans" w:hAnsi="Google Sans" w:cs="Google Sans"/>
          <w:color w:val="1F1F1F"/>
        </w:rPr>
        <w:t xml:space="preserve"> Rows (Permanent Dataset Size)</w:t>
      </w:r>
    </w:p>
    <w:p w14:paraId="7628EF0F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Many accepted datasets in the official MulTaBench paper have between </w:t>
      </w:r>
      <w:r>
        <w:rPr>
          <w:rFonts w:ascii="Google Sans" w:eastAsia="Google Sans" w:hAnsi="Google Sans" w:cs="Google Sans"/>
          <w:b/>
          <w:bCs/>
          <w:color w:val="1F1F1F"/>
        </w:rPr>
        <w:t>1,500 and 3,000 rows</w:t>
      </w:r>
      <w:r>
        <w:rPr>
          <w:rFonts w:ascii="Google Sans" w:eastAsia="Google Sans" w:hAnsi="Google Sans" w:cs="Google Sans"/>
          <w:color w:val="1F1F1F"/>
        </w:rPr>
        <w:t xml:space="preserve">. There is no grading bonus for having 9,000 rows instead of 2,800 rows—grading is based on the </w:t>
      </w:r>
      <w:r>
        <w:rPr>
          <w:rFonts w:ascii="Google Sans" w:eastAsia="Google Sans" w:hAnsi="Google Sans" w:cs="Google Sans"/>
          <w:b/>
          <w:bCs/>
          <w:color w:val="1F1F1F"/>
        </w:rPr>
        <w:t>magnitude of the performance delta</w:t>
      </w:r>
      <w:r>
        <w:rPr>
          <w:rFonts w:ascii="Google Sans" w:eastAsia="Google Sans" w:hAnsi="Google Sans" w:cs="Google Sans"/>
          <w:color w:val="1F1F1F"/>
        </w:rPr>
        <w:t>.</w:t>
      </w:r>
    </w:p>
    <w:p w14:paraId="7628EF10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shrink the dataset to </w:t>
      </w:r>
      <w:r>
        <w:rPr>
          <w:rFonts w:ascii="Google Sans" w:eastAsia="Google Sans" w:hAnsi="Google Sans" w:cs="Google Sans"/>
          <w:b/>
          <w:bCs/>
          <w:color w:val="1F1F1F"/>
        </w:rPr>
        <w:t>2,800 rows</w:t>
      </w:r>
      <w:r>
        <w:rPr>
          <w:rFonts w:ascii="Google Sans" w:eastAsia="Google Sans" w:hAnsi="Google Sans" w:cs="Google Sans"/>
          <w:color w:val="1F1F1F"/>
        </w:rPr>
        <w:t xml:space="preserve"> without shifting the joint distribution of targets, years, company sizes, or industries, use </w:t>
      </w:r>
      <w:r>
        <w:rPr>
          <w:rFonts w:ascii="Google Sans" w:eastAsia="Google Sans" w:hAnsi="Google Sans" w:cs="Google Sans"/>
          <w:b/>
          <w:bCs/>
          <w:color w:val="1F1F1F"/>
        </w:rPr>
        <w:t>Multi-Dimensional Stratified Sampling</w:t>
      </w:r>
      <w:r>
        <w:rPr>
          <w:rFonts w:ascii="Google Sans" w:eastAsia="Google Sans" w:hAnsi="Google Sans" w:cs="Google Sans"/>
          <w:color w:val="1F1F1F"/>
        </w:rPr>
        <w:t xml:space="preserve"> when building your CSV:</w:t>
      </w:r>
    </w:p>
    <w:p w14:paraId="7628EF11" w14:textId="77777777" w:rsidR="008C5FF7" w:rsidRDefault="008C5F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628EF12" w14:textId="77777777" w:rsidR="008C5FF7" w:rsidRDefault="008C5FF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628EF13" w14:textId="77777777" w:rsidR="008C5FF7" w:rsidRDefault="008C5F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7628EF14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7628EF15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lastRenderedPageBreak/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pandas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sklearn.model_selection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train_test_split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Create a composite stratum key combining Target + Year + Asset Size Quartile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"size_quartile"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pd.qcut(df[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"Log_Total_Assets"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 q=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labels=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If regression, bin the target into 5 quantiles for stratification; if classification, use target directly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target_strata = 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"target"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"target"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].nunique() &lt;=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pd.qcut(df[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"target"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 q=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labels=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"strata"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target_strata.astype(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+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"_"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+ 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"Fiscal_Year"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].astype(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+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"_"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+ 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"size_quartile"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].astype(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Drop any tiny strata with &lt;2 members so train_test_split doesn't complain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strata_counts = 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"strata"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].value_counts()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valid_df = df[df[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"strata"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].isin(strata_counts[strata_counts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].index)]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Sample exactly 2,800 rows preserving the exact joint distribution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curated_df, _ = train_test_split(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valid_df,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train_size=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2800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stratify=valid_df[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"strata"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random_state=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curated_df = curated_df.drop(columns=[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"size_quartile"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"strata"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7628EF16" w14:textId="77777777" w:rsidR="008C5FF7" w:rsidRDefault="0062208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Impact:</w:t>
      </w:r>
      <w:r>
        <w:rPr>
          <w:rFonts w:ascii="Google Sans" w:eastAsia="Google Sans" w:hAnsi="Google Sans" w:cs="Google Sans"/>
          <w:color w:val="1F1F1F"/>
        </w:rPr>
        <w:t xml:space="preserve"> Every single year, company size bracket, and target class has the </w:t>
      </w:r>
      <w:r>
        <w:rPr>
          <w:rFonts w:ascii="Google Sans" w:eastAsia="Google Sans" w:hAnsi="Google Sans" w:cs="Google Sans"/>
          <w:b/>
          <w:bCs/>
          <w:color w:val="1F1F1F"/>
        </w:rPr>
        <w:t>exact same proportion</w:t>
      </w:r>
      <w:r>
        <w:rPr>
          <w:rFonts w:ascii="Google Sans" w:eastAsia="Google Sans" w:hAnsi="Google Sans" w:cs="Google Sans"/>
          <w:color w:val="1F1F1F"/>
        </w:rPr>
        <w:t xml:space="preserve"> as your full dataset (which you can even prove with a KS-test or summary table in Section 3 of your paper!), while cutting TabPFN and LoRA runtime by </w:t>
      </w:r>
      <w:r>
        <w:rPr>
          <w:rFonts w:ascii="Google Sans" w:eastAsia="Google Sans" w:hAnsi="Google Sans" w:cs="Google Sans"/>
          <w:b/>
          <w:bCs/>
          <w:color w:val="1F1F1F"/>
        </w:rPr>
        <w:t>$\sim 75\%$</w:t>
      </w:r>
      <w:r>
        <w:rPr>
          <w:rFonts w:ascii="Google Sans" w:eastAsia="Google Sans" w:hAnsi="Google Sans" w:cs="Google Sans"/>
          <w:color w:val="1F1F1F"/>
        </w:rPr>
        <w:t>.</w:t>
      </w:r>
    </w:p>
    <w:p w14:paraId="7628EF17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2: Cap Text Length at ~250 Words (~320 Tokens)</w:t>
      </w:r>
    </w:p>
    <w:p w14:paraId="7628EF18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As noted in Section 1 above, by limiting your Item 1A paragraph-lead extraction to the </w:t>
      </w:r>
      <w:r>
        <w:rPr>
          <w:rFonts w:ascii="Google Sans" w:eastAsia="Google Sans" w:hAnsi="Google Sans" w:cs="Google Sans"/>
          <w:b/>
          <w:bCs/>
          <w:color w:val="1F1F1F"/>
        </w:rPr>
        <w:t>first 12–15 valid sentences (~220–250 words)</w:t>
      </w:r>
      <w:r>
        <w:rPr>
          <w:rFonts w:ascii="Google Sans" w:eastAsia="Google Sans" w:hAnsi="Google Sans" w:cs="Google Sans"/>
          <w:color w:val="1F1F1F"/>
        </w:rPr>
        <w:t xml:space="preserve">, e5-small-v2 pads/truncates to ~320 tokens instead of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512 tokens. Because Transformer attention is </w:t>
      </w:r>
      <m:oMath>
        <m:r>
          <w:rPr>
            <w:rFonts w:ascii="Google Sans" w:eastAsia="Google Sans" w:hAnsi="Google Sans" w:cs="Google Sans"/>
            <w:color w:val="1F1F1F"/>
          </w:rPr>
          <m:t>O</m:t>
        </m:r>
        <m:r>
          <w:rPr>
            <w:rFonts w:ascii="Google Sans" w:eastAsia="Google Sans" w:hAnsi="Google Sans" w:cs="Google Sans"/>
            <w:color w:val="1F1F1F"/>
          </w:rPr>
          <m:t>(</m:t>
        </m:r>
        <m:sSup>
          <m:sSupPr>
            <m:ctrlPr>
              <w:rPr>
                <w:rFonts w:ascii="Google Sans" w:eastAsia="Google Sans" w:hAnsi="Google Sans" w:cs="Google Sans"/>
                <w:color w:val="1F1F1F"/>
              </w:rPr>
            </m:ctrlPr>
          </m:sSupPr>
          <m:e>
            <m:r>
              <w:rPr>
                <w:rFonts w:ascii="Google Sans" w:eastAsia="Google Sans" w:hAnsi="Google Sans" w:cs="Google Sans"/>
                <w:color w:val="1F1F1F"/>
              </w:rPr>
              <m:t>L</m:t>
            </m:r>
          </m:e>
          <m:sup>
            <m:r>
              <w:rPr>
                <w:rFonts w:ascii="Google Sans" w:eastAsia="Google Sans" w:hAnsi="Google Sans" w:cs="Google Sans"/>
                <w:color w:val="1F1F1F"/>
              </w:rPr>
              <m:t>2</m:t>
            </m:r>
          </m:sup>
        </m:sSup>
        <m:r>
          <w:rPr>
            <w:rFonts w:ascii="Google Sans" w:eastAsia="Google Sans" w:hAnsi="Google Sans" w:cs="Google Sans"/>
            <w:color w:val="1F1F1F"/>
          </w:rPr>
          <m:t>)</m:t>
        </m:r>
      </m:oMath>
      <w:r>
        <w:rPr>
          <w:rFonts w:ascii="Google Sans" w:eastAsia="Google Sans" w:hAnsi="Google Sans" w:cs="Google Sans"/>
          <w:color w:val="1F1F1F"/>
        </w:rPr>
        <w:t xml:space="preserve">, </w:t>
      </w:r>
      <m:oMath>
        <m:r>
          <w:rPr>
            <w:rFonts w:ascii="Google Sans" w:eastAsia="Google Sans" w:hAnsi="Google Sans" w:cs="Google Sans"/>
            <w:color w:val="1F1F1F"/>
          </w:rPr>
          <m:t>(320/512</m:t>
        </m:r>
        <m:sSup>
          <m:sSupPr>
            <m:ctrlPr>
              <w:rPr>
                <w:rFonts w:ascii="Google Sans" w:eastAsia="Google Sans" w:hAnsi="Google Sans" w:cs="Google Sans"/>
                <w:color w:val="1F1F1F"/>
              </w:rPr>
            </m:ctrlPr>
          </m:sSupPr>
          <m:e>
            <m:r>
              <w:rPr>
                <w:rFonts w:ascii="Google Sans" w:eastAsia="Google Sans" w:hAnsi="Google Sans" w:cs="Google Sans"/>
                <w:color w:val="1F1F1F"/>
              </w:rPr>
              <m:t>)</m:t>
            </m:r>
          </m:e>
          <m:sup>
            <m:r>
              <w:rPr>
                <w:rFonts w:ascii="Google Sans" w:eastAsia="Google Sans" w:hAnsi="Google Sans" w:cs="Google Sans"/>
                <w:color w:val="1F1F1F"/>
              </w:rPr>
              <m:t>2</m:t>
            </m:r>
          </m:sup>
        </m:sSup>
        <m:r>
          <w:rPr>
            <w:rFonts w:ascii="Google Sans" w:eastAsia="Google Sans" w:hAnsi="Google Sans" w:cs="Google Sans"/>
            <w:color w:val="1F1F1F"/>
          </w:rPr>
          <m:t>≈0.39</m:t>
        </m:r>
      </m:oMath>
      <w:r>
        <w:rPr>
          <w:rFonts w:ascii="Google Sans" w:eastAsia="Google Sans" w:hAnsi="Google Sans" w:cs="Google Sans"/>
          <w:color w:val="1F1F1F"/>
        </w:rPr>
        <w:t xml:space="preserve">—cutting LoRA GPU time by another </w:t>
      </w:r>
      <w:r>
        <w:rPr>
          <w:rFonts w:ascii="Google Sans" w:eastAsia="Google Sans" w:hAnsi="Google Sans" w:cs="Google Sans"/>
          <w:b/>
          <w:bCs/>
          <w:color w:val="1F1F1F"/>
        </w:rPr>
        <w:t>$\sim 50\text{–}60\%$</w:t>
      </w:r>
      <w:r>
        <w:rPr>
          <w:rFonts w:ascii="Google Sans" w:eastAsia="Google Sans" w:hAnsi="Google Sans" w:cs="Google Sans"/>
          <w:color w:val="1F1F1F"/>
        </w:rPr>
        <w:t xml:space="preserve"> without modifying the MulTaBench library code.</w:t>
      </w:r>
    </w:p>
    <w:p w14:paraId="7628EF19" w14:textId="77777777" w:rsidR="008C5FF7" w:rsidRDefault="00622081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3: Use a "Fast Screen" Mode (~10 Mins) Before Running the Full 5-Seed Benchmark</w:t>
      </w:r>
    </w:p>
    <w:p w14:paraId="7628EF1A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Do </w:t>
      </w:r>
      <w:r>
        <w:rPr>
          <w:rFonts w:ascii="Google Sans" w:eastAsia="Google Sans" w:hAnsi="Google Sans" w:cs="Google Sans"/>
          <w:b/>
          <w:bCs/>
          <w:color w:val="1F1F1F"/>
        </w:rPr>
        <w:t>not</w:t>
      </w:r>
      <w:r>
        <w:rPr>
          <w:rFonts w:ascii="Google Sans" w:eastAsia="Google Sans" w:hAnsi="Google Sans" w:cs="Google Sans"/>
          <w:color w:val="1F1F1F"/>
        </w:rPr>
        <w:t xml:space="preserve"> run all 5 seeds and all 5 models while you are still tuning features and text cleaning:</w:t>
      </w:r>
    </w:p>
    <w:p w14:paraId="7628EF1B" w14:textId="77777777" w:rsidR="008C5FF7" w:rsidRDefault="006220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Phase A — Fast Screening (~10–12 minutes per run):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Run with </w:t>
      </w:r>
      <w:r>
        <w:rPr>
          <w:rFonts w:ascii="Google Sans" w:eastAsia="Google Sans" w:hAnsi="Google Sans" w:cs="Google Sans"/>
          <w:b/>
          <w:bCs/>
          <w:color w:val="1F1F1F"/>
        </w:rPr>
        <w:t>1 seed</w:t>
      </w:r>
      <w:r>
        <w:rPr>
          <w:rFonts w:ascii="Google Sans" w:eastAsia="Google Sans" w:hAnsi="Google Sans" w:cs="Google Sans"/>
          <w:color w:val="1F1F1F"/>
        </w:rPr>
        <w:t xml:space="preserve"> (seeds=[42]) and </w:t>
      </w:r>
      <w:r>
        <w:rPr>
          <w:rFonts w:ascii="Google Sans" w:eastAsia="Google Sans" w:hAnsi="Google Sans" w:cs="Google Sans"/>
          <w:b/>
          <w:bCs/>
          <w:color w:val="1F1F1F"/>
        </w:rPr>
        <w:t>3 learners</w:t>
      </w:r>
      <w:r>
        <w:rPr>
          <w:rFonts w:ascii="Google Sans" w:eastAsia="Google Sans" w:hAnsi="Google Sans" w:cs="Google Sans"/>
          <w:color w:val="1F1F1F"/>
        </w:rPr>
        <w:t xml:space="preserve"> (LightGBM, CatBoost, TabPFN 2.0) on your </w:t>
      </w:r>
      <m:oMath>
        <m:r>
          <w:rPr>
            <w:rFonts w:ascii="Google Sans" w:eastAsia="Google Sans" w:hAnsi="Google Sans" w:cs="Google Sans"/>
            <w:color w:val="1F1F1F"/>
          </w:rPr>
          <m:t>N</m:t>
        </m:r>
        <m:r>
          <w:rPr>
            <w:rFonts w:ascii="Google Sans" w:eastAsia="Google Sans" w:hAnsi="Google Sans" w:cs="Google Sans"/>
            <w:color w:val="1F1F1F"/>
          </w:rPr>
          <m:t>=2,800</m:t>
        </m:r>
      </m:oMath>
      <w:r>
        <w:rPr>
          <w:rFonts w:ascii="Google Sans" w:eastAsia="Google Sans" w:hAnsi="Google Sans" w:cs="Google Sans"/>
          <w:color w:val="1F1F1F"/>
        </w:rPr>
        <w:t xml:space="preserve"> dataset. Why? Because LightGBM, CatBoost, and TabPFN 2.0 span both GBDTs and Tabular Foundation Models and run very fast once LoRA embeddings are extracted for 1 seed. If at least 2 of those 3 pass both Joint Frozen &gt; Unimodal and Joint TAR &gt; Joint Frozen on 1 seed, your curation works.</w:t>
      </w:r>
    </w:p>
    <w:p w14:paraId="7628EF1C" w14:textId="77777777" w:rsidR="008C5FF7" w:rsidRDefault="006220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Phase B — Full Official Benchmark Run (~55–75 minutes, done ONCE):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Only after Phase A succeeds, re-enable all </w:t>
      </w:r>
      <w:r>
        <w:rPr>
          <w:rFonts w:ascii="Google Sans" w:eastAsia="Google Sans" w:hAnsi="Google Sans" w:cs="Google Sans"/>
          <w:b/>
          <w:bCs/>
          <w:color w:val="1F1F1F"/>
        </w:rPr>
        <w:t>5 required learners</w:t>
      </w:r>
      <w:r>
        <w:rPr>
          <w:rFonts w:ascii="Google Sans" w:eastAsia="Google Sans" w:hAnsi="Google Sans" w:cs="Google Sans"/>
          <w:color w:val="1F1F1F"/>
        </w:rPr>
        <w:t xml:space="preserve"> (TabM, CatBoost, LightGBM, TabPFN 2.0, TabPFN 2.5) across the full seeds to generate your final </w:t>
      </w:r>
      <w:r>
        <w:rPr>
          <w:rFonts w:ascii="Google Sans" w:eastAsia="Google Sans" w:hAnsi="Google Sans" w:cs="Google Sans"/>
          <w:b/>
          <w:bCs/>
          <w:color w:val="1F1F1F"/>
        </w:rPr>
        <w:t>Evaluation Report CSV</w:t>
      </w:r>
      <w:r>
        <w:rPr>
          <w:rFonts w:ascii="Google Sans" w:eastAsia="Google Sans" w:hAnsi="Google Sans" w:cs="Google Sans"/>
          <w:color w:val="1F1F1F"/>
        </w:rPr>
        <w:t xml:space="preserve"> for submission.</w:t>
      </w:r>
    </w:p>
    <w:p w14:paraId="7628EF1D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Would you like a quick snippet for the Item 1A paragraph-lead extraction filter so you can regenerate the CSV and run a 10-minute 1-seed check today?</w:t>
      </w:r>
    </w:p>
    <w:p w14:paraId="7628EF1E" w14:textId="77777777" w:rsidR="008C5FF7" w:rsidRDefault="008C5F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7628EF1F" w14:textId="77777777" w:rsidR="008C5FF7" w:rsidRDefault="006220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IMPORTANT CHANGES: </w:t>
      </w:r>
    </w:p>
    <w:p w14:paraId="7628EF21" w14:textId="77777777" w:rsidR="008C5FF7" w:rsidRDefault="006220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already have around 2800 examples, instead use 1000 randomly selected rows.</w:t>
      </w:r>
    </w:p>
    <w:p w14:paraId="7628EF22" w14:textId="77777777" w:rsidR="008C5FF7" w:rsidRDefault="006220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all 5 learners.</w:t>
      </w:r>
    </w:p>
    <w:p w14:paraId="7628EF23" w14:textId="77777777" w:rsidR="008C5FF7" w:rsidRDefault="006220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Don't cap text length.</w:t>
      </w:r>
    </w:p>
    <w:sectPr w:rsidR="008C5F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2284AD2-1EED-4046-A7D6-FD20BA3DDD86}"/>
  </w:font>
  <w:font w:name="Google Sans">
    <w:charset w:val="00"/>
    <w:family w:val="auto"/>
    <w:pitch w:val="default"/>
    <w:embedRegular r:id="rId2" w:fontKey="{098F7427-86CB-412E-BFD4-6E1F04FB87E9}"/>
    <w:embedBold r:id="rId3" w:fontKey="{377079BA-0EA5-4F16-9C4D-2FB6E910ACAE}"/>
    <w:embedItalic r:id="rId4" w:fontKey="{9BAA5BFA-5436-438B-8A1B-373B29FBA8D7}"/>
    <w:embedBoldItalic r:id="rId5" w:fontKey="{F9375FCB-1D17-4690-8ED0-649B6D6A7F2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08693D7F-FA79-468E-9DB1-9D33408DE9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D9D5F27-D3B4-4EC1-A4AF-CB67F39F24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2235BDB-F04F-4ED6-BEA0-8F6D53EDD6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3C8"/>
    <w:multiLevelType w:val="multilevel"/>
    <w:tmpl w:val="25E07F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EC3002"/>
    <w:multiLevelType w:val="multilevel"/>
    <w:tmpl w:val="F42CDA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4B0FB3"/>
    <w:multiLevelType w:val="multilevel"/>
    <w:tmpl w:val="DFD48D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610B06"/>
    <w:multiLevelType w:val="multilevel"/>
    <w:tmpl w:val="C1068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EA18A1"/>
    <w:multiLevelType w:val="multilevel"/>
    <w:tmpl w:val="1C3802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7E404E"/>
    <w:multiLevelType w:val="multilevel"/>
    <w:tmpl w:val="5D2821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4F1FD8"/>
    <w:multiLevelType w:val="multilevel"/>
    <w:tmpl w:val="96DE53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DB1C00"/>
    <w:multiLevelType w:val="multilevel"/>
    <w:tmpl w:val="DB76BE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7C1675"/>
    <w:multiLevelType w:val="multilevel"/>
    <w:tmpl w:val="67E08B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BC5F8B"/>
    <w:multiLevelType w:val="multilevel"/>
    <w:tmpl w:val="3496CF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C9335A3"/>
    <w:multiLevelType w:val="multilevel"/>
    <w:tmpl w:val="EBFA93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D8E5BA0"/>
    <w:multiLevelType w:val="multilevel"/>
    <w:tmpl w:val="90DE0E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19318116">
    <w:abstractNumId w:val="3"/>
  </w:num>
  <w:num w:numId="2" w16cid:durableId="302277967">
    <w:abstractNumId w:val="7"/>
  </w:num>
  <w:num w:numId="3" w16cid:durableId="1435174205">
    <w:abstractNumId w:val="1"/>
  </w:num>
  <w:num w:numId="4" w16cid:durableId="1104571508">
    <w:abstractNumId w:val="6"/>
  </w:num>
  <w:num w:numId="5" w16cid:durableId="1035929329">
    <w:abstractNumId w:val="0"/>
  </w:num>
  <w:num w:numId="6" w16cid:durableId="1735884071">
    <w:abstractNumId w:val="4"/>
  </w:num>
  <w:num w:numId="7" w16cid:durableId="870190863">
    <w:abstractNumId w:val="5"/>
  </w:num>
  <w:num w:numId="8" w16cid:durableId="1544100589">
    <w:abstractNumId w:val="8"/>
  </w:num>
  <w:num w:numId="9" w16cid:durableId="1099133039">
    <w:abstractNumId w:val="11"/>
  </w:num>
  <w:num w:numId="10" w16cid:durableId="230391133">
    <w:abstractNumId w:val="9"/>
  </w:num>
  <w:num w:numId="11" w16cid:durableId="901254374">
    <w:abstractNumId w:val="2"/>
  </w:num>
  <w:num w:numId="12" w16cid:durableId="10728512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FF7"/>
    <w:rsid w:val="001017F2"/>
    <w:rsid w:val="00622081"/>
    <w:rsid w:val="008C5FF7"/>
    <w:rsid w:val="0098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EEE4"/>
  <w15:docId w15:val="{683A6995-DF11-4156-BA15-92133C2B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Bazkor</cp:lastModifiedBy>
  <cp:revision>2</cp:revision>
  <dcterms:created xsi:type="dcterms:W3CDTF">2026-10-19T16:24:00Z</dcterms:created>
  <dcterms:modified xsi:type="dcterms:W3CDTF">2026-10-19T16:24:00Z</dcterms:modified>
</cp:coreProperties>
</file>