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First, to put your current numbers in perspective: 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m:t>Δ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Joint</m:t>
            </m:r>
          </m:sub>
        </m:sSub>
        <m:r>
          <w:rPr>
            <w:rFonts w:ascii="Google Sans" w:cs="Google Sans" w:eastAsia="Google Sans" w:hAnsi="Google Sans"/>
            <w:b w:val="1"/>
            <w:bCs w:val="1"/>
            <w:color w:val="1f1f1f"/>
          </w:rPr>
          <m:t>≈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0.030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and 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m:t>Δ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TAR</m:t>
            </m:r>
          </m:sub>
        </m:sSub>
        <m:r>
          <w:rPr>
            <w:rFonts w:ascii="Google Sans" w:cs="Google Sans" w:eastAsia="Google Sans" w:hAnsi="Google Sans"/>
            <w:b w:val="1"/>
            <w:bCs w:val="1"/>
            <w:color w:val="1f1f1f"/>
          </w:rPr>
          <m:t>≈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0.025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(a combined 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+0.055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gain from unimodal to Joint TAR) is already a strong result.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the MulTaBench paper, many accepted datasets pass with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m:t>Δ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TAR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between </w:t>
      </w:r>
      <m:oMath>
        <m:r>
          <w:rPr>
            <w:rFonts w:ascii="Google Sans" w:cs="Google Sans" w:eastAsia="Google Sans" w:hAnsi="Google Sans"/>
            <w:color w:val="1f1f1f"/>
          </w:rPr>
          <m:t xml:space="preserve">0.005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m:oMath>
        <m:r>
          <w:rPr>
            <w:rFonts w:ascii="Google Sans" w:cs="Google Sans" w:eastAsia="Google Sans" w:hAnsi="Google Sans"/>
            <w:color w:val="1f1f1f"/>
          </w:rPr>
          <m:t xml:space="preserve">0.018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Having both deltas sit around $+2.5\%\text{–}3.0\%$ gives you the exact step-wise progression shown in Figure 1 of the instructions.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More importantly, the fact that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#1, #2, and #5 improved your scores while #3 made them worse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reveals the exact mechanism driving your dataset's signal. You can exploit that insight for one final round of fast, low-compute tuning before locking in your dataset.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Why #3 Hurt — And How to Turn It Into a Gain ("Longitudinal Firm Contrast")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#3, capping observations per company (CIK) and applying signed-log/rounding hurt your deltas for a revealing reason: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having the same company appear in multiple years actually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helps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Joint TAR beat both Unimodal Structured and Joint Frozen.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why: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Suppose Company X appears in your dataset in 2019 (</w:t>
      </w:r>
      <m:oMath>
        <m:r>
          <w:rPr>
            <w:rFonts w:ascii="Google Sans" w:cs="Google Sans" w:eastAsia="Google Sans" w:hAnsi="Google Sans"/>
            <w:color w:val="1f1f1f"/>
          </w:rPr>
          <m:t xml:space="preserve">y=0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healthy) and again in 2022 (</w:t>
      </w:r>
      <m:oMath>
        <m:r>
          <w:rPr>
            <w:rFonts w:ascii="Google Sans" w:cs="Google Sans" w:eastAsia="Google Sans" w:hAnsi="Google Sans"/>
            <w:color w:val="1f1f1f"/>
          </w:rPr>
          <m:t xml:space="preserve">y=1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distressed).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Its baseline structural scale (Log_Total_Assets, Asset_Turnover) is nearly identical in both years, so Unimodal Structured struggles to distinguish the two rows.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Meanwhile, Frozen E5 clusters both 10-K filings right next to each other in embedding space because they are written by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exact same company in the same industry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!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LoRA (Joint TAR)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however, sees two rows with nearly identical company/industry vocabulary but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opposite labels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m:oMath>
        <m:r>
          <w:rPr>
            <w:rFonts w:ascii="Google Sans" w:cs="Google Sans" w:eastAsia="Google Sans" w:hAnsi="Google Sans"/>
            <w:color w:val="1f1f1f"/>
          </w:rPr>
          <m:t xml:space="preserve">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vs. </w:t>
      </w:r>
      <m:oMath>
        <m:r>
          <w:rPr>
            <w:rFonts w:ascii="Google Sans" w:cs="Google Sans" w:eastAsia="Google Sans" w:hAnsi="Google Sans"/>
            <w:color w:val="1f1f1f"/>
          </w:rPr>
          <m:t xml:space="preserve">1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To minimize training loss, LoRA is forced to ignore industry/company boilerplate and attend strictly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newly added risk sentences in 2022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(e.g., covenant breaches, liquidity warnings, customer losses).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Actionable Tweak: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Keep your raw unrounded/unlogged ratios (reversing #3 completely), and when subsampling your ~2,800 rows,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prioritize firms (CIKs) that appear at least twice across the sample period—especially firms that transition between 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y=0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and 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y=1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across different years.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Increasing the proportion of longitudinal multi-year firms naturally suppresses static industry/size shortcuts and amplifies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m:t>Δ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TAR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Run an Exhaustive Subset Search on Your Remaining 6 Columns (Takes &lt;3 Minutes)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Dropping CapEx_to_Assets (#5) worked because it removed noise/collinearity from the tabular baseline. You now have 6 structured columns left: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Log_Total_Assets, Debt_to_Assets, Current_Ratio, Cash_to_Total_Assets, Asset_Turnover, and Fiscal_Year.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Notice two likely redundancies among these 6: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Current_Ratio vs. Cash_to_Total_Assets: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Both measure short-term liquidity buffer. Having both often makes Unimodal Structured slightly too strong on liquidity distress.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Fiscal_Year: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During macro shocks (e.g., 2020 COVID or 2022 interest rate hikes), Fiscal_Year gives the tabular model free macroeconomic regime timing that 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also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described in the Item 1A text. Dropping Fiscal_Year forces the joint model to extract macro-shock exposure from the text.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Because the extracted text embeddings (Frozen and TAR)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 not change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you drop tabular columns, you do not need to re-run E5 or LoRA to test tabular subsets. There are only </w:t>
      </w:r>
      <m:oMath>
        <m:f>
          <m:fPr>
            <m:ctrlPr>
              <w:rPr>
                <w:rFonts w:ascii="Google Sans" w:cs="Google Sans" w:eastAsia="Google Sans" w:hAnsi="Google Sans"/>
                <w:color w:val="1f1f1f"/>
              </w:rPr>
            </m:ctrlPr>
          </m:fPr>
          <m:num>
            <m:r>
              <w:rPr>
                <w:rFonts w:ascii="Google Sans" w:cs="Google Sans" w:eastAsia="Google Sans" w:hAnsi="Google Sans"/>
                <w:color w:val="1f1f1f"/>
              </w:rPr>
              <m:t xml:space="preserve">6</m:t>
            </m:r>
          </m:num>
          <m:den>
            <m:r>
              <w:rPr>
                <w:rFonts w:ascii="Google Sans" w:cs="Google Sans" w:eastAsia="Google Sans" w:hAnsi="Google Sans"/>
                <w:color w:val="1f1f1f"/>
              </w:rPr>
              <m:t xml:space="preserve">5</m:t>
            </m:r>
          </m:den>
        </m:f>
        <m:r>
          <w:rPr>
            <w:rFonts w:ascii="Google Sans" w:cs="Google Sans" w:eastAsia="Google Sans" w:hAnsi="Google Sans"/>
            <w:color w:val="1f1f1f"/>
          </w:rPr>
          <m:t xml:space="preserve">+</m:t>
        </m:r>
        <m:f>
          <m:fPr>
            <m:ctrlPr>
              <w:rPr>
                <w:rFonts w:ascii="Google Sans" w:cs="Google Sans" w:eastAsia="Google Sans" w:hAnsi="Google Sans"/>
                <w:color w:val="1f1f1f"/>
              </w:rPr>
            </m:ctrlPr>
          </m:fPr>
          <m:num>
            <m:r>
              <w:rPr>
                <w:rFonts w:ascii="Google Sans" w:cs="Google Sans" w:eastAsia="Google Sans" w:hAnsi="Google Sans"/>
                <w:color w:val="1f1f1f"/>
              </w:rPr>
              <m:t xml:space="preserve">6</m:t>
            </m:r>
          </m:num>
          <m:den>
            <m:r>
              <w:rPr>
                <w:rFonts w:ascii="Google Sans" w:cs="Google Sans" w:eastAsia="Google Sans" w:hAnsi="Google Sans"/>
                <w:color w:val="1f1f1f"/>
              </w:rPr>
              <m:t xml:space="preserve">4</m:t>
            </m:r>
          </m:den>
        </m:f>
        <m:r>
          <w:rPr>
            <w:rFonts w:ascii="Google Sans" w:cs="Google Sans" w:eastAsia="Google Sans" w:hAnsi="Google Sans"/>
            <w:color w:val="1f1f1f"/>
          </w:rPr>
          <m:t xml:space="preserve">=21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subsets of size 4 or 5: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Save/load the 30-dim PCA embeddings (Z_frozen and Z_tar) from your current best 1-seed run.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a 2-minute Python loop testing all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21 subsets of 4 or 5 structured columns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LightGBM and CatBoost.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Pick the subset that maximizes </w:t>
      </w:r>
      <m:oMath>
        <m:limLow>
          <m:e>
            <m:r>
              <m:t>min</m:t>
            </m:r>
          </m:e>
          <m:lim/>
        </m:limLow>
        <m:r>
          <w:rPr>
            <w:rFonts w:ascii="Google Sans" w:cs="Google Sans" w:eastAsia="Google Sans" w:hAnsi="Google Sans"/>
            <w:color w:val="1f1f1f"/>
          </w:rPr>
          <m:t xml:space="preserve">(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>Δ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Joint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,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>Δ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TAR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)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Fix "Buried Financial Risks" via IDF-Ranked Sentence Selection (Refining #1)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Right now, your #1 filter removes boilerplate and takes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first 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K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valid paragraph lead sentences in document order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Remaining Bottleneck: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Many companies organize Item 1A by listing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Operational / Industry Risks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first (paragraphs 1–12) and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Financial / Indebtedness / Liquidity Risks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the middle of the document (paragraphs 15–30). When you take the first 10 valid sentences in document order, acute financial risk headers sitting at paragraph 20 get truncated out.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Leakage-Free Fix: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Instead of taking the first 10 valid lead sentences purely by paragraph index: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Extract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valid non-boilerplate paragraph lead sentences from the filing's Item 1A (usually ~25–40 candidate sentences).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Fit a standard TfidfVectorizer across all candidate sentences in your corpus (completely unsupervised—no target labels </w:t>
      </w:r>
      <m:oMath>
        <m:r>
          <w:rPr>
            <w:rFonts w:ascii="Google Sans" w:cs="Google Sans" w:eastAsia="Google Sans" w:hAnsi="Google Sans"/>
            <w:color w:val="1f1f1f"/>
          </w:rPr>
          <m:t xml:space="preserve">y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used).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Score each candidate sentence by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mean IDF of its words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(or boost sentences containing structural risk terms like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indebtedness, covenant, liquidity, credit, default, going concern, margin, litigation, customer concentration, supply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Select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 10 highest-scoring sentences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each filing and join them in their original document order.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ensures the 220-word window fed into e5-small-v2 never misses a late-paragraph debt or liquidity warning.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Tune the Grey-Zone Margin One Step Further (Refining #2)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Since #2 (pruning the noisy middle buffer zone of the target distribution) gave you a solid jump when combined with #1, test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one slightly wider buffer margin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your fast 1-seed setup: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 currently keep the Bottom 25% (</w:t>
      </w:r>
      <m:oMath>
        <m:r>
          <w:rPr>
            <w:rFonts w:ascii="Google Sans" w:cs="Google Sans" w:eastAsia="Google Sans" w:hAnsi="Google Sans"/>
            <w:color w:val="1f1f1f"/>
          </w:rPr>
          <m:t xml:space="preserve">y=1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vs. Top 55% (</w:t>
      </w:r>
      <m:oMath>
        <m:r>
          <w:rPr>
            <w:rFonts w:ascii="Google Sans" w:cs="Google Sans" w:eastAsia="Google Sans" w:hAnsi="Google Sans"/>
            <w:color w:val="1f1f1f"/>
          </w:rPr>
          <m:t xml:space="preserve">y=0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(dropping the middle 20%), test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Bottom 20% (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y=1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 vs. Top 50% (</w:t>
      </w:r>
      <m:oMath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y=0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(dropping the ambiguous middle 30%).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Cleaner separation between truly distressed and truly healthy firm-years sharpens the gradients during LoRA fine-tuning, often adding another </w:t>
      </w:r>
      <m:oMath>
        <m:r>
          <w:rPr>
            <w:rFonts w:ascii="Google Sans" w:cs="Google Sans" w:eastAsia="Google Sans" w:hAnsi="Google Sans"/>
            <w:color w:val="1f1f1f"/>
          </w:rPr>
          <m:t xml:space="preserve">+0.005to+0.010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specifically to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m:t>Δ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TAR</m:t>
            </m:r>
          </m:sub>
        </m:sSub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Strategic Advice: Know When to Freeze (6 Days Left)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Monday, October 26, 2026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deadline 6 days away, here is how you should manage your remaining time: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Spend at most 2–3 hours today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testing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21 tabular column subsets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(Section 2 above) and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IDF sentence ranking / grey-zone margin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(Sections 3 &amp; 4).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Even if your deltas stay right at 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m:t>Δ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Joint</m:t>
            </m:r>
          </m:sub>
        </m:sSub>
        <m:r>
          <w:rPr>
            <w:rFonts w:ascii="Google Sans" w:cs="Google Sans" w:eastAsia="Google Sans" w:hAnsi="Google Sans"/>
            <w:b w:val="1"/>
            <w:bCs w:val="1"/>
            <w:color w:val="1f1f1f"/>
          </w:rPr>
          <m:t>≈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0.030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and </w:t>
      </w:r>
      <m:oMath>
        <m:sSub>
          <m:sSubPr>
            <m:ctrlP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m:ctrlPr>
          </m:sSubPr>
          <m:e>
            <m:r>
              <m:t>Δ</m:t>
            </m:r>
          </m:e>
          <m:sub>
            <m:r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  <m:t xml:space="preserve">TAR</m:t>
            </m:r>
          </m:sub>
        </m:sSub>
        <m:r>
          <w:rPr>
            <w:rFonts w:ascii="Google Sans" w:cs="Google Sans" w:eastAsia="Google Sans" w:hAnsi="Google Sans"/>
            <w:b w:val="1"/>
            <w:bCs w:val="1"/>
            <w:color w:val="1f1f1f"/>
          </w:rPr>
          <m:t>≈</m:t>
        </m:r>
        <m:r>
          <w:rPr>
            <w:rFonts w:ascii="Google Sans" w:cs="Google Sans" w:eastAsia="Google Sans" w:hAnsi="Google Sans"/>
            <w:b w:val="1"/>
            <w:bCs w:val="1"/>
            <w:color w:val="1f1f1f"/>
          </w:rPr>
          <m:t xml:space="preserve">0.025</m:t>
        </m:r>
      </m:oMath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, lock the dataset tonight.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Verify how many of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 required learners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(TabM, CatBoost, LightGBM, TabPFN 2.0, TabPFN 2.5) pass both criteria. (You need at least 3 out of 5 to pass, and if 4 or 5 pass with ~0.025–0.030 deltas, your dataset is in great shape.)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Turn your exact experimentation log into Section 4/5 of your paper: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Reviewers and course staff love empirical transparency. Include a dedicated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"Curation Ablation Study"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table in your 4-page NeurIPS paper showing: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Baseline (Item 7 + 16 features)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Failed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Pivot to Item 1A Lead Sentences + 7 Decoupled Features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Passed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+ IDF Boilerplate Pruning (#1) &amp; Target Margin Purification (#2)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Boosted both deltas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+ Leave-One-Feature-Out (-CapEx_to_Assets, #5)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Reached </w:t>
      </w:r>
      <m:oMath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m:t>Δ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Joint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=0.030,</m:t>
        </m:r>
        <m:sSub>
          <m:sSubPr>
            <m:ctrlPr>
              <w:rPr>
                <w:rFonts w:ascii="Google Sans" w:cs="Google Sans" w:eastAsia="Google Sans" w:hAnsi="Google Sans"/>
                <w:color w:val="1f1f1f"/>
              </w:rPr>
            </m:ctrlPr>
          </m:sSubPr>
          <m:e>
            <m:r>
              <w:rPr>
                <w:rFonts w:ascii="Google Sans" w:cs="Google Sans" w:eastAsia="Google Sans" w:hAnsi="Google Sans"/>
                <w:color w:val="1f1f1f"/>
              </w:rPr>
              <m:t>Δ</m:t>
            </m:r>
          </m:e>
          <m:sub>
            <m:r>
              <w:rPr>
                <w:rFonts w:ascii="Google Sans" w:cs="Google Sans" w:eastAsia="Google Sans" w:hAnsi="Google Sans"/>
                <w:color w:val="1f1f1f"/>
              </w:rPr>
              <m:t xml:space="preserve">TAR</m:t>
            </m:r>
          </m:sub>
        </m:sSub>
        <m:r>
          <w:rPr>
            <w:rFonts w:ascii="Google Sans" w:cs="Google Sans" w:eastAsia="Google Sans" w:hAnsi="Google Sans"/>
            <w:color w:val="1f1f1f"/>
          </w:rPr>
          <m:t xml:space="preserve">=0.025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Negative Result: Firm-Cap &amp; Log-Rounding (#3)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Degraded performance (explaining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longitudinal within-firm contrast is critical for financial text-tabular learning).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academic benchmarking papers, explaining a well-diagnosed negative result alongside your positive ablations is one of the strongest signals of research maturity.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