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selecting your dataset, there is a critical piece of information from the </w:t>
      </w:r>
      <w:r w:rsidDel="00000000" w:rsidR="00000000" w:rsidRPr="00000000">
        <w:rPr>
          <w:rFonts w:ascii="Google Sans" w:cs="Google Sans" w:eastAsia="Google Sans" w:hAnsi="Google Sans"/>
          <w:b w:val="1"/>
          <w:bCs w:val="1"/>
          <w:color w:val="1f1f1f"/>
          <w:rtl w:val="0"/>
        </w:rPr>
        <w:t xml:space="preserve">MulTaBench paper ([1], arXiv:2605.10616v2)</w:t>
      </w:r>
      <w:r w:rsidDel="00000000" w:rsidR="00000000" w:rsidRPr="00000000">
        <w:rPr>
          <w:rFonts w:ascii="Google Sans" w:cs="Google Sans" w:eastAsia="Google Sans" w:hAnsi="Google Sans"/>
          <w:color w:val="1f1f1f"/>
          <w:rtl w:val="0"/>
        </w:rPr>
        <w:t xml:space="preserve"> that you must account for so you do not accidentally pick a dataset that has already been evaluated: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What to Strictly Avoid (The 56 Existing Benchmark Datasets):</w:t>
      </w:r>
      <w:r w:rsidDel="00000000" w:rsidR="00000000" w:rsidRPr="00000000">
        <w:rPr>
          <w:rFonts w:ascii="Google Sans" w:cs="Google Sans" w:eastAsia="Google Sans" w:hAnsi="Google Sans"/>
          <w:color w:val="1f1f1f"/>
          <w:rtl w:val="0"/>
        </w:rPr>
        <w:t xml:space="preserve"> In the MulTaBench study, the authors did not scrape their 20 text-tabular datasets from scratch—they aggregated </w:t>
      </w:r>
      <w:r w:rsidDel="00000000" w:rsidR="00000000" w:rsidRPr="00000000">
        <w:rPr>
          <w:rFonts w:ascii="Google Sans" w:cs="Google Sans" w:eastAsia="Google Sans" w:hAnsi="Google Sans"/>
          <w:b w:val="1"/>
          <w:bCs w:val="1"/>
          <w:color w:val="1f1f1f"/>
          <w:rtl w:val="0"/>
        </w:rPr>
        <w:t xml:space="preserve">56 unique datasets</w:t>
      </w:r>
      <w:r w:rsidDel="00000000" w:rsidR="00000000" w:rsidRPr="00000000">
        <w:rPr>
          <w:rFonts w:ascii="Google Sans" w:cs="Google Sans" w:eastAsia="Google Sans" w:hAnsi="Google Sans"/>
          <w:color w:val="1f1f1f"/>
          <w:rtl w:val="0"/>
        </w:rPr>
        <w:t xml:space="preserve"> from four existing text-tabular benchmarks: the </w:t>
      </w:r>
      <w:r w:rsidDel="00000000" w:rsidR="00000000" w:rsidRPr="00000000">
        <w:rPr>
          <w:rFonts w:ascii="Google Sans" w:cs="Google Sans" w:eastAsia="Google Sans" w:hAnsi="Google Sans"/>
          <w:b w:val="1"/>
          <w:bCs w:val="1"/>
          <w:color w:val="1f1f1f"/>
          <w:rtl w:val="0"/>
        </w:rPr>
        <w:t xml:space="preserve">Multimodal AutoML Benchmark</w:t>
      </w:r>
      <w:r w:rsidDel="00000000" w:rsidR="00000000" w:rsidRPr="00000000">
        <w:rPr>
          <w:rFonts w:ascii="Google Sans" w:cs="Google Sans" w:eastAsia="Google Sans" w:hAnsi="Google Sans"/>
          <w:color w:val="1f1f1f"/>
          <w:rtl w:val="0"/>
        </w:rPr>
        <w:t xml:space="preserve"> (18 datasets, e.g., </w:t>
      </w:r>
      <w:r w:rsidDel="00000000" w:rsidR="00000000" w:rsidRPr="00000000">
        <w:rPr>
          <w:rFonts w:ascii="Google Sans" w:cs="Google Sans" w:eastAsia="Google Sans" w:hAnsi="Google Sans"/>
          <w:i w:val="1"/>
          <w:iCs w:val="1"/>
          <w:color w:val="1f1f1f"/>
          <w:rtl w:val="0"/>
        </w:rPr>
        <w:t xml:space="preserve">Airbnb Melbourne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Data Scientist Salary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Mercari Price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Kickstarter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Clothing Reviews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Jigsaw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California Housing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Fake Job Postings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CARTE</w:t>
      </w:r>
      <w:r w:rsidDel="00000000" w:rsidR="00000000" w:rsidRPr="00000000">
        <w:rPr>
          <w:rFonts w:ascii="Google Sans" w:cs="Google Sans" w:eastAsia="Google Sans" w:hAnsi="Google Sans"/>
          <w:color w:val="1f1f1f"/>
          <w:rtl w:val="0"/>
        </w:rPr>
        <w:t xml:space="preserve"> (51 entity/string datasets, e.g., </w:t>
      </w:r>
      <w:r w:rsidDel="00000000" w:rsidR="00000000" w:rsidRPr="00000000">
        <w:rPr>
          <w:rFonts w:ascii="Google Sans" w:cs="Google Sans" w:eastAsia="Google Sans" w:hAnsi="Google Sans"/>
          <w:i w:val="1"/>
          <w:iCs w:val="1"/>
          <w:color w:val="1f1f1f"/>
          <w:rtl w:val="0"/>
        </w:rPr>
        <w:t xml:space="preserve">Wine Reviews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Spotify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Yelp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Zomato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Used Cars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Anime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Ramen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Michelin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Video Games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STRABLE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Grinsztajn et al.</w:t>
      </w:r>
      <w:r w:rsidDel="00000000" w:rsidR="00000000" w:rsidRPr="00000000">
        <w:rPr>
          <w:rFonts w:ascii="Google Sans" w:cs="Google Sans" w:eastAsia="Google Sans" w:hAnsi="Google Sans"/>
          <w:color w:val="1f1f1f"/>
          <w:rtl w:val="0"/>
        </w:rPr>
        <w:t xml:space="preserve">, plus </w:t>
      </w:r>
      <w:r w:rsidDel="00000000" w:rsidR="00000000" w:rsidRPr="00000000">
        <w:rPr>
          <w:rFonts w:ascii="Google Sans" w:cs="Google Sans" w:eastAsia="Google Sans" w:hAnsi="Google Sans"/>
          <w:i w:val="1"/>
          <w:iCs w:val="1"/>
          <w:color w:val="1f1f1f"/>
          <w:rtl w:val="0"/>
        </w:rPr>
        <w:t xml:space="preserve">IMDB</w:t>
      </w:r>
      <w:r w:rsidDel="00000000" w:rsidR="00000000" w:rsidRPr="00000000">
        <w:rPr>
          <w:rFonts w:ascii="Google Sans" w:cs="Google Sans" w:eastAsia="Google Sans" w:hAnsi="Google Sans"/>
          <w:color w:val="1f1f1f"/>
          <w:rtl w:val="0"/>
        </w:rPr>
        <w:t xml:space="preserve"> (used as the default example in TabSTAR [2]) and </w:t>
      </w:r>
      <w:r w:rsidDel="00000000" w:rsidR="00000000" w:rsidRPr="00000000">
        <w:rPr>
          <w:rFonts w:ascii="Google Sans" w:cs="Google Sans" w:eastAsia="Google Sans" w:hAnsi="Google Sans"/>
          <w:i w:val="1"/>
          <w:iCs w:val="1"/>
          <w:color w:val="1f1f1f"/>
          <w:rtl w:val="0"/>
        </w:rPr>
        <w:t xml:space="preserve">PetFinder</w:t>
      </w:r>
      <w:r w:rsidDel="00000000" w:rsidR="00000000" w:rsidRPr="00000000">
        <w:rPr>
          <w:rFonts w:ascii="Google Sans" w:cs="Google Sans" w:eastAsia="Google Sans" w:hAnsi="Google Sans"/>
          <w:color w:val="1f1f1f"/>
          <w:rtl w:val="0"/>
        </w:rPr>
        <w:t xml:space="preserve">. Do not use any dataset from those benchmarks.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under the hood, the official MulTaBench pipeline caps dataset evaluations at </w:t>
      </w:r>
      <w:r w:rsidDel="00000000" w:rsidR="00000000" w:rsidRPr="00000000">
        <w:rPr>
          <w:rFonts w:ascii="Google Sans" w:cs="Google Sans" w:eastAsia="Google Sans" w:hAnsi="Google Sans"/>
          <w:b w:val="1"/>
          <w:bCs w:val="1"/>
          <w:color w:val="1f1f1f"/>
          <w:rtl w:val="0"/>
        </w:rPr>
        <w:t xml:space="preserve">10,000 subsampled rows per seed</w:t>
      </w:r>
      <w:r w:rsidDel="00000000" w:rsidR="00000000" w:rsidRPr="00000000">
        <w:rPr>
          <w:rFonts w:ascii="Google Sans" w:cs="Google Sans" w:eastAsia="Google Sans" w:hAnsi="Google Sans"/>
          <w:color w:val="1f1f1f"/>
          <w:rtl w:val="0"/>
        </w:rPr>
        <w:t xml:space="preserve">, compresses frozen/tuned text embeddings (via PCA to 30 dimensions by default) before passing them to the 5 tabular learners (</w:t>
      </w:r>
      <w:r w:rsidDel="00000000" w:rsidR="00000000" w:rsidRPr="00000000">
        <w:rPr>
          <w:rFonts w:ascii="Google Sans" w:cs="Google Sans" w:eastAsia="Google Sans" w:hAnsi="Google Sans"/>
          <w:b w:val="1"/>
          <w:bCs w:val="1"/>
          <w:color w:val="1f1f1f"/>
          <w:rtl w:val="0"/>
        </w:rPr>
        <w:t xml:space="preserve">TabM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CatBoost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LightGBM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TabPFN 2.0</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TabPFN 2.5</w:t>
      </w:r>
      <w:r w:rsidDel="00000000" w:rsidR="00000000" w:rsidRPr="00000000">
        <w:rPr>
          <w:rFonts w:ascii="Google Sans" w:cs="Google Sans" w:eastAsia="Google Sans" w:hAnsi="Google Sans"/>
          <w:color w:val="1f1f1f"/>
          <w:rtl w:val="0"/>
        </w:rPr>
        <w:t xml:space="preserve">), and implements </w:t>
      </w:r>
      <w:r w:rsidDel="00000000" w:rsidR="00000000" w:rsidRPr="00000000">
        <w:rPr>
          <w:rFonts w:ascii="Google Sans" w:cs="Google Sans" w:eastAsia="Google Sans" w:hAnsi="Google Sans"/>
          <w:b w:val="1"/>
          <w:bCs w:val="1"/>
          <w:color w:val="1f1f1f"/>
          <w:rtl w:val="0"/>
        </w:rPr>
        <w:t xml:space="preserve">Joint TAR</w:t>
      </w:r>
      <w:r w:rsidDel="00000000" w:rsidR="00000000" w:rsidRPr="00000000">
        <w:rPr>
          <w:rFonts w:ascii="Google Sans" w:cs="Google Sans" w:eastAsia="Google Sans" w:hAnsi="Google Sans"/>
          <w:color w:val="1f1f1f"/>
          <w:rtl w:val="0"/>
        </w:rPr>
        <w:t xml:space="preserve"> by fine-tuning the </w:t>
      </w:r>
      <w:r w:rsidDel="00000000" w:rsidR="00000000" w:rsidRPr="00000000">
        <w:rPr>
          <w:rFonts w:ascii="Google Sans" w:cs="Google Sans" w:eastAsia="Google Sans" w:hAnsi="Google Sans"/>
          <w:b w:val="1"/>
          <w:bCs w:val="1"/>
          <w:color w:val="1f1f1f"/>
          <w:rtl w:val="0"/>
        </w:rPr>
        <w:t xml:space="preserve">last 3 layers of E5-small-v2 with LoRA</w:t>
      </w:r>
      <w:r w:rsidDel="00000000" w:rsidR="00000000" w:rsidRPr="00000000">
        <w:rPr>
          <w:rFonts w:ascii="Google Sans" w:cs="Google Sans" w:eastAsia="Google Sans" w:hAnsi="Google Sans"/>
          <w:color w:val="1f1f1f"/>
          <w:rtl w:val="0"/>
        </w:rPr>
        <w:t xml:space="preserve"> on the target variable.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recommendation below has been vetted to ensure it is </w:t>
      </w:r>
      <w:r w:rsidDel="00000000" w:rsidR="00000000" w:rsidRPr="00000000">
        <w:rPr>
          <w:rFonts w:ascii="Google Sans" w:cs="Google Sans" w:eastAsia="Google Sans" w:hAnsi="Google Sans"/>
          <w:b w:val="1"/>
          <w:bCs w:val="1"/>
          <w:color w:val="1f1f1f"/>
          <w:rtl w:val="0"/>
        </w:rPr>
        <w:t xml:space="preserve">not</w:t>
      </w:r>
      <w:r w:rsidDel="00000000" w:rsidR="00000000" w:rsidRPr="00000000">
        <w:rPr>
          <w:rFonts w:ascii="Google Sans" w:cs="Google Sans" w:eastAsia="Google Sans" w:hAnsi="Google Sans"/>
          <w:color w:val="1f1f1f"/>
          <w:rtl w:val="0"/>
        </w:rPr>
        <w:t xml:space="preserve"> among the 56 evaluated datasets, requires </w:t>
      </w:r>
      <w:r w:rsidDel="00000000" w:rsidR="00000000" w:rsidRPr="00000000">
        <w:rPr>
          <w:rFonts w:ascii="Google Sans" w:cs="Google Sans" w:eastAsia="Google Sans" w:hAnsi="Google Sans"/>
          <w:b w:val="1"/>
          <w:bCs w:val="1"/>
          <w:color w:val="1f1f1f"/>
          <w:rtl w:val="0"/>
        </w:rPr>
        <w:t xml:space="preserve">zero credentialing delays</w:t>
      </w:r>
      <w:r w:rsidDel="00000000" w:rsidR="00000000" w:rsidRPr="00000000">
        <w:rPr>
          <w:rFonts w:ascii="Google Sans" w:cs="Google Sans" w:eastAsia="Google Sans" w:hAnsi="Google Sans"/>
          <w:color w:val="1f1f1f"/>
          <w:rtl w:val="0"/>
        </w:rPr>
        <w:t xml:space="preserve"> (unlike MIMIC-IV, which takes days for PhysioNet approval), fits the </w:t>
      </w:r>
      <w:r w:rsidDel="00000000" w:rsidR="00000000" w:rsidRPr="00000000">
        <w:rPr>
          <w:rFonts w:ascii="Google Sans" w:cs="Google Sans" w:eastAsia="Google Sans" w:hAnsi="Google Sans"/>
          <w:b w:val="1"/>
          <w:bCs w:val="1"/>
          <w:color w:val="1f1f1f"/>
          <w:rtl w:val="0"/>
        </w:rPr>
        <w:t xml:space="preserve">5,000–10,000 row sweet spot</w:t>
      </w:r>
      <w:r w:rsidDel="00000000" w:rsidR="00000000" w:rsidRPr="00000000">
        <w:rPr>
          <w:rFonts w:ascii="Google Sans" w:cs="Google Sans" w:eastAsia="Google Sans" w:hAnsi="Google Sans"/>
          <w:color w:val="1f1f1f"/>
          <w:rtl w:val="0"/>
        </w:rPr>
        <w:t xml:space="preserve">, and is structurally engineered to beat all 3 failure modes.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Strategy 1: Domain-Specific Text Where General Embeddings (E5) Underperform</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Dataset: ClinicalTrials.gov Interventional Drug Trial Outcome &amp; Accrual Dataset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Where to Get It (Instant Access):</w:t>
      </w:r>
      <w:r w:rsidDel="00000000" w:rsidR="00000000" w:rsidRPr="00000000">
        <w:rPr>
          <w:rFonts w:ascii="Google Sans" w:cs="Google Sans" w:eastAsia="Google Sans" w:hAnsi="Google Sans"/>
          <w:color w:val="1f1f1f"/>
          <w:rtl w:val="0"/>
        </w:rPr>
        <w:t xml:space="preserve"> Hugging Face (clinical_trials / Hint-lab/CTO clinical trial outcome datasets), Kaggle (</w:t>
      </w:r>
      <w:r w:rsidDel="00000000" w:rsidR="00000000" w:rsidRPr="00000000">
        <w:rPr>
          <w:rFonts w:ascii="Google Sans" w:cs="Google Sans" w:eastAsia="Google Sans" w:hAnsi="Google Sans"/>
          <w:i w:val="1"/>
          <w:iCs w:val="1"/>
          <w:color w:val="1f1f1f"/>
          <w:rtl w:val="0"/>
        </w:rPr>
        <w:t xml:space="preserve">ClinicalTrials.gov</w:t>
      </w:r>
      <w:r w:rsidDel="00000000" w:rsidR="00000000" w:rsidRPr="00000000">
        <w:rPr>
          <w:rFonts w:ascii="Google Sans" w:cs="Google Sans" w:eastAsia="Google Sans" w:hAnsi="Google Sans"/>
          <w:color w:val="1f1f1f"/>
          <w:rtl w:val="0"/>
        </w:rPr>
        <w:t xml:space="preserve"> bulk tabular exports), or directly via the official ClinicalTrials.gov API v2 CSV downloader (filter to Phase 2 and Phase 3 interventional drug trials with known completion status).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Prediction Task &amp; Metric:</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Primary Option (Binary Classification — AUROC):</w:t>
      </w:r>
      <w:r w:rsidDel="00000000" w:rsidR="00000000" w:rsidRPr="00000000">
        <w:rPr>
          <w:rFonts w:ascii="Google Sans" w:cs="Google Sans" w:eastAsia="Google Sans" w:hAnsi="Google Sans"/>
          <w:color w:val="1f1f1f"/>
          <w:rtl w:val="0"/>
        </w:rPr>
        <w:t xml:space="preserve"> Predict whether an interventional clinical trial successfully </w:t>
      </w:r>
      <w:r w:rsidDel="00000000" w:rsidR="00000000" w:rsidRPr="00000000">
        <w:rPr>
          <w:rFonts w:ascii="Google Sans" w:cs="Google Sans" w:eastAsia="Google Sans" w:hAnsi="Google Sans"/>
          <w:b w:val="1"/>
          <w:bCs w:val="1"/>
          <w:color w:val="1f1f1f"/>
          <w:rtl w:val="0"/>
        </w:rPr>
        <w:t xml:space="preserve">Completes (COMPLETED)</w:t>
      </w:r>
      <w:r w:rsidDel="00000000" w:rsidR="00000000" w:rsidRPr="00000000">
        <w:rPr>
          <w:rFonts w:ascii="Google Sans" w:cs="Google Sans" w:eastAsia="Google Sans" w:hAnsi="Google Sans"/>
          <w:color w:val="1f1f1f"/>
          <w:rtl w:val="0"/>
        </w:rPr>
        <w:t xml:space="preserve"> vs. </w:t>
      </w:r>
      <w:r w:rsidDel="00000000" w:rsidR="00000000" w:rsidRPr="00000000">
        <w:rPr>
          <w:rFonts w:ascii="Google Sans" w:cs="Google Sans" w:eastAsia="Google Sans" w:hAnsi="Google Sans"/>
          <w:b w:val="1"/>
          <w:bCs w:val="1"/>
          <w:color w:val="1f1f1f"/>
          <w:rtl w:val="0"/>
        </w:rPr>
        <w:t xml:space="preserve">Fails Early (TERMINATED / WITHDRAWN)</w:t>
      </w:r>
      <w:r w:rsidDel="00000000" w:rsidR="00000000" w:rsidRPr="00000000">
        <w:rPr>
          <w:rFonts w:ascii="Google Sans" w:cs="Google Sans" w:eastAsia="Google Sans" w:hAnsi="Google Sans"/>
          <w:color w:val="1f1f1f"/>
          <w:rtl w:val="0"/>
        </w:rPr>
        <w:t xml:space="preserve"> due to poor accrual, efficacy, or toxicity.</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Alternative Option (Regression — </w:t>
      </w:r>
      <m:oMath>
        <m:sSup>
          <m:sSupPr>
            <m:ctrlPr>
              <w:rPr>
                <w:rFonts w:ascii="Google Sans" w:cs="Google Sans" w:eastAsia="Google Sans" w:hAnsi="Google Sans"/>
                <w:i w:val="1"/>
                <w:iCs w:val="1"/>
                <w:color w:val="1f1f1f"/>
              </w:rPr>
            </m:ctrlPr>
          </m:sSupPr>
          <m:e>
            <m:r>
              <w:rPr>
                <w:rFonts w:ascii="Google Sans" w:cs="Google Sans" w:eastAsia="Google Sans" w:hAnsi="Google Sans"/>
                <w:i w:val="1"/>
                <w:iCs w:val="1"/>
                <w:color w:val="1f1f1f"/>
              </w:rPr>
              <m:t xml:space="preserve">R</m:t>
            </m:r>
          </m:e>
          <m:sup>
            <m:r>
              <w:rPr>
                <w:rFonts w:ascii="Google Sans" w:cs="Google Sans" w:eastAsia="Google Sans" w:hAnsi="Google Sans"/>
                <w:i w:val="1"/>
                <w:iCs w:val="1"/>
                <w:color w:val="1f1f1f"/>
              </w:rPr>
              <m:t xml:space="preserve">2</m:t>
            </m:r>
          </m:sup>
        </m:sSup>
      </m:oMath>
      <w:r w:rsidDel="00000000" w:rsidR="00000000" w:rsidRPr="00000000">
        <w:rPr>
          <w:rFonts w:ascii="Google Sans" w:cs="Google Sans" w:eastAsia="Google Sans" w:hAnsi="Google Sans"/>
          <w:i w:val="1"/>
          <w:iCs w:val="1"/>
          <w:color w:val="1f1f1f"/>
          <w:rtl w:val="0"/>
        </w:rPr>
        <w:t xml:space="preserve">):</w:t>
      </w:r>
      <w:r w:rsidDel="00000000" w:rsidR="00000000" w:rsidRPr="00000000">
        <w:rPr>
          <w:rFonts w:ascii="Google Sans" w:cs="Google Sans" w:eastAsia="Google Sans" w:hAnsi="Google Sans"/>
          <w:color w:val="1f1f1f"/>
          <w:rtl w:val="0"/>
        </w:rPr>
        <w:t xml:space="preserve"> Predict </w:t>
      </w:r>
      <w:r w:rsidDel="00000000" w:rsidR="00000000" w:rsidRPr="00000000">
        <w:rPr>
          <w:rFonts w:ascii="Google Sans" w:cs="Google Sans" w:eastAsia="Google Sans" w:hAnsi="Google Sans"/>
          <w:b w:val="1"/>
          <w:bCs w:val="1"/>
          <w:color w:val="1f1f1f"/>
          <w:rtl w:val="0"/>
        </w:rPr>
        <w:t xml:space="preserve">Log Trial Duration (months)</w:t>
      </w:r>
      <w:r w:rsidDel="00000000" w:rsidR="00000000" w:rsidRPr="00000000">
        <w:rPr>
          <w:rFonts w:ascii="Google Sans" w:cs="Google Sans" w:eastAsia="Google Sans" w:hAnsi="Google Sans"/>
          <w:color w:val="1f1f1f"/>
          <w:rtl w:val="0"/>
        </w:rPr>
        <w:t xml:space="preserve"> from start date to primary completion date.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Modalities &amp; Schema:</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Structured Features (12–15 columns):</w:t>
      </w:r>
      <w:r w:rsidDel="00000000" w:rsidR="00000000" w:rsidRPr="00000000">
        <w:rPr>
          <w:rFonts w:ascii="Google Sans" w:cs="Google Sans" w:eastAsia="Google Sans" w:hAnsi="Google Sans"/>
          <w:color w:val="1f1f1f"/>
          <w:rtl w:val="0"/>
        </w:rPr>
        <w:t xml:space="preserve"> Phase (Phase 1/2/3/4), Enrollment_Count (target sample size, numerical), Allocation (Randomized vs. Non-Randomized), Intervention_Model (Parallel, Crossover, Single Group, Factorial), Masking (None, Single, Double, Quadruple), Lead_Sponsor_Class (Industry, NIH, Academic/Other), Number_of_Arms (numerical), Number_of_Facilities (site count, numerical), Min_Age_Years &amp; Max_Age_Years (numerical), Healthy_Volunteers (boolean), and Sex_Eligibility (categorical).</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Unstructured Text Features (2 columns):</w:t>
      </w:r>
      <w:r w:rsidDel="00000000" w:rsidR="00000000" w:rsidRPr="00000000">
        <w:rPr>
          <w:rFonts w:ascii="Google Sans" w:cs="Google Sans" w:eastAsia="Google Sans" w:hAnsi="Google Sans"/>
          <w:color w:val="1f1f1f"/>
          <w:rtl w:val="0"/>
        </w:rPr>
        <w:t xml:space="preserve"> Eligibility_Criteria (dense clinical inclusion/exclusion rules, averaging 120–250 words) and Brief_Summary / Intervention_Description (scientific mechanism of action and dosing regimen).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 Beats All 3 Failure Modes:</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Beats Failure Mode 1 (Joint Frozen &gt; Structured):</w:t>
      </w:r>
      <w:r w:rsidDel="00000000" w:rsidR="00000000" w:rsidRPr="00000000">
        <w:rPr>
          <w:rFonts w:ascii="Google Sans" w:cs="Google Sans" w:eastAsia="Google Sans" w:hAnsi="Google Sans"/>
          <w:color w:val="1f1f1f"/>
          <w:rtl w:val="0"/>
        </w:rPr>
        <w:t xml:space="preserve"> Structured features establish operational scale—for example, a multi-site Industry-sponsored Phase 3 trial with 50 facilities has a much higher baseline completion rate than a single-site academic Phase 2 trial. However, structured metadata is completely blind to </w:t>
      </w:r>
      <w:r w:rsidDel="00000000" w:rsidR="00000000" w:rsidRPr="00000000">
        <w:rPr>
          <w:rFonts w:ascii="Google Sans" w:cs="Google Sans" w:eastAsia="Google Sans" w:hAnsi="Google Sans"/>
          <w:i w:val="1"/>
          <w:iCs w:val="1"/>
          <w:color w:val="1f1f1f"/>
          <w:rtl w:val="0"/>
        </w:rPr>
        <w:t xml:space="preserve">what disease is being treated</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how restrictive the patient screening rules are</w:t>
      </w:r>
      <w:r w:rsidDel="00000000" w:rsidR="00000000" w:rsidRPr="00000000">
        <w:rPr>
          <w:rFonts w:ascii="Google Sans" w:cs="Google Sans" w:eastAsia="Google Sans" w:hAnsi="Google Sans"/>
          <w:color w:val="1f1f1f"/>
          <w:rtl w:val="0"/>
        </w:rPr>
        <w:t xml:space="preserve">. Adding text provides a major complementary signal.</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Beats Failure Mode 2 (Joint Frozen &gt; Unstructured):</w:t>
      </w:r>
      <w:r w:rsidDel="00000000" w:rsidR="00000000" w:rsidRPr="00000000">
        <w:rPr>
          <w:rFonts w:ascii="Google Sans" w:cs="Google Sans" w:eastAsia="Google Sans" w:hAnsi="Google Sans"/>
          <w:color w:val="1f1f1f"/>
          <w:rtl w:val="0"/>
        </w:rPr>
        <w:t xml:space="preserve"> The medical text alone does not contain the target sample size (Enrollment_Count), the number of recruiting hospital sites (Number_of_Facilities), or the sponsor's funding class—which are primary drivers of whether a trial can finish recruiting on time. Thus, Unstructured alone significantly underperforms the joint model.</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Maximizes TAR Gain (Joint TAR &gt; Joint Frozen):</w:t>
      </w:r>
      <w:r w:rsidDel="00000000" w:rsidR="00000000" w:rsidRPr="00000000">
        <w:rPr>
          <w:rFonts w:ascii="Google Sans" w:cs="Google Sans" w:eastAsia="Google Sans" w:hAnsi="Google Sans"/>
          <w:color w:val="1f1f1f"/>
          <w:rtl w:val="0"/>
        </w:rPr>
        <w:t xml:space="preserve"> E5-small-v2 is pretrained on general web queries. When compressed via PCA, frozen E5 embeddings simply cluster trials by broad medical specialty (e.g., oncology vs. cardiology vs. neurology). However, trial termination is governed by </w:t>
      </w:r>
      <w:r w:rsidDel="00000000" w:rsidR="00000000" w:rsidRPr="00000000">
        <w:rPr>
          <w:rFonts w:ascii="Google Sans" w:cs="Google Sans" w:eastAsia="Google Sans" w:hAnsi="Google Sans"/>
          <w:b w:val="1"/>
          <w:bCs w:val="1"/>
          <w:color w:val="1f1f1f"/>
          <w:rtl w:val="0"/>
        </w:rPr>
        <w:t xml:space="preserve">fine-grained clinical bottlenecks inside Eligibility_Criteria</w:t>
      </w:r>
      <w:r w:rsidDel="00000000" w:rsidR="00000000" w:rsidRPr="00000000">
        <w:rPr>
          <w:rFonts w:ascii="Google Sans" w:cs="Google Sans" w:eastAsia="Google Sans" w:hAnsi="Google Sans"/>
          <w:color w:val="1f1f1f"/>
          <w:rtl w:val="0"/>
        </w:rPr>
        <w:t xml:space="preserve">—such as rare genetic biomarker mutations (e.g., </w:t>
      </w:r>
      <w:r w:rsidDel="00000000" w:rsidR="00000000" w:rsidRPr="00000000">
        <w:rPr>
          <w:rFonts w:ascii="Google Sans" w:cs="Google Sans" w:eastAsia="Google Sans" w:hAnsi="Google Sans"/>
          <w:i w:val="1"/>
          <w:iCs w:val="1"/>
          <w:color w:val="1f1f1f"/>
          <w:rtl w:val="0"/>
        </w:rPr>
        <w:t xml:space="preserve">EGFR exon 20 insertion</w:t>
      </w:r>
      <w:r w:rsidDel="00000000" w:rsidR="00000000" w:rsidRPr="00000000">
        <w:rPr>
          <w:rFonts w:ascii="Google Sans" w:cs="Google Sans" w:eastAsia="Google Sans" w:hAnsi="Google Sans"/>
          <w:color w:val="1f1f1f"/>
          <w:rtl w:val="0"/>
        </w:rPr>
        <w:t xml:space="preserve">), strict prior-therapy washout windows, invasive biopsy mandates, or narrow lab cutoffs (</w:t>
      </w:r>
      <w:r w:rsidDel="00000000" w:rsidR="00000000" w:rsidRPr="00000000">
        <w:rPr>
          <w:rFonts w:ascii="Google Sans" w:cs="Google Sans" w:eastAsia="Google Sans" w:hAnsi="Google Sans"/>
          <w:i w:val="1"/>
          <w:iCs w:val="1"/>
          <w:color w:val="1f1f1f"/>
          <w:rtl w:val="0"/>
        </w:rPr>
        <w:t xml:space="preserve">ANC </w:t>
      </w:r>
      <m:oMath>
        <m:r>
          <m:t>≥</m:t>
        </m:r>
      </m:oMath>
      <w:r w:rsidDel="00000000" w:rsidR="00000000" w:rsidRPr="00000000">
        <w:rPr>
          <w:rFonts w:ascii="Google Sans" w:cs="Google Sans" w:eastAsia="Google Sans" w:hAnsi="Google Sans"/>
          <w:i w:val="1"/>
          <w:iCs w:val="1"/>
          <w:color w:val="1f1f1f"/>
          <w:rtl w:val="0"/>
        </w:rPr>
        <w:t xml:space="preserve"> 1,500/mcL</w:t>
      </w:r>
      <w:r w:rsidDel="00000000" w:rsidR="00000000" w:rsidRPr="00000000">
        <w:rPr>
          <w:rFonts w:ascii="Google Sans" w:cs="Google Sans" w:eastAsia="Google Sans" w:hAnsi="Google Sans"/>
          <w:color w:val="1f1f1f"/>
          <w:rtl w:val="0"/>
        </w:rPr>
        <w:t xml:space="preserve">). Fine-tuning E5's top 3 layers with LoRA (Joint TAR) adapts the encoder to attend to restrictive clinical syntax and high-risk drug mechanisms, yielding a large TAR delta.</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Size &amp; Quality Curation Plan:</w:t>
      </w:r>
      <w:r w:rsidDel="00000000" w:rsidR="00000000" w:rsidRPr="00000000">
        <w:rPr>
          <w:rFonts w:ascii="Google Sans" w:cs="Google Sans" w:eastAsia="Google Sans" w:hAnsi="Google Sans"/>
          <w:color w:val="1f1f1f"/>
          <w:rtl w:val="0"/>
        </w:rPr>
        <w:t xml:space="preserve"> Filter to interventional drug trials between 2015 and 2025 with non-empty eligibility criteria and valid facility counts, then perform stratified subsampling to </w:t>
      </w:r>
      <w:r w:rsidDel="00000000" w:rsidR="00000000" w:rsidRPr="00000000">
        <w:rPr>
          <w:rFonts w:ascii="Google Sans" w:cs="Google Sans" w:eastAsia="Google Sans" w:hAnsi="Google Sans"/>
          <w:b w:val="1"/>
          <w:bCs w:val="1"/>
          <w:color w:val="1f1f1f"/>
          <w:rtl w:val="0"/>
        </w:rPr>
        <w:t xml:space="preserve">8,000 rows</w:t>
      </w:r>
      <w:r w:rsidDel="00000000" w:rsidR="00000000" w:rsidRPr="00000000">
        <w:rPr>
          <w:rFonts w:ascii="Google Sans" w:cs="Google Sans" w:eastAsia="Google Sans" w:hAnsi="Google Sans"/>
          <w:color w:val="1f1f1f"/>
          <w:rtl w:val="0"/>
        </w:rPr>
        <w:t xml:space="preserve"> (balanced 50/50 or 70/30 across classes).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Runner-Up for Strategy 1 (CS/Engineering Domain):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Bugzilla / GitHub Issue Resolution Time Dataset</w:t>
      </w:r>
      <w:r w:rsidDel="00000000" w:rsidR="00000000" w:rsidRPr="00000000">
        <w:rPr>
          <w:rFonts w:ascii="Google Sans" w:cs="Google Sans" w:eastAsia="Google Sans" w:hAnsi="Google Sans"/>
          <w:color w:val="1f1f1f"/>
          <w:rtl w:val="0"/>
        </w:rPr>
        <w:t xml:space="preserve"> (Zenodo / Hugging Face </w:t>
      </w:r>
      <w:r w:rsidDel="00000000" w:rsidR="00000000" w:rsidRPr="00000000">
        <w:rPr>
          <w:rFonts w:ascii="Google Sans" w:cs="Google Sans" w:eastAsia="Google Sans" w:hAnsi="Google Sans"/>
          <w:i w:val="1"/>
          <w:iCs w:val="1"/>
          <w:color w:val="1f1f1f"/>
          <w:rtl w:val="0"/>
        </w:rPr>
        <w:t xml:space="preserve">Mozilla &amp; Eclipse Bugzilla</w:t>
      </w:r>
      <w:r w:rsidDel="00000000" w:rsidR="00000000" w:rsidRPr="00000000">
        <w:rPr>
          <w:rFonts w:ascii="Google Sans" w:cs="Google Sans" w:eastAsia="Google Sans" w:hAnsi="Google Sans"/>
          <w:color w:val="1f1f1f"/>
          <w:rtl w:val="0"/>
        </w:rPr>
        <w:t xml:space="preserve">), predicting whether a bug takes &gt;30 days to resolve (or log resolution hours) from structured triage metadata (Component, Severity, OS, Reporter_Experience, CC_Count) + raw Bug_Description and stack traces.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Strategy 2: Controlled Feature Decoupling (Pruning Redundant Columns)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Dataset: CFPB Consumer Financial Complaints — Monetary Relief &amp; Dispute Prediction</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Where to Get It (Instant Access):</w:t>
      </w:r>
      <w:r w:rsidDel="00000000" w:rsidR="00000000" w:rsidRPr="00000000">
        <w:rPr>
          <w:rFonts w:ascii="Google Sans" w:cs="Google Sans" w:eastAsia="Google Sans" w:hAnsi="Google Sans"/>
          <w:color w:val="1f1f1f"/>
          <w:rtl w:val="0"/>
        </w:rPr>
        <w:t xml:space="preserve"> Hugging Face (cfpb/consumer-finance-complaints) or Kaggle (</w:t>
      </w:r>
      <w:r w:rsidDel="00000000" w:rsidR="00000000" w:rsidRPr="00000000">
        <w:rPr>
          <w:rFonts w:ascii="Google Sans" w:cs="Google Sans" w:eastAsia="Google Sans" w:hAnsi="Google Sans"/>
          <w:i w:val="1"/>
          <w:iCs w:val="1"/>
          <w:color w:val="1f1f1f"/>
          <w:rtl w:val="0"/>
        </w:rPr>
        <w:t xml:space="preserve">Consumer Financial Protection Bureau Complaints</w:t>
      </w:r>
      <w:r w:rsidDel="00000000" w:rsidR="00000000" w:rsidRPr="00000000">
        <w:rPr>
          <w:rFonts w:ascii="Google Sans" w:cs="Google Sans" w:eastAsia="Google Sans" w:hAnsi="Google Sans"/>
          <w:color w:val="1f1f1f"/>
          <w:rtl w:val="0"/>
        </w:rPr>
        <w:t xml:space="preserve">), filtered to rows where Consumer complaint narrative is present.</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Prediction Task &amp; Metric: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Binary Classification (AUROC)</w:t>
      </w:r>
      <w:r w:rsidDel="00000000" w:rsidR="00000000" w:rsidRPr="00000000">
        <w:rPr>
          <w:rFonts w:ascii="Google Sans" w:cs="Google Sans" w:eastAsia="Google Sans" w:hAnsi="Google Sans"/>
          <w:color w:val="1f1f1f"/>
          <w:rtl w:val="0"/>
        </w:rPr>
        <w:t xml:space="preserve"> — Predict whether a bank grants </w:t>
      </w:r>
      <w:r w:rsidDel="00000000" w:rsidR="00000000" w:rsidRPr="00000000">
        <w:rPr>
          <w:rFonts w:ascii="Google Sans" w:cs="Google Sans" w:eastAsia="Google Sans" w:hAnsi="Google Sans"/>
          <w:b w:val="1"/>
          <w:bCs w:val="1"/>
          <w:color w:val="1f1f1f"/>
          <w:rtl w:val="0"/>
        </w:rPr>
        <w:t xml:space="preserve">Compensatory Relief (Company response to consumer </w:t>
      </w:r>
      <m:oMath>
        <m:r>
          <m:t>∈</m:t>
        </m:r>
      </m:oMath>
      <w:r w:rsidDel="00000000" w:rsidR="00000000" w:rsidRPr="00000000">
        <w:rPr>
          <w:rFonts w:ascii="Google Sans" w:cs="Google Sans" w:eastAsia="Google Sans" w:hAnsi="Google Sans"/>
          <w:b w:val="1"/>
          <w:bCs w:val="1"/>
          <w:color w:val="1f1f1f"/>
          <w:rtl w:val="0"/>
        </w:rPr>
        <w:t xml:space="preserve"> {"Closed with monetary relief", "Closed with non-monetary relief"})</w:t>
      </w:r>
      <w:r w:rsidDel="00000000" w:rsidR="00000000" w:rsidRPr="00000000">
        <w:rPr>
          <w:rFonts w:ascii="Google Sans" w:cs="Google Sans" w:eastAsia="Google Sans" w:hAnsi="Google Sans"/>
          <w:color w:val="1f1f1f"/>
          <w:rtl w:val="0"/>
        </w:rPr>
        <w:t xml:space="preserve"> vs. </w:t>
      </w:r>
      <w:r w:rsidDel="00000000" w:rsidR="00000000" w:rsidRPr="00000000">
        <w:rPr>
          <w:rFonts w:ascii="Google Sans" w:cs="Google Sans" w:eastAsia="Google Sans" w:hAnsi="Google Sans"/>
          <w:b w:val="1"/>
          <w:bCs w:val="1"/>
          <w:color w:val="1f1f1f"/>
          <w:rtl w:val="0"/>
        </w:rPr>
        <w:t xml:space="preserve">No Relief ("Closed with explanation")</w:t>
      </w:r>
      <w:r w:rsidDel="00000000" w:rsidR="00000000" w:rsidRPr="00000000">
        <w:rPr>
          <w:rFonts w:ascii="Google Sans" w:cs="Google Sans" w:eastAsia="Google Sans" w:hAnsi="Google Sans"/>
          <w:color w:val="1f1f1f"/>
          <w:rtl w:val="0"/>
        </w:rPr>
        <w:t xml:space="preserve"> (or predict Consumer disputed? = Yes/No).</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Decoupling Curation Story (Your Paper's Core Contribution):</w:t>
      </w:r>
    </w:p>
    <w:p w:rsidR="00000000" w:rsidDel="00000000" w:rsidP="00000000" w:rsidRDefault="00000000" w:rsidRPr="00000000" w14:paraId="00000019">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Why Raw Data Fails Failure Mode 1:</w:t>
      </w:r>
      <w:r w:rsidDel="00000000" w:rsidR="00000000" w:rsidRPr="00000000">
        <w:rPr>
          <w:rFonts w:ascii="Google Sans" w:cs="Google Sans" w:eastAsia="Google Sans" w:hAnsi="Google Sans"/>
          <w:color w:val="1f1f1f"/>
          <w:rtl w:val="0"/>
        </w:rPr>
        <w:t xml:space="preserve"> In the raw CFPB table, alongside the consumer's free-text complaint narrative (100–300 words, with PII masked as XXXX), the dataset includes two human/system-coded hierarchical summary columns: Issue (100+ categories) and Sub-issue (200+ fine-grained labels like </w:t>
      </w:r>
      <w:r w:rsidDel="00000000" w:rsidR="00000000" w:rsidRPr="00000000">
        <w:rPr>
          <w:rFonts w:ascii="Google Sans" w:cs="Google Sans" w:eastAsia="Google Sans" w:hAnsi="Google Sans"/>
          <w:i w:val="1"/>
          <w:iCs w:val="1"/>
          <w:color w:val="1f1f1f"/>
          <w:rtl w:val="0"/>
        </w:rPr>
        <w:t xml:space="preserve">"Information belongs to someone else"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"Charged fees or interest you didn't expect"</w:t>
      </w:r>
      <w:r w:rsidDel="00000000" w:rsidR="00000000" w:rsidRPr="00000000">
        <w:rPr>
          <w:rFonts w:ascii="Google Sans" w:cs="Google Sans" w:eastAsia="Google Sans" w:hAnsi="Google Sans"/>
          <w:color w:val="1f1f1f"/>
          <w:rtl w:val="0"/>
        </w:rPr>
        <w:t xml:space="preserve">). Because Issue and Sub-issue are direct categorical summaries extracted from the complaint text, tree learners (CatBoost, LightGBM) and TabPFN extract nearly all the text's topical signal from those two structured columns, causing Unimodal Structured to tie or beat Joint Frozen.</w:t>
      </w:r>
    </w:p>
    <w:p w:rsidR="00000000" w:rsidDel="00000000" w:rsidP="00000000" w:rsidRDefault="00000000" w:rsidRPr="00000000" w14:paraId="0000001A">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How Controlled Decoupling Fixes It:</w:t>
      </w:r>
      <w:r w:rsidDel="00000000" w:rsidR="00000000" w:rsidRPr="00000000">
        <w:rPr>
          <w:rFonts w:ascii="Google Sans" w:cs="Google Sans" w:eastAsia="Google Sans" w:hAnsi="Google Sans"/>
          <w:color w:val="1f1f1f"/>
          <w:rtl w:val="0"/>
        </w:rPr>
        <w:t xml:space="preserve"> You systematically </w:t>
      </w:r>
      <w:r w:rsidDel="00000000" w:rsidR="00000000" w:rsidRPr="00000000">
        <w:rPr>
          <w:rFonts w:ascii="Google Sans" w:cs="Google Sans" w:eastAsia="Google Sans" w:hAnsi="Google Sans"/>
          <w:b w:val="1"/>
          <w:bCs w:val="1"/>
          <w:color w:val="1f1f1f"/>
          <w:rtl w:val="0"/>
        </w:rPr>
        <w:t xml:space="preserve">drop the text-derived Issue and Sub-issue columns</w:t>
      </w:r>
      <w:r w:rsidDel="00000000" w:rsidR="00000000" w:rsidRPr="00000000">
        <w:rPr>
          <w:rFonts w:ascii="Google Sans" w:cs="Google Sans" w:eastAsia="Google Sans" w:hAnsi="Google Sans"/>
          <w:color w:val="1f1f1f"/>
          <w:rtl w:val="0"/>
        </w:rPr>
        <w:t xml:space="preserve"> (and present an ablation comparing </w:t>
      </w:r>
      <w:r w:rsidDel="00000000" w:rsidR="00000000" w:rsidRPr="00000000">
        <w:rPr>
          <w:rFonts w:ascii="Google Sans" w:cs="Google Sans" w:eastAsia="Google Sans" w:hAnsi="Google Sans"/>
          <w:i w:val="1"/>
          <w:iCs w:val="1"/>
          <w:color w:val="1f1f1f"/>
          <w:rtl w:val="0"/>
        </w:rPr>
        <w:t xml:space="preserve">Raw</w:t>
      </w:r>
      <w:r w:rsidDel="00000000" w:rsidR="00000000" w:rsidRPr="00000000">
        <w:rPr>
          <w:rFonts w:ascii="Google Sans" w:cs="Google Sans" w:eastAsia="Google Sans" w:hAnsi="Google Sans"/>
          <w:color w:val="1f1f1f"/>
          <w:rtl w:val="0"/>
        </w:rPr>
        <w:t xml:space="preserve"> vs. </w:t>
      </w:r>
      <w:r w:rsidDel="00000000" w:rsidR="00000000" w:rsidRPr="00000000">
        <w:rPr>
          <w:rFonts w:ascii="Google Sans" w:cs="Google Sans" w:eastAsia="Google Sans" w:hAnsi="Google Sans"/>
          <w:i w:val="1"/>
          <w:iCs w:val="1"/>
          <w:color w:val="1f1f1f"/>
          <w:rtl w:val="0"/>
        </w:rPr>
        <w:t xml:space="preserve">Decoupled</w:t>
      </w:r>
      <w:r w:rsidDel="00000000" w:rsidR="00000000" w:rsidRPr="00000000">
        <w:rPr>
          <w:rFonts w:ascii="Google Sans" w:cs="Google Sans" w:eastAsia="Google Sans" w:hAnsi="Google Sans"/>
          <w:color w:val="1f1f1f"/>
          <w:rtl w:val="0"/>
        </w:rPr>
        <w:t xml:space="preserve"> in Section 5 of your paper).</w:t>
      </w:r>
    </w:p>
    <w:p w:rsidR="00000000" w:rsidDel="00000000" w:rsidP="00000000" w:rsidRDefault="00000000" w:rsidRPr="00000000" w14:paraId="0000001B">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Retained Orthogonal Structured Features (~10–12 columns):</w:t>
      </w:r>
      <w:r w:rsidDel="00000000" w:rsidR="00000000" w:rsidRPr="00000000">
        <w:rPr>
          <w:rFonts w:ascii="Google Sans" w:cs="Google Sans" w:eastAsia="Google Sans" w:hAnsi="Google Sans"/>
          <w:color w:val="1f1f1f"/>
          <w:rtl w:val="0"/>
        </w:rPr>
        <w:t xml:space="preserve"> Product (Mortgage, Credit Card, Debt Collection, Checking/Savings), Sub-product (FHA mortgage, Store credit card, etc.), Company (encoded by historical complaint volume, size tier, and market share), State &amp; ZIP_Prefix (joined or encoded for regional socioeconomic context), Submitted_Via (Web, Referral, Phone), Tags (Older American, Servicemember), Date_Received (month, day-of-week, year), and Response_Latency_Days (days between receipt and company transmission).</w:t>
      </w:r>
    </w:p>
    <w:p w:rsidR="00000000" w:rsidDel="00000000" w:rsidP="00000000" w:rsidRDefault="00000000" w:rsidRPr="00000000" w14:paraId="0000001C">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Unstructured Text Feature:</w:t>
      </w:r>
      <w:r w:rsidDel="00000000" w:rsidR="00000000" w:rsidRPr="00000000">
        <w:rPr>
          <w:rFonts w:ascii="Google Sans" w:cs="Google Sans" w:eastAsia="Google Sans" w:hAnsi="Google Sans"/>
          <w:color w:val="1f1f1f"/>
          <w:rtl w:val="0"/>
        </w:rPr>
        <w:t xml:space="preserve"> Consumer_complaint_narrative (raw free-text account of the financial dispute).</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 Beats All 3 Failure Modes After Decoupling:</w:t>
      </w:r>
    </w:p>
    <w:p w:rsidR="00000000" w:rsidDel="00000000" w:rsidP="00000000" w:rsidRDefault="00000000" w:rsidRPr="00000000" w14:paraId="0000001E">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Beats Failure Mode 1 (Joint Frozen &gt; Structured):</w:t>
      </w:r>
      <w:r w:rsidDel="00000000" w:rsidR="00000000" w:rsidRPr="00000000">
        <w:rPr>
          <w:rFonts w:ascii="Google Sans" w:cs="Google Sans" w:eastAsia="Google Sans" w:hAnsi="Google Sans"/>
          <w:color w:val="1f1f1f"/>
          <w:rtl w:val="0"/>
        </w:rPr>
        <w:t xml:space="preserve"> Once Issue/Sub-issue are removed, the structured features only know </w:t>
      </w:r>
      <w:r w:rsidDel="00000000" w:rsidR="00000000" w:rsidRPr="00000000">
        <w:rPr>
          <w:rFonts w:ascii="Google Sans" w:cs="Google Sans" w:eastAsia="Google Sans" w:hAnsi="Google Sans"/>
          <w:i w:val="1"/>
          <w:iCs w:val="1"/>
          <w:color w:val="1f1f1f"/>
          <w:rtl w:val="0"/>
        </w:rPr>
        <w:t xml:space="preserve">which bank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which financial product</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which state/demographic</w:t>
      </w:r>
      <w:r w:rsidDel="00000000" w:rsidR="00000000" w:rsidRPr="00000000">
        <w:rPr>
          <w:rFonts w:ascii="Google Sans" w:cs="Google Sans" w:eastAsia="Google Sans" w:hAnsi="Google Sans"/>
          <w:color w:val="1f1f1f"/>
          <w:rtl w:val="0"/>
        </w:rPr>
        <w:t xml:space="preserve"> the complaint belongs to (giving a ~0.68–0.72 AUROC baseline based on bank generosity and product type), forcing the model to rely on the text narrative to know what actually went wrong.</w:t>
      </w:r>
    </w:p>
    <w:p w:rsidR="00000000" w:rsidDel="00000000" w:rsidP="00000000" w:rsidRDefault="00000000" w:rsidRPr="00000000" w14:paraId="0000001F">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Beats Failure Mode 2 (Joint Frozen &gt; Unstructured):</w:t>
      </w:r>
      <w:r w:rsidDel="00000000" w:rsidR="00000000" w:rsidRPr="00000000">
        <w:rPr>
          <w:rFonts w:ascii="Google Sans" w:cs="Google Sans" w:eastAsia="Google Sans" w:hAnsi="Google Sans"/>
          <w:color w:val="1f1f1f"/>
          <w:rtl w:val="0"/>
        </w:rPr>
        <w:t xml:space="preserve"> Different banks and financial products have vastly different baseline settlement policies (e.g., credit card fee waivers have much higher monetary relief rates than mortgage servicing disputes, and large national banks settle at different rates than debt collection agencies). Text alone lacks this institutional baseline.</w:t>
      </w:r>
    </w:p>
    <w:p w:rsidR="00000000" w:rsidDel="00000000" w:rsidP="00000000" w:rsidRDefault="00000000" w:rsidRPr="00000000" w14:paraId="00000020">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Maximizes TAR Gain (Joint TAR &gt; Joint Frozen):</w:t>
      </w:r>
      <w:r w:rsidDel="00000000" w:rsidR="00000000" w:rsidRPr="00000000">
        <w:rPr>
          <w:rFonts w:ascii="Google Sans" w:cs="Google Sans" w:eastAsia="Google Sans" w:hAnsi="Google Sans"/>
          <w:color w:val="1f1f1f"/>
          <w:rtl w:val="0"/>
        </w:rPr>
        <w:t xml:space="preserve"> Almost every complaint narrative in CFPB has strongly negative sentiment and angry phrasing. Consequently, frozen E5-small-v2 embeddings cluster complaints by general anger or product topic. However, banks only grant </w:t>
      </w:r>
      <w:r w:rsidDel="00000000" w:rsidR="00000000" w:rsidRPr="00000000">
        <w:rPr>
          <w:rFonts w:ascii="Google Sans" w:cs="Google Sans" w:eastAsia="Google Sans" w:hAnsi="Google Sans"/>
          <w:b w:val="1"/>
          <w:bCs w:val="1"/>
          <w:color w:val="1f1f1f"/>
          <w:rtl w:val="0"/>
        </w:rPr>
        <w:t xml:space="preserve">Monetary Relief</w:t>
      </w:r>
      <w:r w:rsidDel="00000000" w:rsidR="00000000" w:rsidRPr="00000000">
        <w:rPr>
          <w:rFonts w:ascii="Google Sans" w:cs="Google Sans" w:eastAsia="Google Sans" w:hAnsi="Google Sans"/>
          <w:color w:val="1f1f1f"/>
          <w:rtl w:val="0"/>
        </w:rPr>
        <w:t xml:space="preserve"> when the narrative describes </w:t>
      </w:r>
      <w:r w:rsidDel="00000000" w:rsidR="00000000" w:rsidRPr="00000000">
        <w:rPr>
          <w:rFonts w:ascii="Google Sans" w:cs="Google Sans" w:eastAsia="Google Sans" w:hAnsi="Google Sans"/>
          <w:b w:val="1"/>
          <w:bCs w:val="1"/>
          <w:color w:val="1f1f1f"/>
          <w:rtl w:val="0"/>
        </w:rPr>
        <w:t xml:space="preserve">specific, verifiable statutory violations or billing errors</w:t>
      </w:r>
      <w:r w:rsidDel="00000000" w:rsidR="00000000" w:rsidRPr="00000000">
        <w:rPr>
          <w:rFonts w:ascii="Google Sans" w:cs="Google Sans" w:eastAsia="Google Sans" w:hAnsi="Google Sans"/>
          <w:color w:val="1f1f1f"/>
          <w:rtl w:val="0"/>
        </w:rPr>
        <w:t xml:space="preserve"> (e.g., </w:t>
      </w:r>
      <w:r w:rsidDel="00000000" w:rsidR="00000000" w:rsidRPr="00000000">
        <w:rPr>
          <w:rFonts w:ascii="Google Sans" w:cs="Google Sans" w:eastAsia="Google Sans" w:hAnsi="Google Sans"/>
          <w:i w:val="1"/>
          <w:iCs w:val="1"/>
          <w:color w:val="1f1f1f"/>
          <w:rtl w:val="0"/>
        </w:rPr>
        <w:t xml:space="preserve">"charged twice on statement," "police report filed for identity theft," "FDCPA violation," "provisional credit never applied," "overdraft fee after timely transfer"</w:t>
      </w:r>
      <w:r w:rsidDel="00000000" w:rsidR="00000000" w:rsidRPr="00000000">
        <w:rPr>
          <w:rFonts w:ascii="Google Sans" w:cs="Google Sans" w:eastAsia="Google Sans" w:hAnsi="Google Sans"/>
          <w:color w:val="1f1f1f"/>
          <w:rtl w:val="0"/>
        </w:rPr>
        <w:t xml:space="preserve">). LoRA fine-tuning (Joint TAR) learns to separate legally actionable factual claims from generic emotional venting.</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Size &amp; Quality Curation Plan:</w:t>
      </w:r>
      <w:r w:rsidDel="00000000" w:rsidR="00000000" w:rsidRPr="00000000">
        <w:rPr>
          <w:rFonts w:ascii="Google Sans" w:cs="Google Sans" w:eastAsia="Google Sans" w:hAnsi="Google Sans"/>
          <w:color w:val="1f1f1f"/>
          <w:rtl w:val="0"/>
        </w:rPr>
        <w:t xml:space="preserve"> Filter to rows with narratives between 30 and 400 words across 4–5 major product categories, drop Issue/Sub-issue, and take a stratified sample of </w:t>
      </w:r>
      <w:r w:rsidDel="00000000" w:rsidR="00000000" w:rsidRPr="00000000">
        <w:rPr>
          <w:rFonts w:ascii="Google Sans" w:cs="Google Sans" w:eastAsia="Google Sans" w:hAnsi="Google Sans"/>
          <w:b w:val="1"/>
          <w:bCs w:val="1"/>
          <w:color w:val="1f1f1f"/>
          <w:rtl w:val="0"/>
        </w:rPr>
        <w:t xml:space="preserve">8,000–10,000 rows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Runner-Up for Strategy 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LendingClub Loan Default Dataset (Subset with Borrower desc Text)</w:t>
      </w:r>
      <w:r w:rsidDel="00000000" w:rsidR="00000000" w:rsidRPr="00000000">
        <w:rPr>
          <w:rFonts w:ascii="Google Sans" w:cs="Google Sans" w:eastAsia="Google Sans" w:hAnsi="Google Sans"/>
          <w:color w:val="1f1f1f"/>
          <w:rtl w:val="0"/>
        </w:rPr>
        <w:t xml:space="preserve"> on Kaggle, where you decouple/prune pre-digested risk summary grades (grade, sub_grade) so that raw borrower financial ratios (dti, annual_inc, revol_util, inq_last_6mths, emp_length) must combine with the borrower's free-text hardship/loan-purpose explanation (desc).</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Strategy 3: Enriching a Pure Tabular or Pure NLP Dataset</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Dataset: SEC 10-K Corporate Financial Ratios Enriched with Item 7 (MD&amp;A) Text</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Where to Get It (Instant Access &amp; Clean Key Join):</w:t>
      </w:r>
    </w:p>
    <w:p w:rsidR="00000000" w:rsidDel="00000000" w:rsidP="00000000" w:rsidRDefault="00000000" w:rsidRPr="00000000" w14:paraId="00000026">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Structured Source:</w:t>
      </w:r>
      <w:r w:rsidDel="00000000" w:rsidR="00000000" w:rsidRPr="00000000">
        <w:rPr>
          <w:rFonts w:ascii="Google Sans" w:cs="Google Sans" w:eastAsia="Google Sans" w:hAnsi="Google Sans"/>
          <w:color w:val="1f1f1f"/>
          <w:rtl w:val="0"/>
        </w:rPr>
        <w:t xml:space="preserve"> Kaggle / Hugging Face </w:t>
      </w:r>
      <w:r w:rsidDel="00000000" w:rsidR="00000000" w:rsidRPr="00000000">
        <w:rPr>
          <w:rFonts w:ascii="Google Sans" w:cs="Google Sans" w:eastAsia="Google Sans" w:hAnsi="Google Sans"/>
          <w:i w:val="1"/>
          <w:iCs w:val="1"/>
          <w:color w:val="1f1f1f"/>
          <w:rtl w:val="0"/>
        </w:rPr>
        <w:t xml:space="preserve">US Company Financial Fundamentals / Corporate Credit Rating / Financial Distress</w:t>
      </w:r>
      <w:r w:rsidDel="00000000" w:rsidR="00000000" w:rsidRPr="00000000">
        <w:rPr>
          <w:rFonts w:ascii="Google Sans" w:cs="Google Sans" w:eastAsia="Google Sans" w:hAnsi="Google Sans"/>
          <w:color w:val="1f1f1f"/>
          <w:rtl w:val="0"/>
        </w:rPr>
        <w:t xml:space="preserve"> datasets (containing annual Compustat/SEC XBRL financial statement metrics indexed by CIK / Ticker and Fiscal_Year).</w:t>
      </w:r>
    </w:p>
    <w:p w:rsidR="00000000" w:rsidDel="00000000" w:rsidP="00000000" w:rsidRDefault="00000000" w:rsidRPr="00000000" w14:paraId="00000027">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Text Source:</w:t>
      </w:r>
      <w:r w:rsidDel="00000000" w:rsidR="00000000" w:rsidRPr="00000000">
        <w:rPr>
          <w:rFonts w:ascii="Google Sans" w:cs="Google Sans" w:eastAsia="Google Sans" w:hAnsi="Google Sans"/>
          <w:color w:val="1f1f1f"/>
          <w:rtl w:val="0"/>
        </w:rPr>
        <w:t xml:space="preserve"> Hugging Face </w:t>
      </w:r>
      <w:r w:rsidDel="00000000" w:rsidR="00000000" w:rsidRPr="00000000">
        <w:rPr>
          <w:rFonts w:ascii="Google Sans" w:cs="Google Sans" w:eastAsia="Google Sans" w:hAnsi="Google Sans"/>
          <w:b w:val="1"/>
          <w:bCs w:val="1"/>
          <w:color w:val="1f1f1f"/>
          <w:rtl w:val="0"/>
        </w:rPr>
        <w:t xml:space="preserve">eloukas/edgar-corpus</w:t>
      </w:r>
      <w:r w:rsidDel="00000000" w:rsidR="00000000" w:rsidRPr="00000000">
        <w:rPr>
          <w:rFonts w:ascii="Google Sans" w:cs="Google Sans" w:eastAsia="Google Sans" w:hAnsi="Google Sans"/>
          <w:color w:val="1f1f1f"/>
          <w:rtl w:val="0"/>
        </w:rPr>
        <w:t xml:space="preserve"> (cleaned SEC 10-K annual reports split by section, specifically section_7 [Management's Discussion and Analysis — MD&amp;A] and section_1A [Risk Factors], also indexed by cik and year).</w:t>
      </w:r>
    </w:p>
    <w:p w:rsidR="00000000" w:rsidDel="00000000" w:rsidP="00000000" w:rsidRDefault="00000000" w:rsidRPr="00000000" w14:paraId="00000028">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How to Join:</w:t>
      </w:r>
      <w:r w:rsidDel="00000000" w:rsidR="00000000" w:rsidRPr="00000000">
        <w:rPr>
          <w:rFonts w:ascii="Google Sans" w:cs="Google Sans" w:eastAsia="Google Sans" w:hAnsi="Google Sans"/>
          <w:color w:val="1f1f1f"/>
          <w:rtl w:val="0"/>
        </w:rPr>
        <w:t xml:space="preserve"> A deterministic inner join in Pandas on ['cik', 'year'] (pd.merge), taking less than 30 minutes to build.</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Prediction Task &amp; Metric:</w:t>
      </w:r>
    </w:p>
    <w:p w:rsidR="00000000" w:rsidDel="00000000" w:rsidP="00000000" w:rsidRDefault="00000000" w:rsidRPr="00000000" w14:paraId="0000002A">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Regression (</w:t>
      </w:r>
      <m:oMath>
        <m:sSup>
          <m:sSupPr>
            <m:ctrlPr>
              <w:rPr>
                <w:rFonts w:ascii="Google Sans" w:cs="Google Sans" w:eastAsia="Google Sans" w:hAnsi="Google Sans"/>
                <w:i w:val="1"/>
                <w:iCs w:val="1"/>
                <w:color w:val="1f1f1f"/>
              </w:rPr>
            </m:ctrlPr>
          </m:sSupPr>
          <m:e>
            <m:r>
              <w:rPr>
                <w:rFonts w:ascii="Google Sans" w:cs="Google Sans" w:eastAsia="Google Sans" w:hAnsi="Google Sans"/>
                <w:i w:val="1"/>
                <w:iCs w:val="1"/>
                <w:color w:val="1f1f1f"/>
              </w:rPr>
              <m:t xml:space="preserve">R</m:t>
            </m:r>
          </m:e>
          <m:sup>
            <m:r>
              <w:rPr>
                <w:rFonts w:ascii="Google Sans" w:cs="Google Sans" w:eastAsia="Google Sans" w:hAnsi="Google Sans"/>
                <w:i w:val="1"/>
                <w:iCs w:val="1"/>
                <w:color w:val="1f1f1f"/>
              </w:rPr>
              <m:t xml:space="preserve">2</m:t>
            </m:r>
          </m:sup>
        </m:sSup>
      </m:oMath>
      <w:r w:rsidDel="00000000" w:rsidR="00000000" w:rsidRPr="00000000">
        <w:rPr>
          <w:rFonts w:ascii="Google Sans" w:cs="Google Sans" w:eastAsia="Google Sans" w:hAnsi="Google Sans"/>
          <w:i w:val="1"/>
          <w:iCs w:val="1"/>
          <w:color w:val="1f1f1f"/>
          <w:rtl w:val="0"/>
        </w:rPr>
        <w:t xml:space="preserve">):</w:t>
      </w:r>
      <w:r w:rsidDel="00000000" w:rsidR="00000000" w:rsidRPr="00000000">
        <w:rPr>
          <w:rFonts w:ascii="Google Sans" w:cs="Google Sans" w:eastAsia="Google Sans" w:hAnsi="Google Sans"/>
          <w:color w:val="1f1f1f"/>
          <w:rtl w:val="0"/>
        </w:rPr>
        <w:t xml:space="preserve"> Predict </w:t>
      </w:r>
      <w:r w:rsidDel="00000000" w:rsidR="00000000" w:rsidRPr="00000000">
        <w:rPr>
          <w:rFonts w:ascii="Google Sans" w:cs="Google Sans" w:eastAsia="Google Sans" w:hAnsi="Google Sans"/>
          <w:b w:val="1"/>
          <w:bCs w:val="1"/>
          <w:color w:val="1f1f1f"/>
          <w:rtl w:val="0"/>
        </w:rPr>
        <w:t xml:space="preserve">Next-Year Realized Stock Return Volatility</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Next-Year Operating Cash Flow / ROA Change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Classification (AUROC):</w:t>
      </w:r>
      <w:r w:rsidDel="00000000" w:rsidR="00000000" w:rsidRPr="00000000">
        <w:rPr>
          <w:rFonts w:ascii="Google Sans" w:cs="Google Sans" w:eastAsia="Google Sans" w:hAnsi="Google Sans"/>
          <w:color w:val="1f1f1f"/>
          <w:rtl w:val="0"/>
        </w:rPr>
        <w:t xml:space="preserve"> Predict </w:t>
      </w:r>
      <w:r w:rsidDel="00000000" w:rsidR="00000000" w:rsidRPr="00000000">
        <w:rPr>
          <w:rFonts w:ascii="Google Sans" w:cs="Google Sans" w:eastAsia="Google Sans" w:hAnsi="Google Sans"/>
          <w:b w:val="1"/>
          <w:bCs w:val="1"/>
          <w:color w:val="1f1f1f"/>
          <w:rtl w:val="0"/>
        </w:rPr>
        <w:t xml:space="preserve">Corporate Credit Rating Tier (Investment Grade vs. High-Yield/Distressed)</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Subsequent Earnings Surprise / Financial Distress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Modalities &amp; Schema:</w:t>
      </w:r>
    </w:p>
    <w:p w:rsidR="00000000" w:rsidDel="00000000" w:rsidP="00000000" w:rsidRDefault="00000000" w:rsidRPr="00000000" w14:paraId="0000002D">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Structured Features (15–20 columns):</w:t>
      </w:r>
      <w:r w:rsidDel="00000000" w:rsidR="00000000" w:rsidRPr="00000000">
        <w:rPr>
          <w:rFonts w:ascii="Google Sans" w:cs="Google Sans" w:eastAsia="Google Sans" w:hAnsi="Google Sans"/>
          <w:color w:val="1f1f1f"/>
          <w:rtl w:val="0"/>
        </w:rPr>
        <w:t xml:space="preserve"> Quantitative accounting ratios from the balance sheet and income statement: Log_Total_Assets, Debt_to_Equity, Current_Ratio, Quick_Ratio, Return_on_Assets (ROA), Gross_Margin, Operating_Margin, Asset_Turnover, Interest_Coverage_Ratio, Cash_to_Assets, CapEx_to_Revenue, YoY_Revenue_Growth, and SIC_Industry_Sector (categorical).</w:t>
      </w:r>
    </w:p>
    <w:p w:rsidR="00000000" w:rsidDel="00000000" w:rsidP="00000000" w:rsidRDefault="00000000" w:rsidRPr="00000000" w14:paraId="0000002E">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Unstructured Text Features (1–2 columns):</w:t>
      </w:r>
      <w:r w:rsidDel="00000000" w:rsidR="00000000" w:rsidRPr="00000000">
        <w:rPr>
          <w:rFonts w:ascii="Google Sans" w:cs="Google Sans" w:eastAsia="Google Sans" w:hAnsi="Google Sans"/>
          <w:color w:val="1f1f1f"/>
          <w:rtl w:val="0"/>
        </w:rPr>
        <w:t xml:space="preserve"> The opening executive overview (first 400 words, matching E5's 512-token context window) of </w:t>
      </w:r>
      <w:r w:rsidDel="00000000" w:rsidR="00000000" w:rsidRPr="00000000">
        <w:rPr>
          <w:rFonts w:ascii="Google Sans" w:cs="Google Sans" w:eastAsia="Google Sans" w:hAnsi="Google Sans"/>
          <w:b w:val="1"/>
          <w:bCs w:val="1"/>
          <w:color w:val="1f1f1f"/>
          <w:rtl w:val="0"/>
        </w:rPr>
        <w:t xml:space="preserve">Item 7 (MD&amp;A)</w:t>
      </w:r>
      <w:r w:rsidDel="00000000" w:rsidR="00000000" w:rsidRPr="00000000">
        <w:rPr>
          <w:rFonts w:ascii="Google Sans" w:cs="Google Sans" w:eastAsia="Google Sans" w:hAnsi="Google Sans"/>
          <w:color w:val="1f1f1f"/>
          <w:rtl w:val="0"/>
        </w:rPr>
        <w:t xml:space="preserve"> and/or </w:t>
      </w:r>
      <w:r w:rsidDel="00000000" w:rsidR="00000000" w:rsidRPr="00000000">
        <w:rPr>
          <w:rFonts w:ascii="Google Sans" w:cs="Google Sans" w:eastAsia="Google Sans" w:hAnsi="Google Sans"/>
          <w:b w:val="1"/>
          <w:bCs w:val="1"/>
          <w:color w:val="1f1f1f"/>
          <w:rtl w:val="0"/>
        </w:rPr>
        <w:t xml:space="preserve">Item 1A (Risk Factors)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 Beats All 3 Failure Modes:</w:t>
      </w:r>
    </w:p>
    <w:p w:rsidR="00000000" w:rsidDel="00000000" w:rsidP="00000000" w:rsidRDefault="00000000" w:rsidRPr="00000000" w14:paraId="00000030">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Beats Failure Mode 1 (Joint Frozen &gt; Structured):</w:t>
      </w:r>
      <w:r w:rsidDel="00000000" w:rsidR="00000000" w:rsidRPr="00000000">
        <w:rPr>
          <w:rFonts w:ascii="Google Sans" w:cs="Google Sans" w:eastAsia="Google Sans" w:hAnsi="Google Sans"/>
          <w:color w:val="1f1f1f"/>
          <w:rtl w:val="0"/>
        </w:rPr>
        <w:t xml:space="preserve"> Accounting ratios are purely </w:t>
      </w:r>
      <w:r w:rsidDel="00000000" w:rsidR="00000000" w:rsidRPr="00000000">
        <w:rPr>
          <w:rFonts w:ascii="Google Sans" w:cs="Google Sans" w:eastAsia="Google Sans" w:hAnsi="Google Sans"/>
          <w:i w:val="1"/>
          <w:iCs w:val="1"/>
          <w:color w:val="1f1f1f"/>
          <w:rtl w:val="0"/>
        </w:rPr>
        <w:t xml:space="preserve">backward-looking</w:t>
      </w:r>
      <w:r w:rsidDel="00000000" w:rsidR="00000000" w:rsidRPr="00000000">
        <w:rPr>
          <w:rFonts w:ascii="Google Sans" w:cs="Google Sans" w:eastAsia="Google Sans" w:hAnsi="Google Sans"/>
          <w:color w:val="1f1f1f"/>
          <w:rtl w:val="0"/>
        </w:rPr>
        <w:t xml:space="preserve"> snapshots of the past fiscal year. Forward-looking risks—such as losing a major customer, pending litigation, supply chain disruptions, regulatory probes, or upcoming debt maturities—are disclosed exclusively in the MD&amp;A text.</w:t>
      </w:r>
    </w:p>
    <w:p w:rsidR="00000000" w:rsidDel="00000000" w:rsidP="00000000" w:rsidRDefault="00000000" w:rsidRPr="00000000" w14:paraId="00000031">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Beats Failure Mode 2 (Joint Frozen &gt; Unstructured):</w:t>
      </w:r>
      <w:r w:rsidDel="00000000" w:rsidR="00000000" w:rsidRPr="00000000">
        <w:rPr>
          <w:rFonts w:ascii="Google Sans" w:cs="Google Sans" w:eastAsia="Google Sans" w:hAnsi="Google Sans"/>
          <w:color w:val="1f1f1f"/>
          <w:rtl w:val="0"/>
        </w:rPr>
        <w:t xml:space="preserve"> SEC 10-K text is heavily standardized by corporate lawyers and rarely states raw balance sheet leverage or liquidity ratios in comparable numerical form. Without structured accounting fundamentals (Log_Total_Assets, Debt_to_Equity, ROA), the text encoder cannot anchor the company's baseline financial health.</w:t>
      </w:r>
    </w:p>
    <w:p w:rsidR="00000000" w:rsidDel="00000000" w:rsidP="00000000" w:rsidRDefault="00000000" w:rsidRPr="00000000" w14:paraId="00000032">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Maximizes TAR Gain (Joint TAR &gt; Joint Frozen):</w:t>
      </w:r>
      <w:r w:rsidDel="00000000" w:rsidR="00000000" w:rsidRPr="00000000">
        <w:rPr>
          <w:rFonts w:ascii="Google Sans" w:cs="Google Sans" w:eastAsia="Google Sans" w:hAnsi="Google Sans"/>
          <w:color w:val="1f1f1f"/>
          <w:rtl w:val="0"/>
        </w:rPr>
        <w:t xml:space="preserve"> It is a well-documented finding in financial NLP (e.g., </w:t>
      </w:r>
      <w:r w:rsidDel="00000000" w:rsidR="00000000" w:rsidRPr="00000000">
        <w:rPr>
          <w:rFonts w:ascii="Google Sans" w:cs="Google Sans" w:eastAsia="Google Sans" w:hAnsi="Google Sans"/>
          <w:i w:val="1"/>
          <w:iCs w:val="1"/>
          <w:color w:val="1f1f1f"/>
          <w:rtl w:val="0"/>
        </w:rPr>
        <w:t xml:space="preserve">FinBERT</w:t>
      </w:r>
      <w:r w:rsidDel="00000000" w:rsidR="00000000" w:rsidRPr="00000000">
        <w:rPr>
          <w:rFonts w:ascii="Google Sans" w:cs="Google Sans" w:eastAsia="Google Sans" w:hAnsi="Google Sans"/>
          <w:color w:val="1f1f1f"/>
          <w:rtl w:val="0"/>
        </w:rPr>
        <w:t xml:space="preserve"> literature) that general-domain encoders like E5-small-v2 perform poorly on SEC filings because corporate disclosures use polite, hedged, boilerplate "corporate-speak." Frozen E5 embeddings merely cluster 10-K filings by </w:t>
      </w:r>
      <w:r w:rsidDel="00000000" w:rsidR="00000000" w:rsidRPr="00000000">
        <w:rPr>
          <w:rFonts w:ascii="Google Sans" w:cs="Google Sans" w:eastAsia="Google Sans" w:hAnsi="Google Sans"/>
          <w:b w:val="1"/>
          <w:bCs w:val="1"/>
          <w:color w:val="1f1f1f"/>
          <w:rtl w:val="0"/>
        </w:rPr>
        <w:t xml:space="preserve">industry sector</w:t>
      </w:r>
      <w:r w:rsidDel="00000000" w:rsidR="00000000" w:rsidRPr="00000000">
        <w:rPr>
          <w:rFonts w:ascii="Google Sans" w:cs="Google Sans" w:eastAsia="Google Sans" w:hAnsi="Google Sans"/>
          <w:color w:val="1f1f1f"/>
          <w:rtl w:val="0"/>
        </w:rPr>
        <w:t xml:space="preserve"> (e.g., tech vs. energy vs. retail)—which is already captured by the structured SIC_Industry_Sector column! When fine-tuned with LoRA (Joint TAR), E5 adapts to subtle financial distress and uncertainty markers (e.g., </w:t>
      </w:r>
      <w:r w:rsidDel="00000000" w:rsidR="00000000" w:rsidRPr="00000000">
        <w:rPr>
          <w:rFonts w:ascii="Google Sans" w:cs="Google Sans" w:eastAsia="Google Sans" w:hAnsi="Google Sans"/>
          <w:i w:val="1"/>
          <w:iCs w:val="1"/>
          <w:color w:val="1f1f1f"/>
          <w:rtl w:val="0"/>
        </w:rPr>
        <w:t xml:space="preserve">"covenant waiver," "going concern," "headwinds," "restructuring charges," "material weakness," "margin compression"</w:t>
      </w:r>
      <w:r w:rsidDel="00000000" w:rsidR="00000000" w:rsidRPr="00000000">
        <w:rPr>
          <w:rFonts w:ascii="Google Sans" w:cs="Google Sans" w:eastAsia="Google Sans" w:hAnsi="Google Sans"/>
          <w:color w:val="1f1f1f"/>
          <w:rtl w:val="0"/>
        </w:rPr>
        <w:t xml:space="preserve">), producing a strong jump over Joint Frozen.</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Size &amp; Quality Curation Plan:</w:t>
      </w:r>
      <w:r w:rsidDel="00000000" w:rsidR="00000000" w:rsidRPr="00000000">
        <w:rPr>
          <w:rFonts w:ascii="Google Sans" w:cs="Google Sans" w:eastAsia="Google Sans" w:hAnsi="Google Sans"/>
          <w:color w:val="1f1f1f"/>
          <w:rtl w:val="0"/>
        </w:rPr>
        <w:t xml:space="preserve"> Join cik + year across fiscal years 2016–2023, truncate MD&amp;A text cleanly to the first 350–400 words (so E5-small-v2's 512-token limit captures the executive summary without mid-sentence truncation artefacts), and sample </w:t>
      </w:r>
      <w:r w:rsidDel="00000000" w:rsidR="00000000" w:rsidRPr="00000000">
        <w:rPr>
          <w:rFonts w:ascii="Google Sans" w:cs="Google Sans" w:eastAsia="Google Sans" w:hAnsi="Google Sans"/>
          <w:b w:val="1"/>
          <w:bCs w:val="1"/>
          <w:color w:val="1f1f1f"/>
          <w:rtl w:val="0"/>
        </w:rPr>
        <w:t xml:space="preserve">6,000–9,000 firm-year observations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Runner-Up for Strategy 3 (NLP </w:t>
      </w:r>
      <m:oMath>
        <m:r>
          <m:t>→</m:t>
        </m:r>
      </m:oMath>
      <w:r w:rsidDel="00000000" w:rsidR="00000000" w:rsidRPr="00000000">
        <w:rPr>
          <w:rFonts w:ascii="Google Sans" w:cs="Google Sans" w:eastAsia="Google Sans" w:hAnsi="Google Sans"/>
          <w:b w:val="1"/>
          <w:bCs w:val="1"/>
          <w:color w:val="1f1f1f"/>
          <w:rtl w:val="0"/>
        </w:rPr>
        <w:t xml:space="preserve"> Tabular Enrichment):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ICLR / NeurIPS OpenReview Submissions (Hugging Face openreview / peerread) Enriched with Structured Author Bibliometrics via the OpenAlex API</w:t>
      </w:r>
      <w:r w:rsidDel="00000000" w:rsidR="00000000" w:rsidRPr="00000000">
        <w:rPr>
          <w:rFonts w:ascii="Google Sans" w:cs="Google Sans" w:eastAsia="Google Sans" w:hAnsi="Google Sans"/>
          <w:color w:val="1f1f1f"/>
          <w:rtl w:val="0"/>
        </w:rPr>
        <w:t xml:space="preserve"> (joining paper title/abstract/review text with structured author </w:t>
      </w:r>
      <m:oMath>
        <m:r>
          <w:rPr>
            <w:rFonts w:ascii="Google Sans" w:cs="Google Sans" w:eastAsia="Google Sans" w:hAnsi="Google Sans"/>
            <w:color w:val="1f1f1f"/>
          </w:rPr>
          <m:t xml:space="preserve">h</m:t>
        </m:r>
      </m:oMath>
      <w:r w:rsidDel="00000000" w:rsidR="00000000" w:rsidRPr="00000000">
        <w:rPr>
          <w:rFonts w:ascii="Google Sans" w:cs="Google Sans" w:eastAsia="Google Sans" w:hAnsi="Google Sans"/>
          <w:color w:val="1f1f1f"/>
          <w:rtl w:val="0"/>
        </w:rPr>
        <w:t xml:space="preserve">-index, citation velocity, institutional tier, number of figures/tables/equations, and reference recency to predict citation impact or acceptance score).</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Head-to-Head Comparison: Which Should You Pick Today?</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Criterion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Strategy 1: ClinicalTrials.gov (Domain-Specific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Strategy 2: CFPB Complaints (Feature Decoupling)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Strategy 3: SEC 10-K + Financials (Tabular + Text Join)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Engineering Effort (Days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Low</w:t>
            </w:r>
            <w:r w:rsidDel="00000000" w:rsidR="00000000" w:rsidRPr="00000000">
              <w:rPr>
                <w:rFonts w:ascii="Google Sans" w:cs="Google Sans" w:eastAsia="Google Sans" w:hAnsi="Google Sans"/>
                <w:color w:val="1f1f1f"/>
                <w:rtl w:val="0"/>
              </w:rPr>
              <w:t xml:space="preserve"> (Single table download + clean column selection)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Very Low</w:t>
            </w:r>
            <w:r w:rsidDel="00000000" w:rsidR="00000000" w:rsidRPr="00000000">
              <w:rPr>
                <w:rFonts w:ascii="Google Sans" w:cs="Google Sans" w:eastAsia="Google Sans" w:hAnsi="Google Sans"/>
                <w:color w:val="1f1f1f"/>
                <w:rtl w:val="0"/>
              </w:rPr>
              <w:t xml:space="preserve"> (Single table on HF/Kaggle + drop 2 leaky columns)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Medium</w:t>
            </w:r>
            <w:r w:rsidDel="00000000" w:rsidR="00000000" w:rsidRPr="00000000">
              <w:rPr>
                <w:rFonts w:ascii="Google Sans" w:cs="Google Sans" w:eastAsia="Google Sans" w:hAnsi="Google Sans"/>
                <w:color w:val="1f1f1f"/>
                <w:rtl w:val="0"/>
              </w:rPr>
              <w:t xml:space="preserve"> (Requires merging two datasets on CIK + Year)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Risk of Failing Joint Signal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Low</w:t>
            </w:r>
            <w:r w:rsidDel="00000000" w:rsidR="00000000" w:rsidRPr="00000000">
              <w:rPr>
                <w:rFonts w:ascii="Google Sans" w:cs="Google Sans" w:eastAsia="Google Sans" w:hAnsi="Google Sans"/>
                <w:color w:val="1f1f1f"/>
                <w:rtl w:val="0"/>
              </w:rPr>
              <w:t xml:space="preserve"> (Trial scale + clinical rules are naturally orthogonal)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Very Low</w:t>
            </w:r>
            <w:r w:rsidDel="00000000" w:rsidR="00000000" w:rsidRPr="00000000">
              <w:rPr>
                <w:rFonts w:ascii="Google Sans" w:cs="Google Sans" w:eastAsia="Google Sans" w:hAnsi="Google Sans"/>
                <w:color w:val="1f1f1f"/>
                <w:rtl w:val="0"/>
              </w:rPr>
              <w:t xml:space="preserve"> (You directly control orthogonality by dropping Issue/Sub-issue)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Low</w:t>
            </w:r>
            <w:r w:rsidDel="00000000" w:rsidR="00000000" w:rsidRPr="00000000">
              <w:rPr>
                <w:rFonts w:ascii="Google Sans" w:cs="Google Sans" w:eastAsia="Google Sans" w:hAnsi="Google Sans"/>
                <w:color w:val="1f1f1f"/>
                <w:rtl w:val="0"/>
              </w:rPr>
              <w:t xml:space="preserve"> (Backward-looking ratios + forward-looking MD&amp;A 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Expected TAR Gain (</w:t>
            </w:r>
            <m:oMath>
              <m:sSub>
                <m:sSubPr>
                  <m:ctrlPr>
                    <w:rPr>
                      <w:rFonts w:ascii="Google Sans" w:cs="Google Sans" w:eastAsia="Google Sans" w:hAnsi="Google Sans"/>
                      <w:b w:val="1"/>
                      <w:bCs w:val="1"/>
                      <w:color w:val="1f1f1f"/>
                    </w:rPr>
                  </m:ctrlPr>
                </m:sSubPr>
                <m:e>
                  <m:r>
                    <m:t>Δ</m:t>
                  </m:r>
                </m:e>
                <m:sub>
                  <m:r>
                    <w:rPr>
                      <w:rFonts w:ascii="Google Sans" w:cs="Google Sans" w:eastAsia="Google Sans" w:hAnsi="Google Sans"/>
                      <w:b w:val="1"/>
                      <w:bCs w:val="1"/>
                      <w:color w:val="1f1f1f"/>
                    </w:rPr>
                    <m:t xml:space="preserve">Awareness</m:t>
                  </m:r>
                </m:sub>
              </m:sSub>
            </m:oMath>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Very High</w:t>
            </w:r>
            <w:r w:rsidDel="00000000" w:rsidR="00000000" w:rsidRPr="00000000">
              <w:rPr>
                <w:rFonts w:ascii="Google Sans" w:cs="Google Sans" w:eastAsia="Google Sans" w:hAnsi="Google Sans"/>
                <w:color w:val="1f1f1f"/>
                <w:rtl w:val="0"/>
              </w:rPr>
              <w:t xml:space="preserve"> (E5 fails on clinical eligibility syntax/biomarkers)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w:t>
            </w:r>
            <w:r w:rsidDel="00000000" w:rsidR="00000000" w:rsidRPr="00000000">
              <w:rPr>
                <w:rFonts w:ascii="Google Sans" w:cs="Google Sans" w:eastAsia="Google Sans" w:hAnsi="Google Sans"/>
                <w:color w:val="1f1f1f"/>
                <w:rtl w:val="0"/>
              </w:rPr>
              <w:t xml:space="preserve"> (LoRA separates statutory/factual claims from angry rants)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Very High</w:t>
            </w:r>
            <w:r w:rsidDel="00000000" w:rsidR="00000000" w:rsidRPr="00000000">
              <w:rPr>
                <w:rFonts w:ascii="Google Sans" w:cs="Google Sans" w:eastAsia="Google Sans" w:hAnsi="Google Sans"/>
                <w:color w:val="1f1f1f"/>
                <w:rtl w:val="0"/>
              </w:rPr>
              <w:t xml:space="preserve"> (E5 clusters by industry; LoRA learns financial distress jargon)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Paper Narrative Strength (Sec. 4 &amp;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 domain case study on biomedical text-tabular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Exceptional</w:t>
            </w:r>
            <w:r w:rsidDel="00000000" w:rsidR="00000000" w:rsidRPr="00000000">
              <w:rPr>
                <w:rFonts w:ascii="Google Sans" w:cs="Google Sans" w:eastAsia="Google Sans" w:hAnsi="Google Sans"/>
                <w:color w:val="1f1f1f"/>
                <w:rtl w:val="0"/>
              </w:rPr>
              <w:t xml:space="preserve"> (Allows a clean </w:t>
            </w:r>
            <w:r w:rsidDel="00000000" w:rsidR="00000000" w:rsidRPr="00000000">
              <w:rPr>
                <w:rFonts w:ascii="Google Sans" w:cs="Google Sans" w:eastAsia="Google Sans" w:hAnsi="Google Sans"/>
                <w:i w:val="1"/>
                <w:iCs w:val="1"/>
                <w:color w:val="1f1f1f"/>
                <w:rtl w:val="0"/>
              </w:rPr>
              <w:t xml:space="preserve">Raw vs. Decoupled</w:t>
            </w:r>
            <w:r w:rsidDel="00000000" w:rsidR="00000000" w:rsidRPr="00000000">
              <w:rPr>
                <w:rFonts w:ascii="Google Sans" w:cs="Google Sans" w:eastAsia="Google Sans" w:hAnsi="Google Sans"/>
                <w:color w:val="1f1f1f"/>
                <w:rtl w:val="0"/>
              </w:rPr>
              <w:t xml:space="preserve"> ablation table in the paper)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Exceptional</w:t>
            </w:r>
            <w:r w:rsidDel="00000000" w:rsidR="00000000" w:rsidRPr="00000000">
              <w:rPr>
                <w:rFonts w:ascii="Google Sans" w:cs="Google Sans" w:eastAsia="Google Sans" w:hAnsi="Google Sans"/>
                <w:color w:val="1f1f1f"/>
                <w:rtl w:val="0"/>
              </w:rPr>
              <w:t xml:space="preserve"> (Original multi-source dataset construction; great for co-authorship)</w:t>
            </w:r>
          </w:p>
        </w:tc>
      </w:tr>
    </w:tbl>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 Immediate Action (Today — Day 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your odds within the 10-day window without gambling everything on a single dataset:</w:t>
      </w:r>
    </w:p>
    <w:p w:rsidR="00000000" w:rsidDel="00000000" w:rsidP="00000000" w:rsidRDefault="00000000" w:rsidRPr="00000000" w14:paraId="0000004C">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Download both Strategy 1 (ClinicalTrials.gov) and Strategy 2 (CFPB Decoupled)</w:t>
      </w:r>
      <w:r w:rsidDel="00000000" w:rsidR="00000000" w:rsidRPr="00000000">
        <w:rPr>
          <w:rFonts w:ascii="Google Sans" w:cs="Google Sans" w:eastAsia="Google Sans" w:hAnsi="Google Sans"/>
          <w:color w:val="1f1f1f"/>
          <w:rtl w:val="0"/>
        </w:rPr>
        <w:t xml:space="preserve"> today—both take less than an hour to pull from Hugging Face/Kaggle and format into a 8,000-row CSV.</w:t>
      </w:r>
    </w:p>
    <w:p w:rsidR="00000000" w:rsidDel="00000000" w:rsidP="00000000" w:rsidRDefault="00000000" w:rsidRPr="00000000" w14:paraId="0000004D">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Run a 1-seed fast screen</w:t>
      </w:r>
      <w:r w:rsidDel="00000000" w:rsidR="00000000" w:rsidRPr="00000000">
        <w:rPr>
          <w:rFonts w:ascii="Google Sans" w:cs="Google Sans" w:eastAsia="Google Sans" w:hAnsi="Google Sans"/>
          <w:color w:val="1f1f1f"/>
          <w:rtl w:val="0"/>
        </w:rPr>
        <w:t xml:space="preserve"> tomorrow using the MulTaBench repo on LightGBM and CatBoost across all 4 conditions (Structured, Unstructured, Joint Frozen, Joint TAR).</w:t>
      </w:r>
    </w:p>
    <w:p w:rsidR="00000000" w:rsidDel="00000000" w:rsidP="00000000" w:rsidRDefault="00000000" w:rsidRPr="00000000" w14:paraId="0000004E">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Whichever dataset yields the larger </w:t>
      </w:r>
      <m:oMath>
        <m:sSub>
          <m:sSubPr>
            <m:ctrlPr>
              <w:rPr>
                <w:rFonts w:ascii="Google Sans" w:cs="Google Sans" w:eastAsia="Google Sans" w:hAnsi="Google Sans"/>
                <w:color w:val="1f1f1f"/>
              </w:rPr>
            </m:ctrlPr>
          </m:sSubPr>
          <m:e>
            <m:r>
              <m:t>Δ</m:t>
            </m:r>
          </m:e>
          <m:sub>
            <m:r>
              <w:rPr>
                <w:rFonts w:ascii="Google Sans" w:cs="Google Sans" w:eastAsia="Google Sans" w:hAnsi="Google Sans"/>
                <w:color w:val="1f1f1f"/>
              </w:rPr>
              <m:t xml:space="preserve">Joint</m:t>
            </m:r>
          </m:sub>
        </m:sSub>
      </m:oMath>
      <w:r w:rsidDel="00000000" w:rsidR="00000000" w:rsidRPr="00000000">
        <w:rPr>
          <w:rFonts w:ascii="Google Sans" w:cs="Google Sans" w:eastAsia="Google Sans" w:hAnsi="Google Sans"/>
          <w:color w:val="1f1f1f"/>
          <w:rtl w:val="0"/>
        </w:rPr>
        <w:t xml:space="preserve"> and </w:t>
      </w:r>
      <m:oMath>
        <m:sSub>
          <m:sSubPr>
            <m:ctrlPr>
              <w:rPr>
                <w:rFonts w:ascii="Google Sans" w:cs="Google Sans" w:eastAsia="Google Sans" w:hAnsi="Google Sans"/>
                <w:color w:val="1f1f1f"/>
              </w:rPr>
            </m:ctrlPr>
          </m:sSubPr>
          <m:e>
            <m:r>
              <m:t>Δ</m:t>
            </m:r>
          </m:e>
          <m:sub>
            <m:r>
              <w:rPr>
                <w:rFonts w:ascii="Google Sans" w:cs="Google Sans" w:eastAsia="Google Sans" w:hAnsi="Google Sans"/>
                <w:color w:val="1f1f1f"/>
              </w:rPr>
              <m:t xml:space="preserve">Awareness</m:t>
            </m:r>
          </m:sub>
        </m:sSub>
      </m:oMath>
      <w:r w:rsidDel="00000000" w:rsidR="00000000" w:rsidRPr="00000000">
        <w:rPr>
          <w:rFonts w:ascii="Google Sans" w:cs="Google Sans" w:eastAsia="Google Sans" w:hAnsi="Google Sans"/>
          <w:color w:val="1f1f1f"/>
          <w:rtl w:val="0"/>
        </w:rPr>
        <w:t xml:space="preserve"> on the pilot run becomes your final dataset for the full 5-learner, 5-seed benchmark and your 4-page NeurIPS report.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Would you like a ready-to-run Python data preparation script to download, clean, and format either the </w:t>
      </w:r>
      <w:r w:rsidDel="00000000" w:rsidR="00000000" w:rsidRPr="00000000">
        <w:rPr>
          <w:rFonts w:ascii="Google Sans" w:cs="Google Sans" w:eastAsia="Google Sans" w:hAnsi="Google Sans"/>
          <w:b w:val="1"/>
          <w:bCs w:val="1"/>
          <w:color w:val="1f1f1f"/>
          <w:rtl w:val="0"/>
        </w:rPr>
        <w:t xml:space="preserve">ClinicalTrials.gov</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CFPB Decoupled</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SEC 10-K + Financials</w:t>
      </w:r>
      <w:r w:rsidDel="00000000" w:rsidR="00000000" w:rsidRPr="00000000">
        <w:rPr>
          <w:rFonts w:ascii="Google Sans" w:cs="Google Sans" w:eastAsia="Google Sans" w:hAnsi="Google Sans"/>
          <w:color w:val="1f1f1f"/>
          <w:rtl w:val="0"/>
        </w:rPr>
        <w:t xml:space="preserve"> dataset into the exact CSV schema expected by the MulTaBench repo?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