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the primary grading metric for Track 2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magnitude of the performance delta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Awareness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across the 5 learners, and the course staff may re-evaluate your submitted CSV using the standard MulTaBench codebase, all further optimizations must be baked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directly into your dataset 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relying on custom model hyperparameters.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5 highest-leverage techniques to push both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Awareness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 while ensuring all 5 learners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CatBoost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LightGBM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TabPFN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TabPFN 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pass cleanly.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Eliminate "Mean-Pooling Dilution" via IDF Boilerplate Filtering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MulTaBench pipeline, e5-small-v2 encodes your text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mean-pooling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token embeddings across the entire sequence into a single </w:t>
      </w:r>
      <m:oMath>
        <m:r>
          <w:rPr>
            <w:rFonts w:ascii="Google Sans" w:cs="Google Sans" w:eastAsia="Google Sans" w:hAnsi="Google Sans"/>
            <w:color w:val="1f1f1f"/>
          </w:rPr>
          <m:t xml:space="preserve">384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-dimensional vector before applying PCA.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Bottleneck: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SEC Item 1A, roughly half of the paragraph lead sentences are universal macro or legal boilerplate that appear in almost every company's filing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"Cybersecurity breaches could harm our business," "Changes in tax laws may affect our results," "Our stock price may be volatile," "Attracting and retaining key personnel is critical"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When e5-small-v2 averages 3 acute company-specific distress sentences with 10 generic boilerplate sentences, the target-aware signal is diluted by ~75%.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 (Corpus-Frequency Pruning):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Inverse Document Frequency (IDF)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words/phrases across your extracted Item 1A sentences (or apply a boilerplate stop-phrase list)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drop sentences that appear across &gt;15% of filings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Keep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to 12 high-specificity lead sentences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(~160–220 words total).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Regex Date/Number Stripping: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Strip opening date clauses from sentences (e.g., re.sub(r"^(As of|In|During) [A-Za-z]+ \d{1,2}, \d{4},?\s*", "", s)). Removing raw dates and dollar figures prevents WordPiece token fragmentation and forces e5-small-v2 to attend strictly to risk semantics.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sklearn.feature_extraction.text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TfidfVectorizer</w:t>
        <w:br w:type="textWrapping"/>
        <w:br w:type="textWrapping"/>
        <w:t xml:space="preserve">BOILERPLATE_PATTERNS =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r"forward-looking statements"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r"stock price"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r"common stock"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r"cyber"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r"information technology"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r"attract and retain"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r"key personnel"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r"tax laws"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r"general economic"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r"natural disasters"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r"climate change"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r"anti-takeover"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r"delaware law"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r"sarbanes-oxley"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r"internal control over financial"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r"dividends"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r"securities analysts"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]</w:t>
        <w:br w:type="textWrapping"/>
        <w:t xml:space="preserve">boiler_re = re.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"|"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.join(BOILERPLATE_PATTERNS), re.IGNORECASE)</w:t>
        <w:br w:type="textWrapping"/>
        <w:t xml:space="preserve">date_prefix_re = re.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r"^(As of|For the year ended|In|During)\s+[A-Za-z]+\s+\d{1,2},\s+\d{4},?\s*"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re.IGNORECASE,</w:t>
        <w:br w:type="textWrapping"/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clean_and_filter_lead_sentences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(paragraphs, max_sentences=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kept = []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paragraphs: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Take first sentence of the paragraph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sent = re.split(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r"(?&lt;=[.!?])\s+"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p.strip())[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sent = date_prefix_re.sub(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sent).strip()</w:t>
        <w:br w:type="textWrapping"/>
        <w:t xml:space="preserve">    words = sent.split()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(words)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boiler_re.search(sent):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Reject lines with &gt;15% digits (table remnants)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digit_ratio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(c.isdigit()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sent)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(sent),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digit_ratio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kept.append(sent)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(kept) &gt;= max_sentences: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.join(kept)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Target Boundary Purification ("Grey-Zone" Pruning)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Noisy labels near the decision boundary hurt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LoRA (Joint TAR)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much more than they hurt Joint Frozen, because LoRA updates transformer weights via gradient descent on the training split and will overfit to noisy borderline examples.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 Using Classification (AUROC):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splitting positive and negative classes at a hard cutoff (e.g., </w:t>
      </w:r>
      <m:oMath>
        <m:r>
          <m:t>Δ</m:t>
        </m:r>
        <m:r>
          <w:rPr>
            <w:rFonts w:ascii="Google Sans" w:cs="Google Sans" w:eastAsia="Google Sans" w:hAnsi="Google Sans"/>
            <w:color w:val="1f1f1f"/>
          </w:rPr>
          <m:t xml:space="preserve">OperatingIncome&lt;0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vs.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firms at $-0.1\%$ and $+0.1\%$ are virtually identical), define your positive class (</w:t>
      </w:r>
      <m:oMath>
        <m:r>
          <w:rPr>
            <w:rFonts w:ascii="Google Sans" w:cs="Google Sans" w:eastAsia="Google Sans" w:hAnsi="Google Sans"/>
            <w:color w:val="1f1f1f"/>
          </w:rPr>
          <m:t xml:space="preserve">y=1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Distress/Deterioration)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25% of firm-years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your negative class (</w:t>
      </w:r>
      <m:oMath>
        <m:r>
          <w:rPr>
            <w:rFonts w:ascii="Google Sans" w:cs="Google Sans" w:eastAsia="Google Sans" w:hAnsi="Google Sans"/>
            <w:color w:val="1f1f1f"/>
          </w:rPr>
          <m:t xml:space="preserve">y=0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Healthy/Stable)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55% of firm-years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exclude the ambiguous middle 20% "buffer zone"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subsampling your 2,800 rows.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 Using Regression (</w:t>
      </w:r>
      <m:oMath>
        <m:sSup>
          <m:sSup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Winsorize the target </w:t>
      </w:r>
      <m:oMath>
        <m:r>
          <w:rPr>
            <w:rFonts w:ascii="Google Sans" w:cs="Google Sans" w:eastAsia="Google Sans" w:hAnsi="Google Sans"/>
            <w:color w:val="1f1f1f"/>
          </w:rPr>
          <m:t xml:space="preserve">y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2nd and 98th percentiles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apply a signed log transform $\text{sign}(y)\ln(1 + \vert{}y\vert{})$). A single extreme accounting outlier in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produces massive MSE gradients during LoRA fine-tuning, destabilizing the adapted embeddings and hurting test 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Prevent "Firm-ID Memorization" in Tree Learners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same company (CIK) appears 6 or 7 times (2017–2023) in your subsampled dataset, random train/test splits will place the same company in both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train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D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test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adjacent years.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This Hurts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company's Log_Total_Assets changes very little from 2021 to 2022 (e.g., 7.8412 vs. 7.8501).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LightGBM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CatBoost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use high-precision continuous splits on Log_Total_Assets and Asset_Turnover as a quasi-fingerprint to memorize individual companies across years, artificially inflating Unimodal Structured.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Simple Fixes: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 Observations per Company: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 each unique CIK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 most 2 fiscal years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(preferably non-consecutive, e.g., at least 2 years apart) when sampling your 2,800 rows.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Round Continuous Features to 3 Decimal Places + Signed-Log Transform: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np.round(np.sign(x) * np.log1p(np.abs(x)), 3) to skewed ratios (Current_Ratio, Asset_Turnover, CapEx_to_Assets). Rounding to 3 decimals stops tree models from fingerprinting exact floating-point asset values, while the signed-log compression removes heavy tails—giving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TabPFN 2.0/2.5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substantial boost.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Check e5-small-v2 Prefix Formatting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intfloat/e5-small-v2 model was pretrained using asymmetric prefixes ("passage: " or "query: 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how the MulTaBench codebase passes text columns to the tokenizer. If it passes the raw string column without prepending "passage: ", test prepending "passage: " (or "Risk factors: ") directly to the start of every string in your CSV's text column.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frozen mode, E5's attention heads expect that initial prefix token as an attention sink; providing it stabilizes Unimodal Unstructured and Joint Frozen, while giving LoRA (Joint TAR) a clean anchor token to adapt.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Run a "Leave-One-Column-Out" Check on the 7 Structured Features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 all 5 tabular learners react the same way to individual structured features. You can test the structured features in under 2 minutes without re-running LoRA: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Cache/keep your extracted Frozen and TAR embeddings from a single seed.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a quick loop dropping one structured column at a time (for col in structured_cols: ...) across the tabular learners.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to look for: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dropping a single feature (for instance, Fiscal_Year or Cash_to_Total_Assets) increases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=S(JointFrozen)-</m:t>
        </m:r>
        <m:limLow>
          <m:limLowPr>
            <m:ctrlPr>
              <w:rPr>
                <w:rFonts w:ascii="Google Sans" w:cs="Google Sans" w:eastAsia="Google Sans" w:hAnsi="Google Sans"/>
                <w:color w:val="1f1f1f"/>
              </w:rPr>
            </m:ctrlPr>
          </m:limLowPr>
          <m:e>
            <m:r>
              <w:rPr>
                <w:rFonts w:ascii="Google Sans" w:cs="Google Sans" w:eastAsia="Google Sans" w:hAnsi="Google Sans"/>
                <w:color w:val="1f1f1f"/>
              </w:rPr>
              <m:t>max</m:t>
            </m:r>
          </m:e>
          <m:lim/>
        </m:limLow>
        <m:r>
          <w:rPr>
            <w:rFonts w:ascii="Google Sans" w:cs="Google Sans" w:eastAsia="Google Sans" w:hAnsi="Google Sans"/>
            <w:color w:val="1f1f1f"/>
          </w:rPr>
          <m:t xml:space="preserve">(S(Structured),S(Unstructured))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</w:t>
      </w:r>
      <m:oMath>
        <m:r>
          <w:rPr>
            <w:rFonts w:ascii="Google Sans" w:cs="Google Sans" w:eastAsia="Google Sans" w:hAnsi="Google Sans"/>
            <w:color w:val="1f1f1f"/>
          </w:rPr>
          <m:t xml:space="preserve">+0.015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more without hurting Joint TAR, drop that feature permanently.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Conversely, if Unimodal Structured is slightly weaker than Unimodal Unstructured on any learner (threatening Failure Mode 2), add back one moderate baseline ratio (such as Working_Capital_to_Assets) so the two unimodal baselines sit at nearly identical performance levels.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Joint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is maximized when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Score(UnimodalStructured)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≈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Score(UnimodalUnstructured)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Your Intermediate Runs for the Paper!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overwrite the numbers from your earlier failed and intermediate runs. In Section 4 &amp; 5 of your 4-page NeurIPS report, presenting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Curation Ablation 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showing the progression across your iterations will make your paper stand out: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Curation Stage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Text Construction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Structured Features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Avg. ΔJoint​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Avg. ΔAwareness​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Learners Passing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v1 (Baseline)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Raw Item 7 (first 512 tokens)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16 financial ratios + SIC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≤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≤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0/5–1/5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v2 (Structural Pivot)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Item 1A paragraph lead sentences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Decoupled 7 balance-sheet ratios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+X.XX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+X.XX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3/5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v3 (Refined Final)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Item 1A + IDF boilerplate pruning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ratios (signed-log) + boundary margin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+Y.YY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+Y.YY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4/5–5/5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of the 5 learners currently has the smallest delta (or is closest to the threshold) in your latest run? If you share the rough scores across the 4 conditions from your pilot test, I can pinpoint the exact adjustment for that specific learner.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