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Supervertaler – Comprehensive DOCX Test Document</w:t>
      </w:r>
    </w:p>
    <w:p>
      <w:pPr>
        <w:pStyle w:val="Heading1"/>
      </w:pPr>
      <w:r>
        <w:t>1. Introduction and scope</w:t>
      </w:r>
    </w:p>
    <w:p>
      <w:r>
        <w:t>This document is designed to test the full range of formatting features commonly encountered in complex Microsoft Word documents. It intentionally combines structure, layout, and inline formatting.</w:t>
      </w:r>
    </w:p>
    <w:p>
      <w:r>
        <w:rPr>
          <w:i/>
        </w:rPr>
        <w:t xml:space="preserve">This sentence contains </w:t>
      </w:r>
      <w:r>
        <w:rPr>
          <w:b/>
        </w:rPr>
        <w:t>bold text</w:t>
      </w:r>
      <w:r>
        <w:t xml:space="preserve">, </w:t>
      </w:r>
      <w:r>
        <w:rPr>
          <w:i/>
        </w:rPr>
        <w:t>italic text</w:t>
      </w:r>
      <w:r>
        <w:t xml:space="preserve">, </w:t>
      </w:r>
      <w:r>
        <w:rPr>
          <w:b/>
          <w:i/>
        </w:rPr>
        <w:t>bold italic text</w:t>
      </w:r>
      <w:r>
        <w:t>, and normal text again.</w:t>
      </w:r>
    </w:p>
    <w:p>
      <w:pPr>
        <w:pStyle w:val="Heading1"/>
      </w:pPr>
      <w:r>
        <w:t>2. Multi-level heading structure</w:t>
      </w:r>
    </w:p>
    <w:p>
      <w:pPr>
        <w:pStyle w:val="Heading2"/>
      </w:pPr>
      <w:r>
        <w:t>2.1 Second-level heading</w:t>
      </w:r>
    </w:p>
    <w:p>
      <w:pPr>
        <w:pStyle w:val="Heading3"/>
      </w:pPr>
      <w:r>
        <w:t>2.1.1 Third-level heading</w:t>
      </w:r>
    </w:p>
    <w:p>
      <w:pPr>
        <w:pStyle w:val="Heading4"/>
      </w:pPr>
      <w:r>
        <w:t>2.1.1.1 Fourth-level heading</w:t>
      </w:r>
    </w:p>
    <w:p>
      <w:r>
        <w:t>This paragraph sits under a deep heading level and should remain associated with it during processing.</w:t>
      </w:r>
    </w:p>
    <w:p>
      <w:pPr>
        <w:pStyle w:val="Heading1"/>
      </w:pPr>
      <w:r>
        <w:t>3. Lists and indentation</w:t>
      </w:r>
    </w:p>
    <w:p>
      <w:pPr>
        <w:pStyle w:val="ListParagraph"/>
      </w:pPr>
      <w:r>
        <w:t>Unordered list:</w:t>
      </w:r>
    </w:p>
    <w:p>
      <w:pPr>
        <w:pStyle w:val="ListParagraph"/>
        <w:ind w:left="360"/>
      </w:pPr>
      <w:r>
        <w:t>First bullet item</w:t>
      </w:r>
    </w:p>
    <w:p>
      <w:pPr>
        <w:pStyle w:val="ListParagraph"/>
        <w:ind w:left="360"/>
      </w:pPr>
      <w:r>
        <w:t>Second bullet item with longer explanatory text</w:t>
      </w:r>
    </w:p>
    <w:p>
      <w:pPr>
        <w:pStyle w:val="ListParagraph"/>
        <w:ind w:left="360"/>
      </w:pPr>
      <w:r>
        <w:t>Third bullet item</w:t>
      </w:r>
    </w:p>
    <w:p>
      <w:pPr>
        <w:pStyle w:val="ListParagraph"/>
      </w:pPr>
      <w:r>
        <w:t>Ordered list:</w:t>
      </w:r>
    </w:p>
    <w:p>
      <w:pPr>
        <w:pStyle w:val="ListParagraph"/>
        <w:ind w:left="720"/>
      </w:pPr>
      <w:r>
        <w:t>First numbered item</w:t>
      </w:r>
    </w:p>
    <w:p>
      <w:pPr>
        <w:pStyle w:val="ListParagraph"/>
        <w:ind w:left="720"/>
      </w:pPr>
      <w:r>
        <w:t>Second numbered item</w:t>
      </w:r>
    </w:p>
    <w:p>
      <w:pPr>
        <w:pStyle w:val="ListParagraph"/>
        <w:ind w:left="720"/>
      </w:pPr>
      <w:r>
        <w:t>Third numbered item</w:t>
      </w:r>
    </w:p>
    <w:p>
      <w:pPr>
        <w:pStyle w:val="Heading1"/>
      </w:pPr>
      <w:r>
        <w:t>4. Tables with edge cases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4320"/>
            <w:gridSpan w:val="2"/>
          </w:tcPr>
          <w:p>
            <w:r>
              <w:t>Merged header cell (ID + Description)</w:t>
            </w:r>
          </w:p>
        </w:tc>
        <w:tc>
          <w:tcPr>
            <w:tcW w:type="dxa" w:w="2160"/>
          </w:tcPr>
          <w:p>
            <w:r>
              <w:t>Language</w:t>
            </w:r>
          </w:p>
        </w:tc>
        <w:tc>
          <w:tcPr>
            <w:tcW w:type="dxa" w:w="2160"/>
          </w:tcPr>
          <w:p>
            <w:r>
              <w:t>Notes</w:t>
            </w:r>
          </w:p>
        </w:tc>
      </w:tr>
      <w:tr>
        <w:tc>
          <w:tcPr>
            <w:tcW w:type="dxa" w:w="2160"/>
          </w:tcPr>
          <w:p>
            <w:r>
              <w:t>A-001</w:t>
            </w:r>
          </w:p>
        </w:tc>
        <w:tc>
          <w:tcPr>
            <w:tcW w:type="dxa" w:w="2160"/>
          </w:tcPr>
          <w:p>
            <w:r>
              <w:t>Mixed-language cell: Dit is Nederlands, this is English, et ceci est français.</w:t>
            </w:r>
          </w:p>
        </w:tc>
        <w:tc>
          <w:tcPr>
            <w:tcW w:type="dxa" w:w="2160"/>
          </w:tcPr>
          <w:p>
            <w:r>
              <w:t>NL / EN / FR</w:t>
            </w:r>
          </w:p>
        </w:tc>
        <w:tc>
          <w:tcPr>
            <w:tcW w:type="dxa" w:w="2160"/>
          </w:tcPr>
          <w:p>
            <w:r>
              <w:t>Cell with</w:t>
              <w:br/>
              <w:t>manual line break</w:t>
            </w:r>
          </w:p>
        </w:tc>
      </w:tr>
      <w:tr>
        <w:tc>
          <w:tcPr>
            <w:tcW w:type="dxa" w:w="2160"/>
          </w:tcPr>
          <w:p>
            <w:r>
              <w:t>A-002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EN</w:t>
            </w:r>
          </w:p>
        </w:tc>
        <w:tc>
          <w:tcPr>
            <w:tcW w:type="dxa" w:w="2160"/>
          </w:tcPr>
          <w:p>
            <w:r>
              <w:t>Intentionally empty description cell</w:t>
            </w:r>
          </w:p>
        </w:tc>
      </w:tr>
    </w:tbl>
    <w:p>
      <w:pPr>
        <w:pStyle w:val="Heading1"/>
      </w:pPr>
      <w:r>
        <w:t>5. Footnote-style references</w:t>
      </w:r>
    </w:p>
    <w:p>
      <w:r>
        <w:t>This sentence contains a reference marker [1] that mimics a footnote without using Word’s native footnote feature.</w:t>
      </w:r>
    </w:p>
    <w:p>
      <w:r>
        <w:t>[1] This is footnote-like explanatory text that should remain logically associated with the reference.</w:t>
      </w:r>
    </w:p>
    <w:p>
      <w:pPr>
        <w:pStyle w:val="Heading1"/>
      </w:pPr>
      <w:r>
        <w:t>6. Alignment tests</w:t>
      </w:r>
    </w:p>
    <w:p>
      <w:pPr>
        <w:jc w:val="left"/>
      </w:pPr>
      <w:r>
        <w:t>Left-aligned paragraph (default).</w:t>
      </w:r>
    </w:p>
    <w:p>
      <w:pPr>
        <w:jc w:val="center"/>
      </w:pPr>
      <w:r>
        <w:t>Center-aligned paragraph.</w:t>
      </w:r>
    </w:p>
    <w:p>
      <w:pPr>
        <w:jc w:val="right"/>
      </w:pPr>
      <w:r>
        <w:t>Right-aligned paragraph.</w:t>
      </w:r>
    </w:p>
    <w:p>
      <w:pPr>
        <w:pStyle w:val="Heading1"/>
      </w:pPr>
      <w:r>
        <w:t>7. Special characters and spacing</w:t>
      </w:r>
    </w:p>
    <w:p>
      <w:r>
        <w:t>This paragraph contains a non‑breaking space, an en dash – like this, and symbols such as ©, ®, ™, ≤, ≥, and ±.</w:t>
      </w:r>
    </w:p>
    <w:p>
      <w:pPr>
        <w:pStyle w:val="Heading1"/>
      </w:pPr>
      <w:r>
        <w:t>8. Callout text</w:t>
      </w:r>
    </w:p>
    <w:p>
      <w:r>
        <w:rPr>
          <w:b/>
        </w:rPr>
        <w:t>WARNING: This paragraph simulates a callout or warning box.</w:t>
      </w:r>
    </w:p>
    <w:p>
      <w:pPr>
        <w:pStyle w:val="Heading1"/>
      </w:pPr>
      <w:r>
        <w:t>9. Final call to action</w:t>
      </w:r>
    </w:p>
    <w:p>
      <w:pPr>
        <w:jc w:val="center"/>
      </w:pPr>
      <w:r>
        <w:rPr>
          <w:i/>
        </w:rPr>
        <w:t>End of test document – ready for Supervertaler processing.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