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smdcp" ContentType="application/vnd.openxmlformats-package.core-properties+xml"/>
  <Override PartName="/word/styles.xml" ContentType="application/vnd.openxmlformats-officedocument.wordprocessingml.styles+xml"/>
  <Override PartName="/customXML/item.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df5fe1ffa28b4c1e" /><Relationship Type="http://schemas.openxmlformats.org/package/2006/relationships/metadata/core-properties" Target="/package/services/metadata/core-properties/e80d5353413943a79a6520495b0f4981.psmdcp" Id="R1ab2135ba9084eee"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true" w:lastRow="false" w:firstColumn="true" w:lastColumn="false" w:noHBand="false" w:noVBand="true"/>
      </w:tblPr>
      <w:tblGrid>
        <w:gridCol/>
        <w:gridCol/>
        <w:gridCol/>
        <w:gridCol/>
      </w:tblGrid>
      <w:tr>
        <w:tc>
          <w:tcPr>
            <w:shd w:val="clear" w:color="auto" w:fill="8DB3E2"/>
          </w:tcPr>
          <w:p>
            <w:pPr>
              <w:rPr>
                <w:lang w:val="en-US"/>
              </w:rPr>
            </w:pPr>
            <w:r>
              <w:rPr>
                <w:lang w:val="en-US"/>
              </w:rPr>
              <w:t xml:space="preserve">Segment ID</w:t>
            </w:r>
          </w:p>
        </w:tc>
        <w:tc>
          <w:tcPr>
            <w:shd w:val="clear" w:color="auto" w:fill="8DB3E2"/>
          </w:tcPr>
          <w:p>
            <w:pPr>
              <w:rPr>
                <w:lang w:val="en-US"/>
              </w:rPr>
            </w:pPr>
            <w:r>
              <w:rPr>
                <w:lang w:val="en-US"/>
              </w:rPr>
              <w:t xml:space="preserve">Segment status</w:t>
            </w:r>
          </w:p>
        </w:tc>
        <w:tc>
          <w:tcPr>
            <w:shd w:val="clear" w:color="auto" w:fill="8DB3E2"/>
          </w:tcPr>
          <w:p>
            <w:pPr>
              <w:rPr>
                <w:lang w:val="en-US"/>
              </w:rPr>
            </w:pPr>
            <w:r>
              <w:rPr>
                <w:lang w:val="en-US"/>
              </w:rPr>
              <w:t xml:space="preserve">Source segment</w:t>
            </w:r>
          </w:p>
        </w:tc>
        <w:tc>
          <w:tcPr>
            <w:shd w:val="clear" w:color="auto" w:fill="8DB3E2"/>
          </w:tcPr>
          <w:p>
            <w:pPr>
              <w:rPr>
                <w:lang w:val="en-US"/>
              </w:rPr>
            </w:pPr>
            <w:r>
              <w:rPr>
                <w:lang w:val="en-US"/>
              </w:rPr>
              <w:t xml:space="preserve">Target segment</w:t>
            </w:r>
          </w:p>
        </w:tc>
      </w:tr>
      <w:tr>
        <w:tc>
          <w:tcPr>
            <w:shd w:val="clear" w:color="auto" w:fill="FFFFFF"/>
          </w:tcPr>
          <w:p>
            <w:pPr>
              <w:rPr>
                <w:lang w:val="nl-BE"/>
              </w:rPr>
            </w:pPr>
            <w:r>
              <w:rPr>
                <w:rStyle w:val="SegmentID"/>
                <w:lang w:val="nl-BE"/>
              </w:rPr>
              <w:t xml:space="preserve">1</w:t>
            </w:r>
            <w:r>
              <w:rPr>
                <w:rStyle w:val="TransUnitID"/>
                <w:lang w:val="nl-BE"/>
              </w:rPr>
              <w:t xml:space="preserve">bf904784-eef6-4de3-9c30-4d82f7e35eaa</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voor opklapmeubel</w:t>
            </w:r>
          </w:p>
        </w:tc>
        <w:tc>
          <w:tcPr>
            <w:shd w:val="clear" w:color="auto" w:fill="FFFFFF"/>
          </w:tcPr>
          <w:p>
            <w:pPr>
              <w:rPr>
                <w:lang w:val="en-US"/>
              </w:rPr>
            </w:pPr>
            <w:r>
              <w:rPr>
                <w:lang w:val="en-US"/>
              </w:rPr>
              <w:t xml:space="preserve">foldable frame for fold-up furniture</w:t>
            </w:r>
          </w:p>
        </w:tc>
      </w:tr>
      <w:tr>
        <w:tc>
          <w:tcPr>
            <w:shd w:val="clear" w:color="auto" w:fill="#98FB98"/>
          </w:tcPr>
          <w:p>
            <w:pPr>
              <w:rPr>
                <w:lang w:val="nl-BE"/>
              </w:rPr>
            </w:pPr>
            <w:r>
              <w:rPr>
                <w:rStyle w:val="SegmentID"/>
                <w:lang w:val="nl-BE"/>
              </w:rPr>
              <w:t xml:space="preserve">2</w:t>
            </w:r>
            <w:r>
              <w:rPr>
                <w:rStyle w:val="TransUnitID"/>
                <w:lang w:val="nl-BE"/>
              </w:rPr>
              <w:t xml:space="preserve">237af40a-8bd1-48f3-a9c1-4e34850d6fa2</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TECHNISCH DOMEIN</w:t>
            </w:r>
          </w:p>
        </w:tc>
        <w:tc>
          <w:tcPr>
            <w:shd w:val="clear" w:color="auto" w:fill="#98FB98"/>
          </w:tcPr>
          <w:p>
            <w:pPr>
              <w:rPr>
                <w:lang w:val="en-US"/>
              </w:rPr>
            </w:pPr>
            <w:r>
              <w:rPr>
                <w:lang w:val="en-US"/>
              </w:rPr>
              <w:t xml:space="preserve">TECHNICAL FIELD</w:t>
            </w:r>
          </w:p>
        </w:tc>
      </w:tr>
      <w:tr>
        <w:tc>
          <w:tcPr>
            <w:shd w:val="clear" w:color="auto" w:fill="D3D3D3"/>
          </w:tcPr>
          <w:p>
            <w:pPr>
              <w:rPr>
                <w:lang w:val="nl-BE"/>
              </w:rPr>
            </w:pPr>
            <w:r>
              <w:rPr>
                <w:rStyle w:val="SegmentID"/>
                <w:lang w:val="nl-BE"/>
              </w:rPr>
              <w:t xml:space="preserve">3</w:t>
            </w:r>
            <w:r>
              <w:rPr>
                <w:rStyle w:val="TransUnitID"/>
                <w:lang w:val="nl-BE"/>
              </w:rPr>
              <w:t xml:space="preserve">26ecfdf1-7ca6-4a56-b44d-f748a4dd2b0a</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De uitvinding heeft betrekking op een uitvouwbaar geraamte voor een opklapmeubel zoals een bedbank, alsook een opklapmeubel omvattende dit geraamte.</w:t>
            </w:r>
          </w:p>
        </w:tc>
        <w:tc>
          <w:tcPr>
            <w:shd w:val="clear" w:color="auto" w:fill="D3D3D3"/>
          </w:tcPr>
          <w:p>
            <w:pPr>
              <w:rPr>
                <w:lang w:val="en-US"/>
              </w:rPr>
            </w:pPr>
            <w:r>
              <w:rPr>
                <w:lang w:val="en-US"/>
              </w:rPr>
              <w:t xml:space="preserve">The invention relates to a folding framework for an item of folding furniture such as a sofa bed, as well as an item of folding furniture comprising this framework.</w:t>
            </w:r>
          </w:p>
        </w:tc>
      </w:tr>
      <w:tr>
        <w:tc>
          <w:tcPr>
            <w:shd w:val="clear" w:color="auto" w:fill="D3D3D3"/>
          </w:tcPr>
          <w:p>
            <w:pPr>
              <w:rPr>
                <w:lang w:val="nl-BE"/>
              </w:rPr>
            </w:pPr>
            <w:r>
              <w:rPr>
                <w:rStyle w:val="SegmentID"/>
                <w:lang w:val="nl-BE"/>
              </w:rPr>
              <w:t xml:space="preserve">4</w:t>
            </w:r>
            <w:r>
              <w:rPr>
                <w:rStyle w:val="TransUnitID"/>
                <w:lang w:val="nl-BE"/>
              </w:rPr>
              <w:t xml:space="preserve">dc0883d7-9163-40f9-92e4-1735781a9470</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STAND DER TECHNIEK</w:t>
            </w:r>
          </w:p>
        </w:tc>
        <w:tc>
          <w:tcPr>
            <w:shd w:val="clear" w:color="auto" w:fill="D3D3D3"/>
          </w:tcPr>
          <w:p>
            <w:pPr>
              <w:rPr>
                <w:lang w:val="en-US"/>
              </w:rPr>
            </w:pPr>
            <w:r>
              <w:rPr>
                <w:lang w:val="en-US"/>
              </w:rPr>
              <w:t xml:space="preserve">PRIOR ART</w:t>
            </w:r>
          </w:p>
        </w:tc>
      </w:tr>
      <w:tr>
        <w:tc>
          <w:tcPr>
            <w:shd w:val="clear" w:color="auto" w:fill="D3D3D3"/>
          </w:tcPr>
          <w:p>
            <w:pPr>
              <w:rPr>
                <w:lang w:val="nl-BE"/>
              </w:rPr>
            </w:pPr>
            <w:r>
              <w:rPr>
                <w:rStyle w:val="SegmentID"/>
                <w:lang w:val="nl-BE"/>
              </w:rPr>
              <w:t xml:space="preserve">5</w:t>
            </w:r>
            <w:r>
              <w:rPr>
                <w:rStyle w:val="TransUnitID"/>
                <w:lang w:val="nl-BE"/>
              </w:rPr>
              <w:t xml:space="preserve">2b8c4c57-f63b-4e20-b286-3ed1069fb955</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Dergelijke uitvouwbare geraamtes voor een opklapmeubel, in bijzonder een bedbank, zijn vaak gebruikt in de stand der techniek.</w:t>
            </w:r>
          </w:p>
        </w:tc>
        <w:tc>
          <w:tcPr>
            <w:shd w:val="clear" w:color="auto" w:fill="D3D3D3"/>
          </w:tcPr>
          <w:p>
            <w:pPr>
              <w:rPr>
                <w:lang w:val="en-US"/>
              </w:rPr>
            </w:pPr>
            <w:r>
              <w:rPr>
                <w:lang w:val="en-US"/>
              </w:rPr>
              <w:t xml:space="preserve">Such folding frameworks for a piece of folding furniture, particularly a sofa bed, are often used in the prior art.</w:t>
            </w:r>
          </w:p>
        </w:tc>
      </w:tr>
      <w:tr>
        <w:tc>
          <w:tcPr>
            <w:shd w:val="clear" w:color="auto" w:fill="D3D3D3"/>
          </w:tcPr>
          <w:p>
            <w:pPr>
              <w:rPr>
                <w:lang w:val="nl-BE"/>
              </w:rPr>
            </w:pPr>
            <w:r>
              <w:rPr>
                <w:rStyle w:val="SegmentID"/>
                <w:lang w:val="nl-BE"/>
              </w:rPr>
              <w:t xml:space="preserve">6</w:t>
            </w:r>
            <w:r>
              <w:rPr>
                <w:rStyle w:val="TransUnitID"/>
                <w:lang w:val="nl-BE"/>
              </w:rPr>
              <w:t xml:space="preserve">ee0d37fe-71c2-44d8-9ba1-8f8da4e9b723</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Zo is een dergelijk uitvouwbaar geraamte gekend uit WO 2004 086 913 (WO ‘913).</w:t>
            </w:r>
          </w:p>
        </w:tc>
        <w:tc>
          <w:tcPr>
            <w:shd w:val="clear" w:color="auto" w:fill="D3D3D3"/>
          </w:tcPr>
          <w:p>
            <w:pPr>
              <w:rPr>
                <w:lang w:val="en-US"/>
              </w:rPr>
            </w:pPr>
            <w:r>
              <w:rPr>
                <w:lang w:val="en-US"/>
              </w:rPr>
              <w:t xml:space="preserve">Thus, such a folding framework is known from WO 2004 086 913 (WO ‘913).</w:t>
            </w:r>
          </w:p>
        </w:tc>
      </w:tr>
      <w:tr>
        <w:tc>
          <w:tcPr>
            <w:shd w:val="clear" w:color="auto" w:fill="D3D3D3"/>
          </w:tcPr>
          <w:p>
            <w:pPr>
              <w:rPr>
                <w:lang w:val="nl-BE"/>
              </w:rPr>
            </w:pPr>
            <w:r>
              <w:rPr>
                <w:rStyle w:val="SegmentID"/>
                <w:lang w:val="nl-BE"/>
              </w:rPr>
              <w:t xml:space="preserve">7</w:t>
            </w:r>
            <w:r>
              <w:rPr>
                <w:rStyle w:val="TransUnitID"/>
                <w:lang w:val="nl-BE"/>
              </w:rPr>
              <w:t xml:space="preserve">ee0d37fe-71c2-44d8-9ba1-8f8da4e9b723</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Het geraamte volgens WO ‘913 omvat twee rototranslationele koppelingen, dewelke met een eerste uiteinde verbonden zijn met een lichaamsteunkoppeling en met een tweede uiteinde verbonden zijn met twee verschillende basisliggers.</w:t>
            </w:r>
          </w:p>
        </w:tc>
        <w:tc>
          <w:tcPr>
            <w:shd w:val="clear" w:color="auto" w:fill="D3D3D3"/>
          </w:tcPr>
          <w:p>
            <w:pPr>
              <w:rPr>
                <w:lang w:val="en-US"/>
              </w:rPr>
            </w:pPr>
            <w:r>
              <w:rPr>
                <w:lang w:val="en-US"/>
              </w:rPr>
              <w:t xml:space="preserve">The framework according to WO ‘913 comprises two roto-translational couplings, which are connected at a first end to a body support coupling and at a second end are connected to two different base beams.</w:t>
            </w:r>
          </w:p>
        </w:tc>
      </w:tr>
      <w:tr>
        <w:tc>
          <w:tcPr>
            <w:shd w:val="clear" w:color="auto" w:fill="D3D3D3"/>
          </w:tcPr>
          <w:p>
            <w:pPr>
              <w:rPr>
                <w:lang w:val="nl-BE"/>
              </w:rPr>
            </w:pPr>
            <w:r>
              <w:rPr>
                <w:rStyle w:val="SegmentID"/>
                <w:lang w:val="nl-BE"/>
              </w:rPr>
              <w:t xml:space="preserve">8</w:t>
            </w:r>
            <w:r>
              <w:rPr>
                <w:rStyle w:val="TransUnitID"/>
                <w:lang w:val="nl-BE"/>
              </w:rPr>
              <w:t xml:space="preserve">3b2ab31a-0c4a-46ff-88a8-1b7cd3d47706</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Het geraamte volgens WO ‘913 is nadelig gezien de twee uiteinden van de rototranslationele koppelingen verticaal gespatieerd zijn verbonden op de twee genoemde basisliggers.</w:t>
            </w:r>
          </w:p>
        </w:tc>
        <w:tc>
          <w:tcPr>
            <w:shd w:val="clear" w:color="auto" w:fill="D3D3D3"/>
          </w:tcPr>
          <w:p>
            <w:pPr>
              <w:rPr>
                <w:lang w:val="en-US"/>
              </w:rPr>
            </w:pPr>
            <w:r>
              <w:rPr>
                <w:lang w:val="en-US"/>
              </w:rPr>
              <w:t xml:space="preserve">The framework according to WO ‘913 is disadvantageous since the two ends of the roto-translational couplings are connected vertically spaced to the two said base beams.</w:t>
            </w:r>
          </w:p>
        </w:tc>
      </w:tr>
      <w:tr>
        <w:tc>
          <w:tcPr>
            <w:shd w:val="clear" w:color="auto" w:fill="D3D3D3"/>
          </w:tcPr>
          <w:p>
            <w:pPr>
              <w:rPr>
                <w:lang w:val="nl-BE"/>
              </w:rPr>
            </w:pPr>
            <w:r>
              <w:rPr>
                <w:rStyle w:val="SegmentID"/>
                <w:lang w:val="nl-BE"/>
              </w:rPr>
              <w:t xml:space="preserve">9</w:t>
            </w:r>
            <w:r>
              <w:rPr>
                <w:rStyle w:val="TransUnitID"/>
                <w:lang w:val="nl-BE"/>
              </w:rPr>
              <w:t xml:space="preserve">3b2ab31a-0c4a-46ff-88a8-1b7cd3d47706</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Dergelijke verticale spatiëring vereist een geraamte dat een substantiële hoeveelheid (verticale) ruimte nodig heeft voor het op- en ontvouwen.</w:t>
            </w:r>
          </w:p>
        </w:tc>
        <w:tc>
          <w:tcPr>
            <w:shd w:val="clear" w:color="auto" w:fill="D3D3D3"/>
          </w:tcPr>
          <w:p>
            <w:pPr>
              <w:rPr>
                <w:lang w:val="en-US"/>
              </w:rPr>
            </w:pPr>
            <w:r>
              <w:rPr>
                <w:lang w:val="en-US"/>
              </w:rPr>
              <w:t xml:space="preserve">Such vertical spacing requires a framework that requires a substantial amount of (vertical) space for folding and unfolding.</w:t>
            </w:r>
          </w:p>
        </w:tc>
      </w:tr>
      <w:tr>
        <w:tc>
          <w:tcPr>
            <w:shd w:val="clear" w:color="auto" w:fill="D3D3D3"/>
          </w:tcPr>
          <w:p>
            <w:pPr>
              <w:rPr>
                <w:lang w:val="nl-BE"/>
              </w:rPr>
            </w:pPr>
            <w:r>
              <w:rPr>
                <w:rStyle w:val="SegmentID"/>
                <w:lang w:val="nl-BE"/>
              </w:rPr>
              <w:t xml:space="preserve">10</w:t>
            </w:r>
            <w:r>
              <w:rPr>
                <w:rStyle w:val="TransUnitID"/>
                <w:lang w:val="nl-BE"/>
              </w:rPr>
              <w:t xml:space="preserve">3b2ab31a-0c4a-46ff-88a8-1b7cd3d47706</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Daarenboven, merken de uitvinders op dat de vorm en plaatsing van de rototranslationele koppelingen geen soepele ontvouwing toelaat van het geraamte.</w:t>
            </w:r>
          </w:p>
        </w:tc>
        <w:tc>
          <w:tcPr>
            <w:shd w:val="clear" w:color="auto" w:fill="D3D3D3"/>
          </w:tcPr>
          <w:p>
            <w:pPr>
              <w:rPr>
                <w:lang w:val="en-US"/>
              </w:rPr>
            </w:pPr>
            <w:r>
              <w:rPr>
                <w:lang w:val="en-US"/>
              </w:rPr>
              <w:t xml:space="preserve">In addition, the inventors note that the shape and placement of the roto-translational couplings does not allow a smooth unfolding of the framework.</w:t>
            </w:r>
          </w:p>
        </w:tc>
      </w:tr>
      <w:tr>
        <w:tc>
          <w:tcPr>
            <w:shd w:val="clear" w:color="auto" w:fill="D3D3D3"/>
          </w:tcPr>
          <w:p>
            <w:pPr>
              <w:rPr>
                <w:lang w:val="nl-BE"/>
              </w:rPr>
            </w:pPr>
            <w:r>
              <w:rPr>
                <w:rStyle w:val="SegmentID"/>
                <w:lang w:val="nl-BE"/>
              </w:rPr>
              <w:t xml:space="preserve">11</w:t>
            </w:r>
            <w:r>
              <w:rPr>
                <w:rStyle w:val="TransUnitID"/>
                <w:lang w:val="nl-BE"/>
              </w:rPr>
              <w:t xml:space="preserve">5ac1e156-8c9b-45e6-a1c6-ac3e2160e73d</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Hiernaast heeft het geraamte uit WO ‘913 een bijkomend nadeel.</w:t>
            </w:r>
          </w:p>
        </w:tc>
        <w:tc>
          <w:tcPr>
            <w:shd w:val="clear" w:color="auto" w:fill="D3D3D3"/>
          </w:tcPr>
          <w:p>
            <w:pPr>
              <w:rPr>
                <w:lang w:val="en-US"/>
              </w:rPr>
            </w:pPr>
            <w:r>
              <w:rPr>
                <w:lang w:val="en-US"/>
              </w:rPr>
              <w:t xml:space="preserve">In addition, the framework from WO ‘913 has an additional drawback.</w:t>
            </w:r>
          </w:p>
        </w:tc>
      </w:tr>
      <w:tr>
        <w:tc>
          <w:tcPr>
            <w:shd w:val="clear" w:color="auto" w:fill="D3D3D3"/>
          </w:tcPr>
          <w:p>
            <w:pPr>
              <w:rPr>
                <w:lang w:val="nl-BE"/>
              </w:rPr>
            </w:pPr>
            <w:r>
              <w:rPr>
                <w:rStyle w:val="SegmentID"/>
                <w:lang w:val="nl-BE"/>
              </w:rPr>
              <w:t xml:space="preserve">12</w:t>
            </w:r>
            <w:r>
              <w:rPr>
                <w:rStyle w:val="TransUnitID"/>
                <w:lang w:val="nl-BE"/>
              </w:rPr>
              <w:t xml:space="preserve">5ac1e156-8c9b-45e6-a1c6-ac3e2160e73d</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In veel situaties gebeurt waarbij gebruikers bij het opstaan nog even zitten op de zijkant van het bed.</w:t>
            </w:r>
          </w:p>
        </w:tc>
        <w:tc>
          <w:tcPr>
            <w:shd w:val="clear" w:color="auto" w:fill="D3D3D3"/>
          </w:tcPr>
          <w:p>
            <w:pPr>
              <w:rPr>
                <w:lang w:val="en-US"/>
              </w:rPr>
            </w:pPr>
            <w:r>
              <w:rPr>
                <w:lang w:val="en-US"/>
              </w:rPr>
              <w:t xml:space="preserve">In many situations, it happens that users sit on the edge of the bed for a moment when they get up.</w:t>
            </w:r>
          </w:p>
        </w:tc>
      </w:tr>
      <w:tr>
        <w:tc>
          <w:tcPr>
            <w:shd w:val="clear" w:color="auto" w:fill="D3D3D3"/>
          </w:tcPr>
          <w:p>
            <w:pPr>
              <w:rPr>
                <w:lang w:val="nl-BE"/>
              </w:rPr>
            </w:pPr>
            <w:r>
              <w:rPr>
                <w:rStyle w:val="SegmentID"/>
                <w:lang w:val="nl-BE"/>
              </w:rPr>
              <w:t xml:space="preserve">13</w:t>
            </w:r>
            <w:r>
              <w:rPr>
                <w:rStyle w:val="TransUnitID"/>
                <w:lang w:val="nl-BE"/>
              </w:rPr>
              <w:t xml:space="preserve">5ac1e156-8c9b-45e6-a1c6-ac3e2160e73d</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Het is hier niet comfortabel vanwege de hoog uitstekende koppelingen boven het matrasoppervlak.</w:t>
            </w:r>
          </w:p>
        </w:tc>
        <w:tc>
          <w:tcPr>
            <w:shd w:val="clear" w:color="auto" w:fill="D3D3D3"/>
          </w:tcPr>
          <w:p>
            <w:pPr>
              <w:rPr>
                <w:lang w:val="en-US"/>
              </w:rPr>
            </w:pPr>
            <w:r>
              <w:rPr>
                <w:lang w:val="en-US"/>
              </w:rPr>
              <w:t xml:space="preserve">It is not comfortable here due to the high protruding couplings above the mattress surface.</w:t>
            </w:r>
          </w:p>
        </w:tc>
      </w:tr>
      <w:tr>
        <w:tc>
          <w:tcPr>
            <w:shd w:val="clear" w:color="auto" w:fill="D3D3D3"/>
          </w:tcPr>
          <w:p>
            <w:pPr>
              <w:rPr>
                <w:lang w:val="nl-BE"/>
              </w:rPr>
            </w:pPr>
            <w:r>
              <w:rPr>
                <w:rStyle w:val="SegmentID"/>
                <w:lang w:val="nl-BE"/>
              </w:rPr>
              <w:t xml:space="preserve">14</w:t>
            </w:r>
            <w:r>
              <w:rPr>
                <w:rStyle w:val="TransUnitID"/>
                <w:lang w:val="nl-BE"/>
              </w:rPr>
              <w:t xml:space="preserve">622a6d2b-6b7a-4c32-a2e5-6665db64f03a</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De huidige uitvinding beoogt minstens een oplossing te vinden voor enkele van bovenvermelde problemen of nadelen.</w:t>
            </w:r>
          </w:p>
        </w:tc>
        <w:tc>
          <w:tcPr>
            <w:shd w:val="clear" w:color="auto" w:fill="D3D3D3"/>
          </w:tcPr>
          <w:p>
            <w:pPr>
              <w:rPr>
                <w:lang w:val="en-US"/>
              </w:rPr>
            </w:pPr>
            <w:r>
              <w:rPr>
                <w:lang w:val="en-US"/>
              </w:rPr>
              <w:t xml:space="preserve">The present invention aims to solve at least some of the above problems or drawbacks.</w:t>
            </w:r>
          </w:p>
        </w:tc>
      </w:tr>
      <w:tr>
        <w:tc>
          <w:tcPr>
            <w:shd w:val="clear" w:color="auto" w:fill="D3D3D3"/>
          </w:tcPr>
          <w:p>
            <w:pPr>
              <w:rPr>
                <w:lang w:val="nl-BE"/>
              </w:rPr>
            </w:pPr>
            <w:r>
              <w:rPr>
                <w:rStyle w:val="SegmentID"/>
                <w:lang w:val="nl-BE"/>
              </w:rPr>
              <w:t xml:space="preserve">15</w:t>
            </w:r>
            <w:r>
              <w:rPr>
                <w:rStyle w:val="TransUnitID"/>
                <w:lang w:val="nl-BE"/>
              </w:rPr>
              <w:t xml:space="preserve">622a6d2b-6b7a-4c32-a2e5-6665db64f03a</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Doel van de uitvinding is het verschaffen van een werkwijze welke deze nadelen opheft.</w:t>
            </w:r>
          </w:p>
        </w:tc>
        <w:tc>
          <w:tcPr>
            <w:shd w:val="clear" w:color="auto" w:fill="D3D3D3"/>
          </w:tcPr>
          <w:p>
            <w:pPr>
              <w:rPr>
                <w:lang w:val="en-US"/>
              </w:rPr>
            </w:pPr>
            <w:r>
              <w:rPr>
                <w:lang w:val="en-US"/>
              </w:rPr>
              <w:t xml:space="preserve">The aim of the invention is to provide a method which eliminates these disadvantages.</w:t>
            </w:r>
          </w:p>
        </w:tc>
      </w:tr>
      <w:tr>
        <w:tc>
          <w:tcPr>
            <w:shd w:val="clear" w:color="auto" w:fill="D3D3D3"/>
          </w:tcPr>
          <w:p>
            <w:pPr>
              <w:rPr>
                <w:lang w:val="nl-BE"/>
              </w:rPr>
            </w:pPr>
            <w:r>
              <w:rPr>
                <w:rStyle w:val="SegmentID"/>
                <w:lang w:val="nl-BE"/>
              </w:rPr>
              <w:t xml:space="preserve">16</w:t>
            </w:r>
            <w:r>
              <w:rPr>
                <w:rStyle w:val="TransUnitID"/>
                <w:lang w:val="nl-BE"/>
              </w:rPr>
              <w:t xml:space="preserve">362889fe-09b7-40ec-8708-99029ea9b050</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SAMENVATTING VAN DE UITVINDING</w:t>
            </w:r>
          </w:p>
        </w:tc>
        <w:tc>
          <w:tcPr>
            <w:shd w:val="clear" w:color="auto" w:fill="D3D3D3"/>
          </w:tcPr>
          <w:p>
            <w:pPr>
              <w:rPr>
                <w:lang w:val="en-US"/>
              </w:rPr>
            </w:pPr>
            <w:r>
              <w:rPr>
                <w:lang w:val="en-US"/>
              </w:rPr>
              <w:t xml:space="preserve">SUMMARY OF THE INVENTION</w:t>
            </w:r>
          </w:p>
        </w:tc>
      </w:tr>
      <w:tr>
        <w:tc>
          <w:tcPr>
            <w:shd w:val="clear" w:color="auto" w:fill="D3D3D3"/>
          </w:tcPr>
          <w:p>
            <w:pPr>
              <w:rPr>
                <w:lang w:val="nl-BE"/>
              </w:rPr>
            </w:pPr>
            <w:r>
              <w:rPr>
                <w:rStyle w:val="SegmentID"/>
                <w:lang w:val="nl-BE"/>
              </w:rPr>
              <w:t xml:space="preserve">17</w:t>
            </w:r>
            <w:r>
              <w:rPr>
                <w:rStyle w:val="TransUnitID"/>
                <w:lang w:val="nl-BE"/>
              </w:rPr>
              <w:t xml:space="preserve">755be08f-efd9-4ea5-be77-9c1d71f70709</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De uitvinding betreft in een eerste aspect een uitklapbaar geraamte geschikt voor voorziening in een opklapmeubel, zoals een zetelbank of bedank, volgens conclusie 1.</w:t>
            </w:r>
          </w:p>
        </w:tc>
        <w:tc>
          <w:tcPr>
            <w:shd w:val="clear" w:color="auto" w:fill="D3D3D3"/>
          </w:tcPr>
          <w:p>
            <w:pPr>
              <w:rPr>
                <w:lang w:val="en-US"/>
              </w:rPr>
            </w:pPr>
            <w:r>
              <w:rPr>
                <w:lang w:val="en-US"/>
              </w:rPr>
              <w:t xml:space="preserve">The invention relates, in a first aspect, to a folding framework suitable for provision in a piece of folding furniture, such as a sofa or sofa bed, according to claim 1.</w:t>
            </w:r>
          </w:p>
        </w:tc>
      </w:tr>
      <w:tr>
        <w:tc>
          <w:tcPr>
            <w:shd w:val="clear" w:color="auto" w:fill="D3D3D3"/>
          </w:tcPr>
          <w:p>
            <w:pPr>
              <w:rPr>
                <w:lang w:val="nl-BE"/>
              </w:rPr>
            </w:pPr>
            <w:r>
              <w:rPr>
                <w:rStyle w:val="SegmentID"/>
                <w:lang w:val="nl-BE"/>
              </w:rPr>
              <w:t xml:space="preserve">18</w:t>
            </w:r>
            <w:r>
              <w:rPr>
                <w:rStyle w:val="TransUnitID"/>
                <w:lang w:val="nl-BE"/>
              </w:rPr>
              <w:t xml:space="preserve">755be08f-efd9-4ea5-be77-9c1d71f70709</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Het voorgestelde geraamte is zeer voordelig doordat het ingeklapte geraamte zeer compact is (qua hoogte), zodat het opklapmeubel een comfortabele zithoogte heeft, en bovendien ook eenvoudiger gemanipuleerd kan worden.</w:t>
            </w:r>
          </w:p>
        </w:tc>
        <w:tc>
          <w:tcPr>
            <w:shd w:val="clear" w:color="auto" w:fill="D3D3D3"/>
          </w:tcPr>
          <w:p>
            <w:pPr>
              <w:rPr>
                <w:lang w:val="en-US"/>
              </w:rPr>
            </w:pPr>
            <w:r>
              <w:rPr>
                <w:lang w:val="en-US"/>
              </w:rPr>
              <w:t xml:space="preserve">The proposed framework is highly advantageous because the collapsed framework is very compact (in terms of height), ensuring that the piece of folding furniture has a comfortable seat height, and moreover can also be manipulated more easily.</w:t>
            </w:r>
          </w:p>
        </w:tc>
      </w:tr>
      <w:tr>
        <w:tc>
          <w:tcPr>
            <w:shd w:val="clear" w:color="auto" w:fill="D3D3D3"/>
          </w:tcPr>
          <w:p>
            <w:pPr>
              <w:rPr>
                <w:lang w:val="nl-BE"/>
              </w:rPr>
            </w:pPr>
            <w:r>
              <w:rPr>
                <w:rStyle w:val="SegmentID"/>
                <w:lang w:val="nl-BE"/>
              </w:rPr>
              <w:t xml:space="preserve">19</w:t>
            </w:r>
            <w:r>
              <w:rPr>
                <w:rStyle w:val="TransUnitID"/>
                <w:lang w:val="nl-BE"/>
              </w:rPr>
              <w:t xml:space="preserve">755be08f-efd9-4ea5-be77-9c1d71f70709</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Bovendien laat het een zeer eenvoudige, en weinig belastende, procedure toe voor het in- en uitklappen van het geraamte, waarbij mits manipulatie van één onderdeel, de rest van het geraamte automatisch mee uitklapt, zonder dat er verdere acties nodig zijn, zoals normaal wel vaker het geval is (afzonderlijk uitklappen van voeten of extra steunen bijvoorbeeld).</w:t>
            </w:r>
          </w:p>
        </w:tc>
        <w:tc>
          <w:tcPr>
            <w:shd w:val="clear" w:color="auto" w:fill="D3D3D3"/>
          </w:tcPr>
          <w:p>
            <w:pPr>
              <w:rPr>
                <w:lang w:val="en-US"/>
              </w:rPr>
            </w:pPr>
            <w:r>
              <w:rPr>
                <w:lang w:val="en-US"/>
              </w:rPr>
              <w:t xml:space="preserve">Moreover, it allows a very simple and minimally burdensome procedure for folding and unfolding the framework, whereby, with the manipulation of one component, the rest of the framework automatically unfolds, without the need for further actions, as is often the case normally (such as separately unfolding feet or additional supports).</w:t>
            </w:r>
          </w:p>
        </w:tc>
      </w:tr>
      <w:tr>
        <w:tc>
          <w:tcPr>
            <w:shd w:val="clear" w:color="auto" w:fill="D3D3D3"/>
          </w:tcPr>
          <w:p>
            <w:pPr>
              <w:rPr>
                <w:lang w:val="nl-BE"/>
              </w:rPr>
            </w:pPr>
            <w:r>
              <w:rPr>
                <w:rStyle w:val="SegmentID"/>
                <w:lang w:val="nl-BE"/>
              </w:rPr>
              <w:t xml:space="preserve">20</w:t>
            </w:r>
            <w:r>
              <w:rPr>
                <w:rStyle w:val="TransUnitID"/>
                <w:lang w:val="nl-BE"/>
              </w:rPr>
              <w:t xml:space="preserve">cc60fb27-1086-4236-9058-c48714a73b14</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Specifieke voorkeurdragende uitvoeringsvormen worden beschreven in conclusies 2 tot en met 14.</w:t>
            </w:r>
          </w:p>
        </w:tc>
        <w:tc>
          <w:tcPr>
            <w:shd w:val="clear" w:color="auto" w:fill="D3D3D3"/>
          </w:tcPr>
          <w:p>
            <w:pPr>
              <w:rPr>
                <w:lang w:val="en-US"/>
              </w:rPr>
            </w:pPr>
            <w:r>
              <w:rPr>
                <w:lang w:val="en-US"/>
              </w:rPr>
              <w:t xml:space="preserve">Specific preferred embodiments are described in claims 2 to 14.</w:t>
            </w:r>
          </w:p>
        </w:tc>
      </w:tr>
      <w:tr>
        <w:tc>
          <w:tcPr>
            <w:shd w:val="clear" w:color="auto" w:fill="D3D3D3"/>
          </w:tcPr>
          <w:p>
            <w:pPr>
              <w:rPr>
                <w:lang w:val="nl-BE"/>
              </w:rPr>
            </w:pPr>
            <w:r>
              <w:rPr>
                <w:rStyle w:val="SegmentID"/>
                <w:lang w:val="nl-BE"/>
              </w:rPr>
              <w:t xml:space="preserve">21</w:t>
            </w:r>
            <w:r>
              <w:rPr>
                <w:rStyle w:val="TransUnitID"/>
                <w:lang w:val="nl-BE"/>
              </w:rPr>
              <w:t xml:space="preserve">f986370d-64a1-44ca-b356-6d7098527d71</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In een tweede aspect betreft de uitvinding een opklapmeubel omvattende een geraamte volgens het eerste aspect van de uitvinding.</w:t>
            </w:r>
          </w:p>
        </w:tc>
        <w:tc>
          <w:tcPr>
            <w:shd w:val="clear" w:color="auto" w:fill="D3D3D3"/>
          </w:tcPr>
          <w:p>
            <w:pPr>
              <w:rPr>
                <w:lang w:val="en-US"/>
              </w:rPr>
            </w:pPr>
            <w:r>
              <w:rPr>
                <w:lang w:val="en-US"/>
              </w:rPr>
              <w:t xml:space="preserve">In a second aspect, the invention relates to a piece of folding furniture comprising a framework according to the first aspect of the invention.</w:t>
            </w:r>
          </w:p>
        </w:tc>
      </w:tr>
      <w:tr>
        <w:tc>
          <w:tcPr>
            <w:shd w:val="clear" w:color="auto" w:fill="D3D3D3"/>
          </w:tcPr>
          <w:p>
            <w:pPr>
              <w:rPr>
                <w:lang w:val="nl-BE"/>
              </w:rPr>
            </w:pPr>
            <w:r>
              <w:rPr>
                <w:rStyle w:val="SegmentID"/>
                <w:lang w:val="nl-BE"/>
              </w:rPr>
              <w:t xml:space="preserve">22</w:t>
            </w:r>
            <w:r>
              <w:rPr>
                <w:rStyle w:val="TransUnitID"/>
                <w:lang w:val="nl-BE"/>
              </w:rPr>
              <w:t xml:space="preserve">f986370d-64a1-44ca-b356-6d7098527d71</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Bij voorkeur is dit opklapmeubel een zetelbank of bedbank, bij voorkeur een bedbank.</w:t>
            </w:r>
          </w:p>
        </w:tc>
        <w:tc>
          <w:tcPr>
            <w:shd w:val="clear" w:color="auto" w:fill="D3D3D3"/>
          </w:tcPr>
          <w:p>
            <w:pPr>
              <w:rPr>
                <w:lang w:val="en-US"/>
              </w:rPr>
            </w:pPr>
            <w:r>
              <w:rPr>
                <w:lang w:val="en-US"/>
              </w:rPr>
              <w:t xml:space="preserve">Preferably, this piece of folding furniture is a sofa or a sofa bed, preferably a sofa bed.</w:t>
            </w:r>
          </w:p>
        </w:tc>
      </w:tr>
      <w:tr>
        <w:tc>
          <w:tcPr>
            <w:shd w:val="clear" w:color="auto" w:fill="D3D3D3"/>
          </w:tcPr>
          <w:p>
            <w:pPr>
              <w:rPr>
                <w:lang w:val="nl-BE"/>
              </w:rPr>
            </w:pPr>
            <w:r>
              <w:rPr>
                <w:rStyle w:val="SegmentID"/>
                <w:lang w:val="nl-BE"/>
              </w:rPr>
              <w:t xml:space="preserve">23</w:t>
            </w:r>
            <w:r>
              <w:rPr>
                <w:rStyle w:val="TransUnitID"/>
                <w:lang w:val="nl-BE"/>
              </w:rPr>
              <w:t xml:space="preserve">b6d4ea51-ce78-49c1-a384-52210e6811ea</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BESCHRIJVING VAN DE FIGUREN</w:t>
            </w:r>
          </w:p>
        </w:tc>
        <w:tc>
          <w:tcPr>
            <w:shd w:val="clear" w:color="auto" w:fill="D3D3D3"/>
          </w:tcPr>
          <w:p>
            <w:pPr>
              <w:rPr>
                <w:lang w:val="en-US"/>
              </w:rPr>
            </w:pPr>
            <w:r>
              <w:rPr>
                <w:lang w:val="en-US"/>
              </w:rPr>
              <w:t xml:space="preserve">DESCRIPTION OF THE FIGURES</w:t>
            </w:r>
          </w:p>
        </w:tc>
      </w:tr>
      <w:tr>
        <w:tc>
          <w:tcPr>
            <w:shd w:val="clear" w:color="auto" w:fill="D3D3D3"/>
          </w:tcPr>
          <w:p>
            <w:pPr>
              <w:rPr>
                <w:lang w:val="nl-BE"/>
              </w:rPr>
            </w:pPr>
            <w:r>
              <w:rPr>
                <w:rStyle w:val="SegmentID"/>
                <w:lang w:val="nl-BE"/>
              </w:rPr>
              <w:t xml:space="preserve">24</w:t>
            </w:r>
            <w:r>
              <w:rPr>
                <w:rStyle w:val="TransUnitID"/>
                <w:lang w:val="nl-BE"/>
              </w:rPr>
              <w:t xml:space="preserve">8c55c2d7-99f9-4e53-82e2-42c41328cb51</w:t>
            </w:r>
          </w:p>
        </w:tc>
        <w:tc>
          <w:tcPr>
            <w:shd w:val="clear" w:color="auto" w:fill="D3D3D3"/>
          </w:tcPr>
          <w:p>
            <w:pPr>
              <w:rPr>
                <w:lang w:val="nl-BE"/>
              </w:rPr>
            </w:pPr>
            <w:r>
              <w:rPr>
                <w:lang w:val="nl-BE"/>
              </w:rPr>
              <w:t xml:space="preserve">Translated (CM)</w:t>
            </w:r>
          </w:p>
        </w:tc>
        <w:tc>
          <w:tcPr>
            <w:shd w:val="clear" w:color="auto" w:fill="D3D3D3"/>
          </w:tcPr>
          <w:p>
            <w:pPr>
              <w:rPr>
                <w:lang w:val="nl-BE"/>
              </w:rPr>
            </w:pPr>
            <w:r>
              <w:rPr>
                <w:rStyle w:val="Tag"/>
                <w:lang w:val="nl-BE"/>
              </w:rPr>
              <w:t xml:space="preserve">&lt;13&gt;</w:t>
            </w:r>
            <w:r>
              <w:rPr>
                <w:lang w:val="nl-BE"/>
              </w:rPr>
              <w:t xml:space="preserve">Figuur 1</w:t>
            </w:r>
            <w:r>
              <w:rPr>
                <w:rStyle w:val="Tag"/>
                <w:lang w:val="nl-BE"/>
              </w:rPr>
              <w:t xml:space="preserve">&lt;/13&gt;</w:t>
            </w:r>
            <w:r>
              <w:rPr>
                <w:lang w:val="nl-BE"/>
              </w:rPr>
              <w:t xml:space="preserve"> toont een zijdelingse weergave van het uitgeklapte geraamte, in een opklapmeubel, waarbij in de bovenste figuur de onderdelen zijn aangeduid, en in de onderste figuur de punten waarop de onderdelen vast, roteerbaar, pivoteerbaar of scharnierbaar aan elkaar gekoppeld zijn.</w:t>
            </w:r>
          </w:p>
        </w:tc>
        <w:tc>
          <w:tcPr>
            <w:shd w:val="clear" w:color="auto" w:fill="D3D3D3"/>
          </w:tcPr>
          <w:p>
            <w:pPr>
              <w:rPr>
                <w:lang w:val="en-US"/>
              </w:rPr>
            </w:pPr>
            <w:r>
              <w:rPr>
                <w:rStyle w:val="Tag"/>
                <w:lang w:val="en-US"/>
              </w:rPr>
              <w:t xml:space="preserve">&lt;13&gt;</w:t>
            </w:r>
            <w:r>
              <w:rPr>
                <w:lang w:val="en-US"/>
              </w:rPr>
              <w:t xml:space="preserve">Figure 1</w:t>
            </w:r>
            <w:r>
              <w:rPr>
                <w:rStyle w:val="Tag"/>
                <w:lang w:val="en-US"/>
              </w:rPr>
              <w:t xml:space="preserve">&lt;/13&gt;</w:t>
            </w:r>
            <w:r>
              <w:rPr>
                <w:lang w:val="en-US"/>
              </w:rPr>
              <w:t xml:space="preserve"> shows a lateral view of the unfolded framework in a piece of folding furniture, wherein in the upper figure the components are indicated, and in the lower figure the points where the components are fixedly, rotatably, pivotably, or hingeably connected to each other.</w:t>
            </w:r>
          </w:p>
        </w:tc>
      </w:tr>
      <w:tr>
        <w:tc>
          <w:tcPr>
            <w:shd w:val="clear" w:color="auto" w:fill="D3D3D3"/>
          </w:tcPr>
          <w:p>
            <w:pPr>
              <w:rPr>
                <w:lang w:val="nl-BE"/>
              </w:rPr>
            </w:pPr>
            <w:r>
              <w:rPr>
                <w:rStyle w:val="SegmentID"/>
                <w:lang w:val="nl-BE"/>
              </w:rPr>
              <w:t xml:space="preserve">25</w:t>
            </w:r>
            <w:r>
              <w:rPr>
                <w:rStyle w:val="TransUnitID"/>
                <w:lang w:val="nl-BE"/>
              </w:rPr>
              <w:t xml:space="preserve">e6b1ab8f-96c2-4bdb-806f-9d57e6291007</w:t>
            </w:r>
          </w:p>
        </w:tc>
        <w:tc>
          <w:tcPr>
            <w:shd w:val="clear" w:color="auto" w:fill="D3D3D3"/>
          </w:tcPr>
          <w:p>
            <w:pPr>
              <w:rPr>
                <w:lang w:val="nl-BE"/>
              </w:rPr>
            </w:pPr>
            <w:r>
              <w:rPr>
                <w:lang w:val="nl-BE"/>
              </w:rPr>
              <w:t xml:space="preserve">Translated (CM)</w:t>
            </w:r>
          </w:p>
        </w:tc>
        <w:tc>
          <w:tcPr>
            <w:shd w:val="clear" w:color="auto" w:fill="D3D3D3"/>
          </w:tcPr>
          <w:p>
            <w:pPr>
              <w:rPr>
                <w:lang w:val="nl-BE"/>
              </w:rPr>
            </w:pPr>
            <w:r>
              <w:rPr>
                <w:rStyle w:val="Tag"/>
                <w:lang w:val="nl-BE"/>
              </w:rPr>
              <w:t xml:space="preserve">&lt;22&gt;</w:t>
            </w:r>
            <w:r>
              <w:rPr>
                <w:lang w:val="nl-BE"/>
              </w:rPr>
              <w:t xml:space="preserve">Figuren 2, 3, 4, 5 en 6</w:t>
            </w:r>
            <w:r>
              <w:rPr>
                <w:rStyle w:val="Tag"/>
                <w:lang w:val="nl-BE"/>
              </w:rPr>
              <w:t xml:space="preserve">&lt;/22&gt;</w:t>
            </w:r>
            <w:r>
              <w:rPr>
                <w:lang w:val="nl-BE"/>
              </w:rPr>
              <w:t xml:space="preserve"> tonen opeenvolgende zijdelingse weergaven van het geraamte terwijl het uitgeklapt wordt.</w:t>
            </w:r>
          </w:p>
        </w:tc>
        <w:tc>
          <w:tcPr>
            <w:shd w:val="clear" w:color="auto" w:fill="D3D3D3"/>
          </w:tcPr>
          <w:p>
            <w:pPr>
              <w:rPr>
                <w:lang w:val="en-US"/>
              </w:rPr>
            </w:pPr>
            <w:r>
              <w:rPr>
                <w:rStyle w:val="Tag"/>
                <w:lang w:val="en-US"/>
              </w:rPr>
              <w:t xml:space="preserve">&lt;22&gt;</w:t>
            </w:r>
            <w:r>
              <w:rPr>
                <w:lang w:val="en-US"/>
              </w:rPr>
              <w:t xml:space="preserve">Figures 2, 3, 4, 5, and 6</w:t>
            </w:r>
            <w:r>
              <w:rPr>
                <w:rStyle w:val="Tag"/>
                <w:lang w:val="en-US"/>
              </w:rPr>
              <w:t xml:space="preserve">&lt;/22&gt;</w:t>
            </w:r>
            <w:r>
              <w:rPr>
                <w:lang w:val="en-US"/>
              </w:rPr>
              <w:t xml:space="preserve"> show successive lateral views of the framework as it is unfolded.</w:t>
            </w:r>
          </w:p>
        </w:tc>
      </w:tr>
    </w:tbl>
    <w:sectPr>
      <w:pgSz w:w="15840" w:h="12240" w:orient="landscape"/>
      <w:pgMar w:top="720" w:right="720" w:bottom="720" w:left="720" w:header="720" w:footer="720" w:gutter="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heading 5" w:uiPriority="9" w:qFormat="true"/>
    <w:lsdException w:name="heading 6" w:uiPriority="9" w:qFormat="true"/>
    <w:lsdException w:name="heading 7" w:uiPriority="9" w:qFormat="true"/>
    <w:lsdException w:name="heading 8" w:uiPriority="9" w:qFormat="true"/>
    <w:lsdException w:name="heading 9" w:uiPriority="9" w:qFormat="true"/>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true"/>
    <w:lsdException w:name="Title" w:uiPriority="10" w:semiHidden="false" w:unhideWhenUsed="false" w:qFormat="true"/>
    <w:lsdException w:name="Default Paragraph Font" w:uiPriority="1"/>
    <w:lsdException w:name="Subtitle" w:uiPriority="11" w:semiHidden="false" w:unhideWhenUsed="false" w:qFormat="true"/>
    <w:lsdException w:name="Strong" w:uiPriority="22" w:semiHidden="false" w:unhideWhenUsed="false" w:qFormat="true"/>
    <w:lsdException w:name="Emphasis" w:uiPriority="20" w:semiHidden="false" w:unhideWhenUsed="false" w:qFormat="true"/>
    <w:lsdException w:name="Table Grid" w:uiPriority="59" w:semiHidden="false" w:unhideWhenUsed="false"/>
    <w:lsdException w:name="Placeholder Text" w:unhideWhenUsed="false"/>
    <w:lsdException w:name="No Spacing" w:uiPriority="1" w:semiHidden="false" w:unhideWhenUsed="false" w:qFormat="true"/>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Revision" w:unhideWhenUsed="false"/>
    <w:lsdException w:name="List Paragraph" w:uiPriority="34" w:semiHidden="false" w:unhideWhenUsed="false" w:qFormat="true"/>
    <w:lsdException w:name="Quote" w:uiPriority="29" w:semiHidden="false" w:unhideWhenUsed="false" w:qFormat="true"/>
    <w:lsdException w:name="Intense Quote" w:uiPriority="30"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sdException w:name="Subtle Emphasis" w:uiPriority="19" w:semiHidden="false" w:unhideWhenUsed="false" w:qFormat="true"/>
    <w:lsdException w:name="Intense Emphasis" w:uiPriority="21" w:semiHidden="false" w:unhideWhenUsed="false" w:qFormat="true"/>
    <w:lsdException w:name="Subtle Reference" w:uiPriority="31" w:semiHidden="false" w:unhideWhenUsed="false" w:qFormat="true"/>
    <w:lsdException w:name="Intense Reference" w:uiPriority="32" w:semiHidden="false" w:unhideWhenUsed="false" w:qFormat="true"/>
    <w:lsdException w:name="Book Title" w:uiPriority="33" w:semiHidden="false" w:unhideWhenUsed="false" w:qFormat="true"/>
    <w:lsdException w:name="Bibliography" w:uiPriority="37"/>
    <w:lsdException w:name="TOC Heading" w:uiPriority="39" w:qFormat="true"/>
  </w:latentStyles>
  <w:style w:type="paragraph" w:styleId="Normal" w:default="true">
    <w:name w:val="Normal"/>
    <w:qFormat/>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table" w:styleId="TableGrid">
    <w:name w:val="Table Grid"/>
    <w:basedOn w:val="TableNormal"/>
    <w:uiPriority w:val="59"/>
    <w:rsid w:val="00B439FD"/>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Tag" w:customStyle="true">
    <w:name w:val="Tag"/>
    <w:basedOn w:val="DefaultParagraphFont"/>
    <w:uiPriority w:val="1"/>
    <w:qFormat/>
    <w:rPr>
      <w:i/>
      <w:color w:val="FF0066"/>
    </w:rPr>
  </w:style>
  <w:style w:type="character" w:styleId="LockedContent" w:customStyle="true">
    <w:name w:val="LockedContent"/>
    <w:basedOn w:val="DefaultParagraphFont"/>
    <w:uiPriority w:val="1"/>
    <w:qFormat/>
    <w:rPr>
      <w:i/>
      <w:color w:val="808080" w:themeColor="background1" w:themeShade="80"/>
    </w:rPr>
  </w:style>
  <w:style w:type="character" w:styleId="TransUnitID" w:customStyle="true">
    <w:name w:val="TransUnitID"/>
    <w:basedOn w:val="DefaultParagraphFont"/>
    <w:uiPriority w:val="1"/>
    <w:qFormat/>
    <w:rPr>
      <w:vanish/>
      <w:color w:val="auto"/>
      <w:sz w:val="2"/>
    </w:rPr>
  </w:style>
  <w:style w:type="character" w:styleId="SegmentID" w:customStyle="true">
    <w:name w:val="SegmentID"/>
    <w:basedOn w:val="DefaultParagraphFont"/>
    <w:uiPriority w:val="1"/>
    <w:qFormat/>
    <w:rPr>
      <w:color w:val="auto"/>
    </w:rPr>
  </w:style>
</w:styles>
</file>

<file path=word/_rels/document.xml.rels>&#65279;<?xml version="1.0" encoding="utf-8"?><Relationships xmlns="http://schemas.openxmlformats.org/package/2006/relationships"><Relationship Type="http://schemas.openxmlformats.org/officeDocument/2006/relationships/styles" Target="/word/styles.xml" Id="R02f78f45b3a64529" /><Relationship Type="http://schemas.openxmlformats.org/officeDocument/2006/relationships/customXml" Target="/customXML/item.xml" Id="Rf860550d506548bb" /><Relationship Type="http://schemas.openxmlformats.org/officeDocument/2006/relationships/comments" Target="/word/comments.xml" Id="rId6" /><Relationship Type="http://schemas.openxmlformats.org/officeDocument/2006/relationships/settings" Target="/word/settings.xml" Id="rId3" /></Relationships>
</file>

<file path=customXML/_rels/item.xml.rels>&#65279;<?xml version="1.0" encoding="utf-8"?><Relationships xmlns="http://schemas.openxmlformats.org/package/2006/relationships"><Relationship Type="http://schemas.openxmlformats.org/officeDocument/2006/relationships/customXmlProps" Target="/customXML/itemProps1.xml" Id="Rd3c4172d526e4b2384ade4b889302c76" /></Relationships>
</file>

<file path=customXML/item.xml><?xml version="1.0" encoding="utf-8"?>
<list>
  <segment id="bf904784-eef6-4de3-9c30-4d82f7e35eaa_1" sourcehash="1697678535" targethash="-992134304"/>
  <segment id="237af40a-8bd1-48f3-a9c1-4e34850d6fa2_2" sourcehash="268933428" targethash="1544646487"/>
  <segment id="26ecfdf1-7ca6-4a56-b44d-f748a4dd2b0a_3" sourcehash="-1933908225" targethash="1561174588"/>
  <segment id="dc0883d7-9163-40f9-92e4-1735781a9470_4" sourcehash="-931866539" targethash="891167654"/>
  <segment id="2b8c4c57-f63b-4e20-b286-3ed1069fb955_5" sourcehash="1024768230" targethash="-307036739"/>
  <segment id="ee0d37fe-71c2-44d8-9ba1-8f8da4e9b723_6" sourcehash="1340249051" targethash="1981956897"/>
  <segment id="ee0d37fe-71c2-44d8-9ba1-8f8da4e9b723_7" sourcehash="1181716463" targethash="1927825446"/>
  <segment id="3b2ab31a-0c4a-46ff-88a8-1b7cd3d47706_8" sourcehash="1453933485" targethash="-387375586"/>
  <segment id="3b2ab31a-0c4a-46ff-88a8-1b7cd3d47706_9" sourcehash="1836005331" targethash="1300570134"/>
  <segment id="3b2ab31a-0c4a-46ff-88a8-1b7cd3d47706_10" sourcehash="-1312261683" targethash="1821225531"/>
  <segment id="5ac1e156-8c9b-45e6-a1c6-ac3e2160e73d_11" sourcehash="1087063200" targethash="-2031695396"/>
  <segment id="5ac1e156-8c9b-45e6-a1c6-ac3e2160e73d_12" sourcehash="-1337584837" targethash="1796449697"/>
  <segment id="5ac1e156-8c9b-45e6-a1c6-ac3e2160e73d_13" sourcehash="377982331" targethash="1422043437"/>
  <segment id="622a6d2b-6b7a-4c32-a2e5-6665db64f03a_14" sourcehash="-1924707740" targethash="1015713482"/>
  <segment id="622a6d2b-6b7a-4c32-a2e5-6665db64f03a_15" sourcehash="-502944428" targethash="2000992591"/>
  <segment id="362889fe-09b7-40ec-8708-99029ea9b050_16" sourcehash="-1556874368" targethash="-1681911313"/>
  <segment id="755be08f-efd9-4ea5-be77-9c1d71f70709_17" sourcehash="1092444428" targethash="-992152035"/>
  <segment id="755be08f-efd9-4ea5-be77-9c1d71f70709_18" sourcehash="437633103" targethash="-1978580488"/>
  <segment id="755be08f-efd9-4ea5-be77-9c1d71f70709_19" sourcehash="-1835343348" targethash="-1624304163"/>
  <segment id="cc60fb27-1086-4236-9058-c48714a73b14_20" sourcehash="-706727358" targethash="-1020287743"/>
  <segment id="f986370d-64a1-44ca-b356-6d7098527d71_21" sourcehash="1856521493" targethash="1586261124"/>
  <segment id="f986370d-64a1-44ca-b356-6d7098527d71_22" sourcehash="102945717" targethash="-1353196037"/>
  <segment id="b6d4ea51-ce78-49c1-a384-52210e6811ea_23" sourcehash="-1884864123" targethash="1627962138"/>
  <segment id="8c55c2d7-99f9-4e53-82e2-42c41328cb51_24" sourcehash="-1515116595" targethash="-329677155"/>
  <segment id="e6b1ab8f-96c2-4bdb-806f-9d57e6291007_25" sourcehash="-1668708416" targethash="-1093886401"/>
</list>
</file>

<file path=customXML/itemProps1.xml><?xml version="1.0" encoding="utf-8"?>
<ds:datastoreItem xmlns:ds="http://schemas.openxmlformats.org/officeDocument/2006/customXml" ds:itemID="{88E81A45-98C0-4D79-952A-E8203CE59AAC}"/>
</file>