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package/services/metadata/core-properties/90c609f082864e86a803fb7825b4f8b9.psmdcp"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95d8f68bc8f84fe3" Type="http://schemas.openxmlformats.org/officeDocument/2006/relationships/officeDocument" Target="word/document.xml"/><Relationship Id="Re1adb8dbea5b47be" Type="http://schemas.openxmlformats.org/package/2006/relationships/metadata/core-properties" Target="package/services/metadata/core-properties/90c609f082864e86a803fb7825b4f8b9.psmdc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98FB98"/>
          </w:tcPr>
          <w:p>
            <w:pPr>
              <w:rPr>
                <w:lang w:val="nl-BE"/>
              </w:rPr>
            </w:pPr>
            <w:r>
              <w:rPr>
                <w:rStyle w:val="SegmentID"/>
                <w:lang w:val="nl-BE"/>
              </w:rPr>
              <w:t xml:space="preserve">1</w:t>
            </w:r>
            <w:r>
              <w:rPr>
                <w:rStyle w:val="TransUnitID"/>
                <w:lang w:val="nl-BE"/>
              </w:rPr>
              <w:t xml:space="preserve">71a00032-da93-4bc2-ac51-65ef1f6ae67d</w:t>
            </w:r>
          </w:p>
        </w:tc>
        <w:tc>
          <w:tcPr>
            <w:shd w:val="clear" w:color="auto" w:fill="#98FB98"/>
          </w:tcPr>
          <w:p>
            <w:r>
              <w:t>Translated (100%)</w:t>
            </w:r>
          </w:p>
        </w:tc>
        <w:tc>
          <w:tcPr>
            <w:shd w:val="clear" w:color="auto" w:fill="#98FB98"/>
          </w:tcPr>
          <w:p>
            <w:pPr>
              <w:rPr>
                <w:lang w:val="nl-BE"/>
              </w:rPr>
            </w:pPr>
            <w:r>
              <w:rPr>
                <w:lang w:val="nl-BE"/>
              </w:rPr>
              <w:t xml:space="preserve">Uitklapbaar geraamte voor opklapmeubel</w:t>
            </w:r>
          </w:p>
        </w:tc>
        <w:tc>
          <w:tcPr>
            <w:shd w:val="clear" w:color="auto" w:fill="#98FB98"/>
          </w:tcPr>
          <w:p>
            <w:r/>
            <w:r>
              <w:t>Folding framework for folding furniture</w:t>
            </w:r>
          </w:p>
        </w:tc>
      </w:tr>
      <w:tr>
        <w:tc>
          <w:tcPr>
            <w:shd w:val="clear" w:color="auto" w:fill="F5DEB3"/>
          </w:tcPr>
          <w:p>
            <w:pPr>
              <w:rPr>
                <w:lang w:val="nl-BE"/>
              </w:rPr>
            </w:pPr>
            <w:r>
              <w:rPr>
                <w:rStyle w:val="SegmentID"/>
                <w:lang w:val="nl-BE"/>
              </w:rPr>
              <w:t xml:space="preserve">2</w:t>
            </w:r>
            <w:r>
              <w:rPr>
                <w:rStyle w:val="TransUnitID"/>
                <w:lang w:val="nl-BE"/>
              </w:rPr>
              <w:t xml:space="preserve">b1dce6c6-08db-4d60-ab86-53f45ce8aca0</w:t>
            </w:r>
          </w:p>
        </w:tc>
        <w:tc>
          <w:tcPr>
            <w:shd w:val="clear" w:color="auto" w:fill="F5DEB3"/>
          </w:tcPr>
          <w:p>
            <w:pPr>
              <w:rPr>
                <w:lang w:val="nl-BE"/>
              </w:rPr>
            </w:pPr>
            <w:r>
              <w:rPr>
                <w:lang w:val="nl-BE"/>
              </w:rPr>
              <w:t xml:space="preserve">Translated (99%)</w:t>
            </w:r>
          </w:p>
        </w:tc>
        <w:tc>
          <w:tcPr>
            <w:shd w:val="clear" w:color="auto" w:fill="F5DEB3"/>
          </w:tcPr>
          <w:p>
            <w:pPr>
              <w:rPr>
                <w:lang w:val="nl-BE"/>
              </w:rPr>
            </w:pPr>
            <w:r>
              <w:rPr>
                <w:lang w:val="nl-BE"/>
              </w:rPr>
              <w:t xml:space="preserve">TECHNISCH DOMEIN</w:t>
            </w:r>
          </w:p>
        </w:tc>
        <w:tc>
          <w:tcPr>
            <w:shd w:val="clear" w:color="auto" w:fill="F5DEB3"/>
          </w:tcPr>
          <w:p>
            <w:pPr>
              <w:rPr>
                <w:lang w:val="en-US"/>
              </w:rPr>
            </w:pPr>
            <w:r>
              <w:rPr>
                <w:lang w:val="en-US"/>
              </w:rPr>
              <w:t xml:space="preserve">TECHNICAL FIELD</w:t>
            </w:r>
          </w:p>
        </w:tc>
      </w:tr>
      <w:tr>
        <w:tc>
          <w:tcPr>
            <w:shd w:val="clear" w:color="auto" w:fill="#98FB98"/>
          </w:tcPr>
          <w:p>
            <w:pPr>
              <w:rPr>
                <w:lang w:val="nl-BE"/>
              </w:rPr>
            </w:pPr>
            <w:r>
              <w:rPr>
                <w:rStyle w:val="SegmentID"/>
                <w:lang w:val="nl-BE"/>
              </w:rPr>
              <w:t xml:space="preserve">3</w:t>
            </w:r>
            <w:r>
              <w:rPr>
                <w:rStyle w:val="TransUnitID"/>
                <w:lang w:val="nl-BE"/>
              </w:rPr>
              <w:t xml:space="preserve">94c15265-7b84-4f99-a23c-4b3bb973bdf0</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98FB98"/>
          </w:tcPr>
          <w:p>
            <w:pPr>
              <w:rPr>
                <w:lang w:val="en-US"/>
              </w:rPr>
            </w:pPr>
            <w:r>
              <w:rPr>
                <w:lang w:val="en-US"/>
              </w:rPr>
              <w:t xml:space="preserve">The invention relates to a folding framework for an item of folding furniture such as a sofa bed, as well as an item of folding furniture comprising this framework.</w:t>
            </w:r>
          </w:p>
        </w:tc>
      </w:tr>
      <w:tr>
        <w:tc>
          <w:tcPr>
            <w:shd w:val="clear" w:color="auto" w:fill="D3D3D3"/>
          </w:tcPr>
          <w:p>
            <w:pPr>
              <w:rPr>
                <w:lang w:val="nl-BE"/>
              </w:rPr>
            </w:pPr>
            <w:r>
              <w:rPr>
                <w:rStyle w:val="SegmentID"/>
                <w:lang w:val="nl-BE"/>
              </w:rPr>
              <w:t xml:space="preserve">4</w:t>
            </w:r>
            <w:r>
              <w:rPr>
                <w:rStyle w:val="TransUnitID"/>
                <w:lang w:val="nl-BE"/>
              </w:rPr>
              <w:t xml:space="preserve">63a6f5d6-81f6-4863-9b1a-86f6fd70feaa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STAND DER TECHNIEK</w:t>
            </w:r>
          </w:p>
        </w:tc>
        <w:tc>
          <w:tcPr>
            <w:shd w:val="clear" w:color="auto" w:fill="D3D3D3"/>
          </w:tcPr>
          <w:p>
            <w:pPr>
              <w:rPr>
                <w:lang w:val="en-US"/>
              </w:rPr>
            </w:pPr>
            <w:r>
              <w:rPr>
                <w:lang w:val="en-US"/>
              </w:rPr>
              <w:t xml:space="preserve">PRIOR ART</w:t>
            </w:r>
          </w:p>
        </w:tc>
      </w:tr>
      <w:tr>
        <w:tc>
          <w:tcPr>
            <w:shd w:val="clear" w:color="auto" w:fill="D3D3D3"/>
          </w:tcPr>
          <w:p>
            <w:pPr>
              <w:rPr>
                <w:lang w:val="nl-BE"/>
              </w:rPr>
            </w:pPr>
            <w:r>
              <w:rPr>
                <w:rStyle w:val="SegmentID"/>
                <w:lang w:val="nl-BE"/>
              </w:rPr>
              <w:t xml:space="preserve">5</w:t>
            </w:r>
            <w:r>
              <w:rPr>
                <w:rStyle w:val="TransUnitID"/>
                <w:lang w:val="nl-BE"/>
              </w:rPr>
              <w:t xml:space="preserve">6c3d59c6-0faf-4340-90e3-906ffcac296c</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Dergelijke uitvouwbare geraamtes voor een opklapmeubel, in bijzonder een bedbank, zijn vaak gebruikt in de stand der techniek.</w:t>
            </w:r>
          </w:p>
        </w:tc>
        <w:tc>
          <w:tcPr>
            <w:shd w:val="clear" w:color="auto" w:fill="D3D3D3"/>
          </w:tcPr>
          <w:p>
            <w:pPr>
              <w:rPr>
                <w:lang w:val="en-US"/>
              </w:rPr>
            </w:pPr>
            <w:r>
              <w:rPr>
                <w:lang w:val="en-US"/>
              </w:rPr>
              <w:t xml:space="preserve">Such folding frameworks for a piece of folding furniture, particularly a sofa bed, are often used in the prior art.</w:t>
            </w:r>
          </w:p>
        </w:tc>
      </w:tr>
      <w:tr>
        <w:tc>
          <w:tcPr>
            <w:shd w:val="clear" w:color="auto" w:fill="D3D3D3"/>
          </w:tcPr>
          <w:p>
            <w:pPr>
              <w:rPr>
                <w:lang w:val="nl-BE"/>
              </w:rPr>
            </w:pPr>
            <w:r>
              <w:rPr>
                <w:rStyle w:val="SegmentID"/>
                <w:lang w:val="nl-BE"/>
              </w:rPr>
              <w:t xml:space="preserve">6</w:t>
            </w:r>
            <w:r>
              <w:rPr>
                <w:rStyle w:val="TransUnitID"/>
                <w:lang w:val="nl-BE"/>
              </w:rPr>
              <w:t xml:space="preserve">a0646287-0a26-40d3-800f-55593f6436fe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 is een dergelijk uitvouwbaar geraamte gekend uit WO 2004 086 913 (WO ‘913).</w:t>
            </w:r>
          </w:p>
        </w:tc>
        <w:tc>
          <w:tcPr>
            <w:shd w:val="clear" w:color="auto" w:fill="D3D3D3"/>
          </w:tcPr>
          <w:p>
            <w:pPr>
              <w:rPr>
                <w:lang w:val="en-US"/>
              </w:rPr>
            </w:pPr>
            <w:r>
              <w:rPr>
                <w:lang w:val="en-US"/>
              </w:rPr>
              <w:t xml:space="preserve">Thus, such a folding framework is known from WO 2004 086 913 (WO ‘913).</w:t>
            </w:r>
          </w:p>
        </w:tc>
      </w:tr>
      <w:tr>
        <w:tc>
          <w:tcPr>
            <w:shd w:val="clear" w:color="auto" w:fill="D3D3D3"/>
          </w:tcPr>
          <w:p>
            <w:pPr>
              <w:rPr>
                <w:lang w:val="nl-BE"/>
              </w:rPr>
            </w:pPr>
            <w:r>
              <w:rPr>
                <w:rStyle w:val="SegmentID"/>
                <w:lang w:val="nl-BE"/>
              </w:rPr>
              <w:t xml:space="preserve">7</w:t>
            </w:r>
            <w:r>
              <w:rPr>
                <w:rStyle w:val="TransUnitID"/>
                <w:lang w:val="nl-BE"/>
              </w:rPr>
              <w:t xml:space="preserve">a0646287-0a26-40d3-800f-55593f6436fe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geraamte volgens WO ‘913 omvat twee rototranslationele koppelingen, dewelke met een eerste uiteinde verbonden zijn met een lichaamsteunkoppeling en met een tweede uiteinde verbonden zijn met twee verschillende basisliggers.</w:t>
            </w:r>
          </w:p>
        </w:tc>
        <w:tc>
          <w:tcPr>
            <w:shd w:val="clear" w:color="auto" w:fill="D3D3D3"/>
          </w:tcPr>
          <w:p>
            <w:pPr>
              <w:rPr>
                <w:lang w:val="en-US"/>
              </w:rPr>
            </w:pPr>
            <w:r>
              <w:rPr>
                <w:lang w:val="en-US"/>
              </w:rPr>
              <w:t xml:space="preserve">The framework according to WO ‘913 comprises two roto-translational couplings, which are connected at a first end to a body support coupling and at a second end are connected to two different base beams.</w:t>
            </w:r>
          </w:p>
        </w:tc>
      </w:tr>
      <w:tr>
        <w:tc>
          <w:tcPr>
            <w:shd w:val="clear" w:color="auto" w:fill="#98FB98"/>
          </w:tcPr>
          <w:p>
            <w:pPr>
              <w:rPr>
                <w:lang w:val="nl-BE"/>
              </w:rPr>
            </w:pPr>
            <w:r>
              <w:rPr>
                <w:rStyle w:val="SegmentID"/>
                <w:lang w:val="nl-BE"/>
              </w:rPr>
              <w:t xml:space="preserve">8</w:t>
            </w:r>
            <w:r>
              <w:rPr>
                <w:rStyle w:val="TransUnitID"/>
                <w:lang w:val="nl-BE"/>
              </w:rPr>
              <w:t xml:space="preserve">87cc101d-8190-4b17-8a5f-467d676a2aec</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geraamte volgens WO ‘913 is nadelig gezien de twee uiteinden van de rototranslationele koppelingen verticaal gespatieerd zijn verbonden op de twee genoemde basisliggers.</w:t>
            </w:r>
          </w:p>
        </w:tc>
        <w:tc>
          <w:tcPr>
            <w:shd w:val="clear" w:color="auto" w:fill="#98FB98"/>
          </w:tcPr>
          <w:p>
            <w:pPr>
              <w:rPr>
                <w:lang w:val="en-US"/>
              </w:rPr>
            </w:pPr>
            <w:r>
              <w:rPr>
                <w:lang w:val="en-US"/>
              </w:rPr>
              <w:t xml:space="preserve">The framework according to WO ‘913 is disadvantageous since the two ends of the roto-translational couplings are connected vertically spaced to the two said base beams.</w:t>
            </w:r>
          </w:p>
        </w:tc>
      </w:tr>
      <w:tr>
        <w:tc>
          <w:tcPr>
            <w:shd w:val="clear" w:color="auto" w:fill="#98FB98"/>
          </w:tcPr>
          <w:p>
            <w:pPr>
              <w:rPr>
                <w:lang w:val="nl-BE"/>
              </w:rPr>
            </w:pPr>
            <w:r>
              <w:rPr>
                <w:rStyle w:val="SegmentID"/>
                <w:lang w:val="nl-BE"/>
              </w:rPr>
              <w:t xml:space="preserve">9</w:t>
            </w:r>
            <w:r>
              <w:rPr>
                <w:rStyle w:val="TransUnitID"/>
                <w:lang w:val="nl-BE"/>
              </w:rPr>
              <w:t xml:space="preserve">87cc101d-8190-4b17-8a5f-467d676a2aec</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Dergelijke verticale spatiëring vereist een geraamte dat een substantiële hoeveelheid (verticale) ruimte nodig heeft voor het op- en ontvouwen.</w:t>
            </w:r>
          </w:p>
        </w:tc>
        <w:tc>
          <w:tcPr>
            <w:shd w:val="clear" w:color="auto" w:fill="#98FB98"/>
          </w:tcPr>
          <w:p>
            <w:pPr>
              <w:rPr>
                <w:lang w:val="en-US"/>
              </w:rPr>
            </w:pPr>
            <w:r>
              <w:rPr>
                <w:lang w:val="en-US"/>
              </w:rPr>
              <w:t xml:space="preserve">Such vertical spacing requires a framework that requires a substantial amount of (vertical) space for folding and unfolding.</w:t>
            </w:r>
          </w:p>
        </w:tc>
      </w:tr>
      <w:tr>
        <w:tc>
          <w:tcPr>
            <w:shd w:val="clear" w:color="auto" w:fill="#98FB98"/>
          </w:tcPr>
          <w:p>
            <w:pPr>
              <w:rPr>
                <w:lang w:val="nl-BE"/>
              </w:rPr>
            </w:pPr>
            <w:r>
              <w:rPr>
                <w:rStyle w:val="SegmentID"/>
                <w:lang w:val="nl-BE"/>
              </w:rPr>
              <w:t xml:space="preserve">10</w:t>
            </w:r>
            <w:r>
              <w:rPr>
                <w:rStyle w:val="TransUnitID"/>
                <w:lang w:val="nl-BE"/>
              </w:rPr>
              <w:t xml:space="preserve">87cc101d-8190-4b17-8a5f-467d676a2aec</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Daarenboven, merken de uitvinders op dat de vorm en plaatsing van de rototranslationele koppelingen geen soepele ontvouwing toelaat van het geraamte.</w:t>
            </w:r>
          </w:p>
        </w:tc>
        <w:tc>
          <w:tcPr>
            <w:shd w:val="clear" w:color="auto" w:fill="#98FB98"/>
          </w:tcPr>
          <w:p>
            <w:pPr>
              <w:rPr>
                <w:lang w:val="en-US"/>
              </w:rPr>
            </w:pPr>
            <w:r>
              <w:rPr>
                <w:lang w:val="en-US"/>
              </w:rPr>
              <w:t xml:space="preserve">In addition, the inventors note that the shape and placement of the roto-translational couplings does not allow a smooth unfolding of the framework.</w:t>
            </w:r>
          </w:p>
        </w:tc>
      </w:tr>
      <w:tr>
        <w:tc>
          <w:tcPr>
            <w:shd w:val="clear" w:color="auto" w:fill="D3D3D3"/>
          </w:tcPr>
          <w:p>
            <w:pPr>
              <w:rPr>
                <w:lang w:val="nl-BE"/>
              </w:rPr>
            </w:pPr>
            <w:r>
              <w:rPr>
                <w:rStyle w:val="SegmentID"/>
                <w:lang w:val="nl-BE"/>
              </w:rPr>
              <w:t xml:space="preserve">11</w:t>
            </w:r>
            <w:r>
              <w:rPr>
                <w:rStyle w:val="TransUnitID"/>
                <w:lang w:val="nl-BE"/>
              </w:rPr>
              <w:t xml:space="preserve">a34b0f74-2f1d-4d1b-83ee-2a923f99ec55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Hiernaast heeft het geraamte uit WO ‘913 een bijkomend nadeel.</w:t>
            </w:r>
          </w:p>
        </w:tc>
        <w:tc>
          <w:tcPr>
            <w:shd w:val="clear" w:color="auto" w:fill="D3D3D3"/>
          </w:tcPr>
          <w:p>
            <w:pPr>
              <w:rPr>
                <w:lang w:val="en-US"/>
              </w:rPr>
            </w:pPr>
            <w:r>
              <w:rPr>
                <w:lang w:val="en-US"/>
              </w:rPr>
              <w:t xml:space="preserve">In addition, the framework from WO ‘913 has an additional drawback.</w:t>
            </w:r>
          </w:p>
        </w:tc>
      </w:tr>
      <w:tr>
        <w:tc>
          <w:tcPr>
            <w:shd w:val="clear" w:color="auto" w:fill="D3D3D3"/>
          </w:tcPr>
          <w:p>
            <w:pPr>
              <w:rPr>
                <w:lang w:val="nl-BE"/>
              </w:rPr>
            </w:pPr>
            <w:r>
              <w:rPr>
                <w:rStyle w:val="SegmentID"/>
                <w:lang w:val="nl-BE"/>
              </w:rPr>
              <w:t xml:space="preserve">12</w:t>
            </w:r>
            <w:r>
              <w:rPr>
                <w:rStyle w:val="TransUnitID"/>
                <w:lang w:val="nl-BE"/>
              </w:rPr>
              <w:t xml:space="preserve">a34b0f74-2f1d-4d1b-83ee-2a923f99ec55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veel situaties gebeurt waarbij gebruikers bij het opstaan nog even zitten op de zijkant van het bed.</w:t>
            </w:r>
          </w:p>
        </w:tc>
        <w:tc>
          <w:tcPr>
            <w:shd w:val="clear" w:color="auto" w:fill="D3D3D3"/>
          </w:tcPr>
          <w:p>
            <w:pPr>
              <w:rPr>
                <w:lang w:val="en-US"/>
              </w:rPr>
            </w:pPr>
            <w:r>
              <w:rPr>
                <w:lang w:val="en-US"/>
              </w:rPr>
              <w:t xml:space="preserve">In many situations, it happens that users sit on the edge of the bed for a moment when they get up.</w:t>
            </w:r>
          </w:p>
        </w:tc>
      </w:tr>
      <w:tr>
        <w:tc>
          <w:tcPr>
            <w:shd w:val="clear" w:color="auto" w:fill="D3D3D3"/>
          </w:tcPr>
          <w:p>
            <w:pPr>
              <w:rPr>
                <w:lang w:val="nl-BE"/>
              </w:rPr>
            </w:pPr>
            <w:r>
              <w:rPr>
                <w:rStyle w:val="SegmentID"/>
                <w:lang w:val="nl-BE"/>
              </w:rPr>
              <w:t xml:space="preserve">13</w:t>
            </w:r>
            <w:r>
              <w:rPr>
                <w:rStyle w:val="TransUnitID"/>
                <w:lang w:val="nl-BE"/>
              </w:rPr>
              <w:t xml:space="preserve">a34b0f74-2f1d-4d1b-83ee-2a923f99ec55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is hier niet comfortabel vanwege de hoog uitstekende koppelingen boven het matrasoppervlak.</w:t>
            </w:r>
          </w:p>
        </w:tc>
        <w:tc>
          <w:tcPr>
            <w:shd w:val="clear" w:color="auto" w:fill="D3D3D3"/>
          </w:tcPr>
          <w:p>
            <w:pPr>
              <w:rPr>
                <w:lang w:val="en-US"/>
              </w:rPr>
            </w:pPr>
            <w:r>
              <w:rPr>
                <w:lang w:val="en-US"/>
              </w:rPr>
              <w:t xml:space="preserve">It is not comfortable here due to the high protruding couplings above the mattress surface.</w:t>
            </w:r>
          </w:p>
        </w:tc>
      </w:tr>
      <w:tr>
        <w:tc>
          <w:tcPr>
            <w:shd w:val="clear" w:color="auto" w:fill="D3D3D3"/>
          </w:tcPr>
          <w:p>
            <w:pPr>
              <w:rPr>
                <w:lang w:val="nl-BE"/>
              </w:rPr>
            </w:pPr>
            <w:r>
              <w:rPr>
                <w:rStyle w:val="SegmentID"/>
                <w:lang w:val="nl-BE"/>
              </w:rPr>
              <w:t xml:space="preserve">14</w:t>
            </w:r>
            <w:r>
              <w:rPr>
                <w:rStyle w:val="TransUnitID"/>
                <w:lang w:val="nl-BE"/>
              </w:rPr>
              <w:t xml:space="preserve">d91cefab-abb9-49e7-baf8-dfdbe3e71dd1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huidige uitvinding beoogt minstens een oplossing te vinden voor enkele van bovenvermelde problemen of nadelen.</w:t>
            </w:r>
          </w:p>
        </w:tc>
        <w:tc>
          <w:tcPr>
            <w:shd w:val="clear" w:color="auto" w:fill="D3D3D3"/>
          </w:tcPr>
          <w:p>
            <w:pPr>
              <w:rPr>
                <w:lang w:val="en-US"/>
              </w:rPr>
            </w:pPr>
            <w:r>
              <w:rPr>
                <w:lang w:val="en-US"/>
              </w:rPr>
              <w:t xml:space="preserve">The present invention aims to solve at least some of the above problems or drawbacks.</w:t>
            </w:r>
          </w:p>
        </w:tc>
      </w:tr>
      <w:tr>
        <w:tc>
          <w:tcPr>
            <w:shd w:val="clear" w:color="auto" w:fill="D3D3D3"/>
          </w:tcPr>
          <w:p>
            <w:pPr>
              <w:rPr>
                <w:lang w:val="nl-BE"/>
              </w:rPr>
            </w:pPr>
            <w:r>
              <w:rPr>
                <w:rStyle w:val="SegmentID"/>
                <w:lang w:val="nl-BE"/>
              </w:rPr>
              <w:t xml:space="preserve">15</w:t>
            </w:r>
            <w:r>
              <w:rPr>
                <w:rStyle w:val="TransUnitID"/>
                <w:lang w:val="nl-BE"/>
              </w:rPr>
              <w:t xml:space="preserve">d91cefab-abb9-49e7-baf8-dfdbe3e71dd1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Doel van de uitvinding is het verschaffen van een werkwijze welke deze nadelen opheft.</w:t>
            </w:r>
          </w:p>
        </w:tc>
        <w:tc>
          <w:tcPr>
            <w:shd w:val="clear" w:color="auto" w:fill="D3D3D3"/>
          </w:tcPr>
          <w:p>
            <w:pPr>
              <w:rPr>
                <w:lang w:val="en-US"/>
              </w:rPr>
            </w:pPr>
            <w:r>
              <w:rPr>
                <w:lang w:val="en-US"/>
              </w:rPr>
              <w:t xml:space="preserve">The aim of the invention is to provide a method which eliminates these disadvantages.</w:t>
            </w:r>
          </w:p>
        </w:tc>
      </w:tr>
      <w:tr>
        <w:tc>
          <w:tcPr>
            <w:shd w:val="clear" w:color="auto" w:fill="D3D3D3"/>
          </w:tcPr>
          <w:p>
            <w:pPr>
              <w:rPr>
                <w:lang w:val="nl-BE"/>
              </w:rPr>
            </w:pPr>
            <w:r>
              <w:rPr>
                <w:rStyle w:val="SegmentID"/>
                <w:lang w:val="nl-BE"/>
              </w:rPr>
              <w:t xml:space="preserve">16</w:t>
            </w:r>
            <w:r>
              <w:rPr>
                <w:rStyle w:val="TransUnitID"/>
                <w:lang w:val="nl-BE"/>
              </w:rPr>
              <w:t xml:space="preserve">03f5dd85-5b7a-4eaa-a0cc-91c6f73d5e76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SAMENVATTING VAN DE UITVINDING</w:t>
            </w:r>
          </w:p>
        </w:tc>
        <w:tc>
          <w:tcPr>
            <w:shd w:val="clear" w:color="auto" w:fill="D3D3D3"/>
          </w:tcPr>
          <w:p>
            <w:pPr>
              <w:rPr>
                <w:lang w:val="en-US"/>
              </w:rPr>
            </w:pPr>
            <w:r>
              <w:rPr>
                <w:lang w:val="en-US"/>
              </w:rPr>
              <w:t xml:space="preserve">SUMMARY OF THE INVENTION</w:t>
            </w:r>
          </w:p>
        </w:tc>
      </w:tr>
      <w:tr>
        <w:tc>
          <w:tcPr>
            <w:shd w:val="clear" w:color="auto" w:fill="#98FB98"/>
          </w:tcPr>
          <w:p>
            <w:pPr>
              <w:rPr>
                <w:lang w:val="nl-BE"/>
              </w:rPr>
            </w:pPr>
            <w:r>
              <w:rPr>
                <w:rStyle w:val="SegmentID"/>
                <w:lang w:val="nl-BE"/>
              </w:rPr>
              <w:t xml:space="preserve">17</w:t>
            </w:r>
            <w:r>
              <w:rPr>
                <w:rStyle w:val="TransUnitID"/>
                <w:lang w:val="nl-BE"/>
              </w:rPr>
              <w:t xml:space="preserve">17e066ec-b1c6-4127-a9f5-e5f6a08027f4</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 uitvinding betreft in een eerste aspect een uitklapbaar geraamte geschikt voor voorziening in een opklapmeubel, zoals een zetelbank of bedank, volgens conclusie 1.</w:t>
            </w:r>
          </w:p>
        </w:tc>
        <w:tc>
          <w:tcPr>
            <w:shd w:val="clear" w:color="auto" w:fill="#98FB98"/>
          </w:tcPr>
          <w:p>
            <w:pPr>
              <w:rPr>
                <w:lang w:val="en-US"/>
              </w:rPr>
            </w:pPr>
            <w:r>
              <w:rPr>
                <w:lang w:val="en-US"/>
              </w:rPr>
              <w:t xml:space="preserve">The invention relates, in a first aspect, to a folding framework suitable for provision in a piece of folding furniture, such as a </w:t>
            </w:r>
            <w:commentRangeStart w:id="0"/>
            <w:r>
              <w:rPr>
                <w:lang w:val="en-US"/>
              </w:rPr>
              <w:t xml:space="preserve">sofa</w:t>
            </w:r>
            <w:commentRangeEnd w:id="0"/>
            <w:r>
              <w:rPr>
                <w:rStyle w:val="CommentReference"/>
              </w:rPr>
              <w:commentReference w:id="0"/>
            </w:r>
            <w:r>
              <w:rPr>
                <w:lang w:val="en-US"/>
              </w:rPr>
              <w:t xml:space="preserve"> or </w:t>
            </w:r>
            <w:commentRangeStart w:id="1"/>
            <w:r>
              <w:rPr>
                <w:lang w:val="en-US"/>
              </w:rPr>
              <w:t xml:space="preserve">sofa bed</w:t>
            </w:r>
            <w:commentRangeEnd w:id="1"/>
            <w:r>
              <w:rPr>
                <w:rStyle w:val="CommentReference"/>
              </w:rPr>
              <w:commentReference w:id="1"/>
            </w:r>
            <w:r>
              <w:rPr>
                <w:lang w:val="en-US"/>
              </w:rPr>
              <w:t xml:space="preserve">, according to claim 1.</w:t>
            </w:r>
          </w:p>
        </w:tc>
      </w:tr>
      <w:tr>
        <w:tc>
          <w:tcPr>
            <w:shd w:val="clear" w:color="auto" w:fill="D3D3D3"/>
          </w:tcPr>
          <w:p>
            <w:pPr>
              <w:rPr>
                <w:lang w:val="nl-BE"/>
              </w:rPr>
            </w:pPr>
            <w:r>
              <w:rPr>
                <w:rStyle w:val="SegmentID"/>
                <w:lang w:val="nl-BE"/>
              </w:rPr>
              <w:t xml:space="preserve">18</w:t>
            </w:r>
            <w:r>
              <w:rPr>
                <w:rStyle w:val="TransUnitID"/>
                <w:lang w:val="nl-BE"/>
              </w:rPr>
              <w:t xml:space="preserve">17e066ec-b1c6-4127-a9f5-e5f6a08027f4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voorgestelde geraamte is zeer voordelig doordat het ingeklapte geraamte zeer compact is (qua hoogte), zodat het opklapmeubel een comfortabele zithoogte heeft, en bovendien ook eenvoudiger gemanipuleerd kan worden.</w:t>
            </w:r>
          </w:p>
        </w:tc>
        <w:tc>
          <w:tcPr>
            <w:shd w:val="clear" w:color="auto" w:fill="D3D3D3"/>
          </w:tcPr>
          <w:p>
            <w:pPr>
              <w:rPr>
                <w:lang w:val="en-US"/>
              </w:rPr>
            </w:pPr>
            <w:r>
              <w:rPr>
                <w:lang w:val="en-US"/>
              </w:rPr>
              <w:t xml:space="preserve">The proposed framework is highly advantageous because the collapsed framework is very compact (in terms of height), ensuring that the piece of folding furniture has a comfortable seat height, and moreover can also be manipulated more easily.</w:t>
            </w:r>
          </w:p>
        </w:tc>
      </w:tr>
      <w:tr>
        <w:tc>
          <w:tcPr>
            <w:shd w:val="clear" w:color="auto" w:fill="D3D3D3"/>
          </w:tcPr>
          <w:p>
            <w:pPr>
              <w:rPr>
                <w:lang w:val="nl-BE"/>
              </w:rPr>
            </w:pPr>
            <w:r>
              <w:rPr>
                <w:rStyle w:val="SegmentID"/>
                <w:lang w:val="nl-BE"/>
              </w:rPr>
              <w:t xml:space="preserve">19</w:t>
            </w:r>
            <w:r>
              <w:rPr>
                <w:rStyle w:val="TransUnitID"/>
                <w:lang w:val="nl-BE"/>
              </w:rPr>
              <w:t xml:space="preserve">17e066ec-b1c6-4127-a9f5-e5f6a08027f4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shd w:val="clear" w:color="auto" w:fill="D3D3D3"/>
          </w:tcPr>
          <w:p>
            <w:pPr>
              <w:rPr>
                <w:lang w:val="en-US"/>
              </w:rPr>
            </w:pPr>
            <w:r>
              <w:rPr>
                <w:lang w:val="en-US"/>
              </w:rPr>
              <w:t xml:space="preserve">Moreover, it allows a very simple and minimally burdensome procedure for folding and unfolding the framework, whereby, with the manipulation of one component, the rest of the framework automatically unfolds, without the need for further actions, as is often the case normally (such as separately unfolding feet or additional supports).</w:t>
            </w:r>
          </w:p>
        </w:tc>
      </w:tr>
      <w:tr>
        <w:tc>
          <w:tcPr>
            <w:shd w:val="clear" w:color="auto" w:fill="D3D3D3"/>
          </w:tcPr>
          <w:p>
            <w:pPr>
              <w:rPr>
                <w:lang w:val="nl-BE"/>
              </w:rPr>
            </w:pPr>
            <w:r>
              <w:rPr>
                <w:rStyle w:val="SegmentID"/>
                <w:lang w:val="nl-BE"/>
              </w:rPr>
              <w:t xml:space="preserve">20</w:t>
            </w:r>
            <w:r>
              <w:rPr>
                <w:rStyle w:val="TransUnitID"/>
                <w:lang w:val="nl-BE"/>
              </w:rPr>
              <w:t xml:space="preserve">65a39cf9-a45d-494b-9a65-b58b3f70095d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Specifieke voorkeurdragende uitvoeringsvormen worden beschreven in conclusies 2 tot en met 14.</w:t>
            </w:r>
          </w:p>
        </w:tc>
        <w:tc>
          <w:tcPr>
            <w:shd w:val="clear" w:color="auto" w:fill="D3D3D3"/>
          </w:tcPr>
          <w:p>
            <w:pPr>
              <w:rPr>
                <w:lang w:val="en-US"/>
              </w:rPr>
            </w:pPr>
            <w:r>
              <w:rPr>
                <w:lang w:val="en-US"/>
              </w:rPr>
              <w:t xml:space="preserve">Specific preferred embodiments are described in claims 2 to 14.</w:t>
            </w:r>
          </w:p>
        </w:tc>
      </w:tr>
      <w:tr>
        <w:tc>
          <w:tcPr>
            <w:shd w:val="clear" w:color="auto" w:fill="D3D3D3"/>
          </w:tcPr>
          <w:p>
            <w:pPr>
              <w:rPr>
                <w:lang w:val="nl-BE"/>
              </w:rPr>
            </w:pPr>
            <w:r>
              <w:rPr>
                <w:rStyle w:val="SegmentID"/>
                <w:lang w:val="nl-BE"/>
              </w:rPr>
              <w:t xml:space="preserve">21</w:t>
            </w:r>
            <w:r>
              <w:rPr>
                <w:rStyle w:val="TransUnitID"/>
                <w:lang w:val="nl-BE"/>
              </w:rPr>
              <w:t xml:space="preserve">b5ab6e94-5aeb-4262-be68-2e2f30fa3955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een tweede aspect betreft de uitvinding een opklapmeubel omvattende een geraamte volgens het eerste aspect van de uitvinding.</w:t>
            </w:r>
          </w:p>
        </w:tc>
        <w:tc>
          <w:tcPr>
            <w:shd w:val="clear" w:color="auto" w:fill="D3D3D3"/>
          </w:tcPr>
          <w:p>
            <w:pPr>
              <w:rPr>
                <w:lang w:val="en-US"/>
              </w:rPr>
            </w:pPr>
            <w:r>
              <w:rPr>
                <w:lang w:val="en-US"/>
              </w:rPr>
              <w:t xml:space="preserve">In a second aspect, the invention relates to a piece of folding furniture comprising a framework according to the first aspect of the invention.</w:t>
            </w:r>
          </w:p>
        </w:tc>
      </w:tr>
      <w:tr>
        <w:tc>
          <w:tcPr>
            <w:shd w:val="clear" w:color="auto" w:fill="D3D3D3"/>
          </w:tcPr>
          <w:p>
            <w:pPr>
              <w:rPr>
                <w:lang w:val="nl-BE"/>
              </w:rPr>
            </w:pPr>
            <w:r>
              <w:rPr>
                <w:rStyle w:val="SegmentID"/>
                <w:lang w:val="nl-BE"/>
              </w:rPr>
              <w:t xml:space="preserve">22</w:t>
            </w:r>
            <w:r>
              <w:rPr>
                <w:rStyle w:val="TransUnitID"/>
                <w:lang w:val="nl-BE"/>
              </w:rPr>
              <w:t xml:space="preserve">b5ab6e94-5aeb-4262-be68-2e2f30fa3955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voorkeur is dit opklapmeubel een zetelbank of bedbank, bij voorkeur een bedbank.</w:t>
            </w:r>
          </w:p>
        </w:tc>
        <w:tc>
          <w:tcPr>
            <w:shd w:val="clear" w:color="auto" w:fill="D3D3D3"/>
          </w:tcPr>
          <w:p>
            <w:pPr>
              <w:rPr>
                <w:lang w:val="en-US"/>
              </w:rPr>
            </w:pPr>
            <w:r>
              <w:rPr>
                <w:lang w:val="en-US"/>
              </w:rPr>
              <w:t xml:space="preserve">Preferably, this piece of folding furniture is a </w:t>
            </w:r>
            <w:commentRangeStart w:id="2"/>
            <w:r>
              <w:rPr>
                <w:lang w:val="en-US"/>
              </w:rPr>
              <w:t xml:space="preserve">sofa or a sofa bed</w:t>
            </w:r>
            <w:commentRangeEnd w:id="2"/>
            <w:r>
              <w:rPr>
                <w:rStyle w:val="CommentReference"/>
              </w:rPr>
              <w:commentReference w:id="2"/>
            </w:r>
            <w:r>
              <w:rPr>
                <w:lang w:val="en-US"/>
              </w:rPr>
              <w:t xml:space="preserve">, preferably a sofa bed.</w:t>
            </w:r>
          </w:p>
        </w:tc>
      </w:tr>
      <w:tr>
        <w:tc>
          <w:tcPr>
            <w:shd w:val="clear" w:color="auto" w:fill="D3D3D3"/>
          </w:tcPr>
          <w:p>
            <w:pPr>
              <w:rPr>
                <w:lang w:val="nl-BE"/>
              </w:rPr>
            </w:pPr>
            <w:r>
              <w:rPr>
                <w:rStyle w:val="SegmentID"/>
                <w:lang w:val="nl-BE"/>
              </w:rPr>
              <w:t xml:space="preserve">23</w:t>
            </w:r>
            <w:r>
              <w:rPr>
                <w:rStyle w:val="TransUnitID"/>
                <w:lang w:val="nl-BE"/>
              </w:rPr>
              <w:t xml:space="preserve">782589b8-15dd-4edd-ad5d-1d4abc807a09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BESCHRIJVING VAN DE FIGUREN</w:t>
            </w:r>
          </w:p>
        </w:tc>
        <w:tc>
          <w:tcPr>
            <w:shd w:val="clear" w:color="auto" w:fill="D3D3D3"/>
          </w:tcPr>
          <w:p>
            <w:pPr>
              <w:rPr>
                <w:lang w:val="en-US"/>
              </w:rPr>
            </w:pPr>
            <w:r>
              <w:rPr>
                <w:lang w:val="en-US"/>
              </w:rPr>
              <w:t xml:space="preserve">DESCRIPTION OF THE FIGURES</w:t>
            </w:r>
          </w:p>
        </w:tc>
      </w:tr>
      <w:tr>
        <w:tc>
          <w:tcPr>
            <w:shd w:val="clear" w:color="auto" w:fill="D3D3D3"/>
          </w:tcPr>
          <w:p>
            <w:pPr>
              <w:rPr>
                <w:lang w:val="nl-BE"/>
              </w:rPr>
            </w:pPr>
            <w:r>
              <w:rPr>
                <w:rStyle w:val="SegmentID"/>
                <w:lang w:val="nl-BE"/>
              </w:rPr>
              <w:t xml:space="preserve">24</w:t>
            </w:r>
            <w:r>
              <w:rPr>
                <w:rStyle w:val="TransUnitID"/>
                <w:lang w:val="nl-BE"/>
              </w:rPr>
              <w:t xml:space="preserve">94b796c6-d851-4c40-9c1b-4664a4c45773</w:t>
            </w:r>
          </w:p>
        </w:tc>
        <w:tc>
          <w:tcPr>
            <w:shd w:val="clear" w:color="auto" w:fill="D3D3D3"/>
          </w:tcPr>
          <w:p>
            <w:pPr>
              <w:rPr>
                <w:lang w:val="nl-BE"/>
              </w:rPr>
            </w:pPr>
            <w:r>
              <w:rPr>
                <w:lang w:val="nl-BE"/>
              </w:rPr>
              <w:t xml:space="preserve">Translated (CM)</w:t>
            </w:r>
          </w:p>
        </w:tc>
        <w:tc>
          <w:tcPr>
            <w:shd w:val="clear" w:color="auto" w:fill="D3D3D3"/>
          </w:tcPr>
          <w:p>
            <w:pPr>
              <w:rPr>
                <w:lang w:val="nl-BE"/>
              </w:rPr>
            </w:pPr>
            <w:r>
              <w:rPr>
                <w:rStyle w:val="Tag"/>
                <w:lang w:val="nl-BE"/>
              </w:rPr>
              <w:t xml:space="preserve">&lt;13&gt;</w:t>
            </w:r>
            <w:r>
              <w:rPr>
                <w:lang w:val="nl-BE"/>
              </w:rPr>
              <w:t xml:space="preserve">Figuur 1</w:t>
            </w:r>
            <w:r>
              <w:rPr>
                <w:rStyle w:val="Tag"/>
                <w:lang w:val="nl-BE"/>
              </w:rPr>
              <w:t xml:space="preserve">&lt;/13&gt;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shd w:val="clear" w:color="auto" w:fill="D3D3D3"/>
          </w:tcPr>
          <w:p>
            <w:pPr>
              <w:rPr>
                <w:lang w:val="en-US"/>
              </w:rPr>
            </w:pPr>
            <w:r>
              <w:rPr>
                <w:rStyle w:val="Tag"/>
                <w:lang w:val="en-US"/>
              </w:rPr>
              <w:t xml:space="preserve">&lt;13&gt;</w:t>
            </w:r>
            <w:r>
              <w:rPr>
                <w:lang w:val="en-US"/>
              </w:rPr>
              <w:t xml:space="preserve">Figure 1</w:t>
            </w:r>
            <w:r>
              <w:rPr>
                <w:rStyle w:val="Tag"/>
                <w:lang w:val="en-US"/>
              </w:rPr>
              <w:t xml:space="preserve">&lt;/13&gt;</w:t>
            </w:r>
            <w:r>
              <w:rPr>
                <w:lang w:val="en-US"/>
              </w:rPr>
              <w:t xml:space="preserve"> shows a lateral view of the unfolded framework in a piece of folding furniture, wherein in the upper figure the components are indicated, and in the lower figure the points where the components are fixedly, rotatably, pivotably, or hingeably connected to each other.</w:t>
            </w:r>
          </w:p>
        </w:tc>
      </w:tr>
      <w:tr>
        <w:tc>
          <w:tcPr>
            <w:shd w:val="clear" w:color="auto" w:fill="D3D3D3"/>
          </w:tcPr>
          <w:p>
            <w:pPr>
              <w:rPr>
                <w:lang w:val="nl-BE"/>
              </w:rPr>
            </w:pPr>
            <w:r>
              <w:rPr>
                <w:rStyle w:val="SegmentID"/>
                <w:lang w:val="nl-BE"/>
              </w:rPr>
              <w:t xml:space="preserve">25</w:t>
            </w:r>
            <w:r>
              <w:rPr>
                <w:rStyle w:val="TransUnitID"/>
                <w:lang w:val="nl-BE"/>
              </w:rPr>
              <w:t xml:space="preserve">14942355-8521-41a1-9489-7163460a9d43</w:t>
            </w:r>
          </w:p>
        </w:tc>
        <w:tc>
          <w:tcPr>
            <w:shd w:val="clear" w:color="auto" w:fill="D3D3D3"/>
          </w:tcPr>
          <w:p>
            <w:pPr>
              <w:rPr>
                <w:lang w:val="nl-BE"/>
              </w:rPr>
            </w:pPr>
            <w:r>
              <w:rPr>
                <w:lang w:val="nl-BE"/>
              </w:rPr>
              <w:t xml:space="preserve">Translated (CM)</w:t>
            </w:r>
          </w:p>
        </w:tc>
        <w:tc>
          <w:tcPr>
            <w:shd w:val="clear" w:color="auto" w:fill="D3D3D3"/>
          </w:tcPr>
          <w:p>
            <w:pPr>
              <w:rPr>
                <w:lang w:val="nl-BE"/>
              </w:rPr>
            </w:pPr>
            <w:r>
              <w:rPr>
                <w:rStyle w:val="Tag"/>
                <w:lang w:val="nl-BE"/>
              </w:rPr>
              <w:t xml:space="preserve">&lt;22&gt;</w:t>
            </w:r>
            <w:r>
              <w:rPr>
                <w:lang w:val="nl-BE"/>
              </w:rPr>
              <w:t xml:space="preserve">Figuren 2, 3, 4, 5 en 6</w:t>
            </w:r>
            <w:r>
              <w:rPr>
                <w:rStyle w:val="Tag"/>
                <w:lang w:val="nl-BE"/>
              </w:rPr>
              <w:t xml:space="preserve">&lt;/22&gt;</w:t>
            </w:r>
            <w:r>
              <w:rPr>
                <w:lang w:val="nl-BE"/>
              </w:rPr>
              <w:t xml:space="preserve"> tonen opeenvolgende zijdelingse weergaven van het geraamte terwijl het uitgeklapt wordt.</w:t>
            </w:r>
          </w:p>
        </w:tc>
        <w:tc>
          <w:tcPr>
            <w:shd w:val="clear" w:color="auto" w:fill="D3D3D3"/>
          </w:tcPr>
          <w:p>
            <w:pPr>
              <w:rPr>
                <w:lang w:val="en-US"/>
              </w:rPr>
            </w:pPr>
            <w:r>
              <w:rPr>
                <w:rStyle w:val="Tag"/>
                <w:lang w:val="en-US"/>
              </w:rPr>
              <w:t xml:space="preserve">&lt;22&gt;</w:t>
            </w:r>
            <w:r>
              <w:rPr>
                <w:lang w:val="en-US"/>
              </w:rPr>
              <w:t xml:space="preserve">Figures 2, 3, 4, 5, and 6</w:t>
            </w:r>
            <w:r>
              <w:rPr>
                <w:rStyle w:val="Tag"/>
                <w:lang w:val="en-US"/>
              </w:rPr>
              <w:t xml:space="preserve">&lt;/22&gt;</w:t>
            </w:r>
            <w:r>
              <w:rPr>
                <w:lang w:val="en-US"/>
              </w:rPr>
              <w:t xml:space="preserve"> show successive lateral views of the framework as it is unfolded.</w:t>
            </w:r>
          </w:p>
        </w:tc>
      </w:tr>
      <w:tr>
        <w:tc>
          <w:tcPr>
            <w:shd w:val="clear" w:color="auto" w:fill="#98FB98"/>
          </w:tcPr>
          <w:p>
            <w:pPr>
              <w:rPr>
                <w:lang w:val="nl-BE"/>
              </w:rPr>
            </w:pPr>
            <w:r>
              <w:rPr>
                <w:rStyle w:val="SegmentID"/>
                <w:lang w:val="nl-BE"/>
              </w:rPr>
              <w:t xml:space="preserve">26</w:t>
            </w:r>
            <w:r>
              <w:rPr>
                <w:rStyle w:val="TransUnitID"/>
                <w:lang w:val="nl-BE"/>
              </w:rPr>
              <w:t xml:space="preserve">51f76ad2-9a25-40d0-a6f2-63359dc4681f</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GEDETAILLEERDE BESCHRIJVING</w:t>
            </w:r>
          </w:p>
        </w:tc>
        <w:tc>
          <w:tcPr>
            <w:shd w:val="clear" w:color="auto" w:fill="#98FB98"/>
          </w:tcPr>
          <w:p>
            <w:pPr>
              <w:rPr>
                <w:lang w:val="en-US"/>
              </w:rPr>
            </w:pPr>
            <w:r>
              <w:rPr>
                <w:lang w:val="en-US"/>
              </w:rPr>
              <w:t xml:space="preserve">DETAILED DESCRIPTION</w:t>
            </w:r>
          </w:p>
        </w:tc>
      </w:tr>
      <w:tr>
        <w:tc>
          <w:tcPr>
            <w:shd w:val="clear" w:color="auto" w:fill="F5DEB3"/>
          </w:tcPr>
          <w:p>
            <w:pPr>
              <w:rPr>
                <w:lang w:val="nl-BE"/>
              </w:rPr>
            </w:pPr>
            <w:r>
              <w:rPr>
                <w:rStyle w:val="SegmentID"/>
                <w:lang w:val="nl-BE"/>
              </w:rPr>
              <w:t xml:space="preserve">27</w:t>
            </w:r>
            <w:r>
              <w:rPr>
                <w:rStyle w:val="TransUnitID"/>
                <w:lang w:val="nl-BE"/>
              </w:rPr>
              <w:t xml:space="preserve">16171f68-b1fd-47ea-a672-09911f923123</w:t>
            </w:r>
          </w:p>
        </w:tc>
        <w:tc>
          <w:tcPr>
            <w:shd w:val="clear" w:color="auto" w:fill="F5DEB3"/>
          </w:tcPr>
          <w:p>
            <w:pPr>
              <w:rPr>
                <w:lang w:val="nl-BE"/>
              </w:rPr>
            </w:pPr>
            <w:r>
              <w:rPr>
                <w:lang w:val="nl-BE"/>
              </w:rPr>
              <w:t xml:space="preserve">Translated (99%)</w:t>
            </w:r>
          </w:p>
        </w:tc>
        <w:tc>
          <w:tcPr>
            <w:shd w:val="clear" w:color="auto" w:fill="F5DEB3"/>
          </w:tcPr>
          <w:p>
            <w:pPr>
              <w:rPr>
                <w:lang w:val="nl-BE"/>
              </w:rPr>
            </w:pPr>
            <w:r>
              <w:rPr>
                <w:lang w:val="nl-BE"/>
              </w:rPr>
              <w:t xml:space="preserve">Tenzij anders gedefinieerd hebben alle termen die gebruikt worden in de beschrijving van de uitvinding, ook technische en wetenschappelijke termen, de betekenis zoals ze algemeen begrepen worden door de vakman in het technisch veld van de uitvinding.</w:t>
            </w:r>
          </w:p>
        </w:tc>
        <w:tc>
          <w:tcPr>
            <w:shd w:val="clear" w:color="auto" w:fill="F5DEB3"/>
          </w:tcPr>
          <w:p>
            <w:pPr>
              <w:rPr>
                <w:lang w:val="en-US"/>
              </w:rPr>
            </w:pPr>
            <w:r>
              <w:rPr>
                <w:lang w:val="en-US"/>
              </w:rPr>
              <w:t xml:space="preserve">Unless otherwise defined, all terms used in the description of the invention, including technical and scientific terms, have the meanings as commonly understood by a person skilled in the art to which the invention pertains.</w:t>
            </w:r>
          </w:p>
        </w:tc>
      </w:tr>
      <w:tr>
        <w:tc>
          <w:tcPr>
            <w:shd w:val="clear" w:color="auto" w:fill="#98FB98"/>
          </w:tcPr>
          <w:p>
            <w:pPr>
              <w:rPr>
                <w:lang w:val="nl-BE"/>
              </w:rPr>
            </w:pPr>
            <w:r>
              <w:rPr>
                <w:rStyle w:val="SegmentID"/>
                <w:lang w:val="nl-BE"/>
              </w:rPr>
              <w:t xml:space="preserve">28</w:t>
            </w:r>
            <w:r>
              <w:rPr>
                <w:rStyle w:val="TransUnitID"/>
                <w:lang w:val="nl-BE"/>
              </w:rPr>
              <w:t xml:space="preserve">16171f68-b1fd-47ea-a672-09911f923123</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Voor een betere beoordeling van de beschrijving van de uitvinding, worden de volgende termen expliciet uitgelegd.</w:t>
            </w:r>
          </w:p>
        </w:tc>
        <w:tc>
          <w:tcPr>
            <w:shd w:val="clear" w:color="auto" w:fill="#98FB98"/>
          </w:tcPr>
          <w:p>
            <w:pPr>
              <w:rPr>
                <w:lang w:val="en-US"/>
              </w:rPr>
            </w:pPr>
            <w:r>
              <w:rPr>
                <w:lang w:val="en-US"/>
              </w:rPr>
              <w:t xml:space="preserve">For a better understanding of the description of the invention, the following terms are explained explicitly.</w:t>
            </w:r>
          </w:p>
        </w:tc>
      </w:tr>
      <w:tr>
        <w:tc>
          <w:tcPr>
            <w:shd w:val="clear" w:color="auto" w:fill="D3D3D3"/>
          </w:tcPr>
          <w:p>
            <w:pPr>
              <w:rPr>
                <w:lang w:val="nl-BE"/>
              </w:rPr>
            </w:pPr>
            <w:r>
              <w:rPr>
                <w:rStyle w:val="SegmentID"/>
                <w:lang w:val="nl-BE"/>
              </w:rPr>
              <w:t xml:space="preserve">29</w:t>
            </w:r>
            <w:r>
              <w:rPr>
                <w:rStyle w:val="TransUnitID"/>
                <w:lang w:val="nl-BE"/>
              </w:rPr>
              <w:t xml:space="preserve">bb484f83-0fac-4293-8976-859cf8ef8980</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”de” en “het” refereren in dit document aan zowel het enkelvoud als het meervoud tenzij de context duidelijk anders veronderstelt.</w:t>
            </w:r>
          </w:p>
        </w:tc>
        <w:tc>
          <w:tcPr>
            <w:shd w:val="clear" w:color="auto" w:fill="D3D3D3"/>
          </w:tcPr>
          <w:p>
            <w:pPr>
              <w:rPr>
                <w:lang w:val="en-US"/>
              </w:rPr>
            </w:pPr>
            <w:r>
              <w:rPr>
                <w:lang w:val="en-US"/>
              </w:rPr>
              <w:t xml:space="preserve">In this document, “a” and “the” refer to both the singular and the plural, unless the context presupposes otherwise.</w:t>
            </w:r>
          </w:p>
        </w:tc>
      </w:tr>
      <w:tr>
        <w:tc>
          <w:tcPr>
            <w:shd w:val="clear" w:color="auto" w:fill="D3D3D3"/>
          </w:tcPr>
          <w:p>
            <w:pPr>
              <w:rPr>
                <w:lang w:val="nl-BE"/>
              </w:rPr>
            </w:pPr>
            <w:r>
              <w:rPr>
                <w:rStyle w:val="SegmentID"/>
                <w:lang w:val="nl-BE"/>
              </w:rPr>
              <w:t xml:space="preserve">30</w:t>
            </w:r>
            <w:r>
              <w:rPr>
                <w:rStyle w:val="TransUnitID"/>
                <w:lang w:val="nl-BE"/>
              </w:rPr>
              <w:t xml:space="preserve">bb484f83-0fac-4293-8976-859cf8ef8980</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Bijvoorbeeld, “een segment” betekent een of meer dan een segment.</w:t>
            </w:r>
          </w:p>
        </w:tc>
        <w:tc>
          <w:tcPr>
            <w:shd w:val="clear" w:color="auto" w:fill="D3D3D3"/>
          </w:tcPr>
          <w:p>
            <w:pPr>
              <w:rPr>
                <w:lang w:val="en-US"/>
              </w:rPr>
            </w:pPr>
            <w:r>
              <w:rPr>
                <w:lang w:val="en-US"/>
              </w:rPr>
              <w:t xml:space="preserve">For example, “a segment” means one or more segments.</w:t>
            </w:r>
          </w:p>
        </w:tc>
      </w:tr>
      <w:tr>
        <w:tc>
          <w:tcPr>
            <w:shd w:val="clear" w:color="auto" w:fill="D3D3D3"/>
          </w:tcPr>
          <w:p>
            <w:pPr>
              <w:rPr>
                <w:lang w:val="nl-BE"/>
              </w:rPr>
            </w:pPr>
            <w:r>
              <w:rPr>
                <w:rStyle w:val="SegmentID"/>
                <w:lang w:val="nl-BE"/>
              </w:rPr>
              <w:t xml:space="preserve">31</w:t>
            </w:r>
            <w:r>
              <w:rPr>
                <w:rStyle w:val="TransUnitID"/>
                <w:lang w:val="nl-BE"/>
              </w:rPr>
              <w:t xml:space="preserve">ae86b867-079e-4737-8d2c-530cb2544cd4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Wanneer “ongeveer” of “rond” in dit document gebruikt wordt bij een meetbare grootheid, een parameter, een tijdsduur of moment, en dergelijke, dan worden variaties bedoeld van +/-20% of minder, bij voorkeur +/-10% of minder, meer bij voorkeur +/-5% of minder, nog meer bij voorkeur +/-1% of minder, en zelfs nog meer bij voorkeur +/-0.1% of minder dan en van de geciteerde waarde, voor zoverre zulke variaties van toepassing zijn in de beschreven uitvinding.</w:t>
            </w:r>
          </w:p>
        </w:tc>
        <w:tc>
          <w:tcPr>
            <w:shd w:val="clear" w:color="auto" w:fill="D3D3D3"/>
          </w:tcPr>
          <w:p>
            <w:pPr>
              <w:rPr>
                <w:lang w:val="en-US"/>
              </w:rPr>
            </w:pPr>
            <w:r>
              <w:rPr>
                <w:lang w:val="en-US"/>
              </w:rPr>
              <w:t xml:space="preserve">When the term “around” or “about” is used in this document with a measurable quantity, a parameter, a duration or moment, and the like, then variations are meant of approx. 20% or less, preferably approx. 10% or less, more preferably approx. 5% or less, even more preferably approx. 1% or less, and even more preferably approx. 0.1% or less than and of the quoted value, insofar as such variations are applicable in the described invention.</w:t>
            </w:r>
          </w:p>
        </w:tc>
      </w:tr>
      <w:tr>
        <w:tc>
          <w:tcPr>
            <w:shd w:val="clear" w:color="auto" w:fill="F5DEB3"/>
          </w:tcPr>
          <w:p>
            <w:pPr>
              <w:rPr>
                <w:lang w:val="nl-BE"/>
              </w:rPr>
            </w:pPr>
            <w:r>
              <w:rPr>
                <w:rStyle w:val="SegmentID"/>
                <w:lang w:val="nl-BE"/>
              </w:rPr>
              <w:t xml:space="preserve">32</w:t>
            </w:r>
            <w:r>
              <w:rPr>
                <w:rStyle w:val="TransUnitID"/>
                <w:lang w:val="nl-BE"/>
              </w:rPr>
              <w:t xml:space="preserve">ae86b867-079e-4737-8d2c-530cb2544cd4</w:t>
            </w:r>
          </w:p>
        </w:tc>
        <w:tc>
          <w:tcPr>
            <w:shd w:val="clear" w:color="auto" w:fill="F5DEB3"/>
          </w:tcPr>
          <w:p>
            <w:pPr>
              <w:rPr>
                <w:lang w:val="nl-BE"/>
              </w:rPr>
            </w:pPr>
            <w:r>
              <w:rPr>
                <w:lang w:val="nl-BE"/>
              </w:rPr>
              <w:t xml:space="preserve">Translated (99%)</w:t>
            </w:r>
          </w:p>
        </w:tc>
        <w:tc>
          <w:tcPr>
            <w:shd w:val="clear" w:color="auto" w:fill="F5DEB3"/>
          </w:tcPr>
          <w:p>
            <w:pPr>
              <w:rPr>
                <w:lang w:val="nl-BE"/>
              </w:rPr>
            </w:pPr>
            <w:r>
              <w:rPr>
                <w:lang w:val="nl-BE"/>
              </w:rPr>
              <w:t xml:space="preserve">Hier moet echter wel onder verstaan worden dat de waarde van de grootheid waarbij de term “ongeveer” of “rond” gebruikt wordt, zelf specifiek wordt bekendgemaakt.</w:t>
            </w:r>
          </w:p>
        </w:tc>
        <w:tc>
          <w:tcPr>
            <w:shd w:val="clear" w:color="auto" w:fill="F5DEB3"/>
          </w:tcPr>
          <w:p>
            <w:pPr>
              <w:rPr>
                <w:lang w:val="en-US"/>
              </w:rPr>
            </w:pPr>
            <w:r>
              <w:rPr>
                <w:lang w:val="en-US"/>
              </w:rPr>
              <w:t xml:space="preserve">However, this must be understood to mean that the value of the magnitude where the term “approximately” or “around” is used, is itself specifically disclosed.</w:t>
            </w:r>
          </w:p>
        </w:tc>
      </w:tr>
      <w:tr>
        <w:tc>
          <w:tcPr>
            <w:shd w:val="clear" w:color="auto" w:fill="D3D3D3"/>
          </w:tcPr>
          <w:p>
            <w:pPr>
              <w:rPr>
                <w:lang w:val="nl-BE"/>
              </w:rPr>
            </w:pPr>
            <w:r>
              <w:rPr>
                <w:rStyle w:val="SegmentID"/>
                <w:lang w:val="nl-BE"/>
              </w:rPr>
              <w:t xml:space="preserve">33</w:t>
            </w:r>
            <w:r>
              <w:rPr>
                <w:rStyle w:val="TransUnitID"/>
                <w:lang w:val="nl-BE"/>
              </w:rPr>
              <w:t xml:space="preserve">9c7afc81-2d21-44ee-9063-0ea4fdf3beea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termen “omvatten”, “omvattende”, “bestaan uit”, “bestaande uit”, “voorzien van”, “bevatten”, “bevattende”, “behelzen”, “behelzende”, “inhouden”, “inhoudende” zijn synoniemen en zijn inclusieve of open termen die de aanwezigheid van wat volgt aanduiden, en die de aanwezigheid niet uitsluiten of beletten van andere componenten, kenmerken, elementen, leden, stappen, gekend uit of beschreven in de stand der techniek.</w:t>
            </w:r>
          </w:p>
        </w:tc>
        <w:tc>
          <w:tcPr>
            <w:shd w:val="clear" w:color="auto" w:fill="D3D3D3"/>
          </w:tcPr>
          <w:p>
            <w:pPr>
              <w:rPr>
                <w:lang w:val="en-US"/>
              </w:rPr>
            </w:pPr>
            <w:r>
              <w:rPr>
                <w:lang w:val="en-US"/>
              </w:rPr>
              <w:t xml:space="preserve">The terms “comprise,” “comprising,” “consist of,” “consisting of,” “provided with,” “have,” “having,” “include,” “including,” “contain,” “containing” are synonyms and are inclusive or open terms that indicate the presence of what follows, and which do not exclude or prevent the presence of other components, characteristics, elements, members, steps, as known from or disclosed in the prior art.</w:t>
            </w:r>
          </w:p>
        </w:tc>
      </w:tr>
      <w:tr>
        <w:tc>
          <w:tcPr>
            <w:shd w:val="clear" w:color="auto" w:fill="#98FB98"/>
          </w:tcPr>
          <w:p>
            <w:pPr>
              <w:rPr>
                <w:lang w:val="nl-BE"/>
              </w:rPr>
            </w:pPr>
            <w:r>
              <w:rPr>
                <w:rStyle w:val="SegmentID"/>
                <w:lang w:val="nl-BE"/>
              </w:rPr>
              <w:t xml:space="preserve">34</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“Geraamte” moet binnen de context van de huidige tekst begrepen worden als een samenstel van onderdelen dat dienstdoet als ondersteunende structuur voor verdere elementen en/of structuren.</w:t>
            </w:r>
          </w:p>
        </w:tc>
        <w:tc>
          <w:tcPr>
            <w:shd w:val="clear" w:color="auto" w:fill="#98FB98"/>
          </w:tcPr>
          <w:p>
            <w:pPr>
              <w:rPr>
                <w:lang w:val="en-US"/>
              </w:rPr>
            </w:pPr>
            <w:r>
              <w:rPr>
                <w:lang w:val="en-US"/>
              </w:rPr>
              <w:t xml:space="preserve">‘Framework’ in the context of the present text is to be understood as an assembly of parts that serves as a supporting structure for further elements and/or structures.</w:t>
            </w:r>
          </w:p>
        </w:tc>
      </w:tr>
      <w:tr>
        <w:tc>
          <w:tcPr>
            <w:shd w:val="clear" w:color="auto" w:fill="#98FB98"/>
          </w:tcPr>
          <w:p>
            <w:pPr>
              <w:rPr>
                <w:lang w:val="nl-BE"/>
              </w:rPr>
            </w:pPr>
            <w:r>
              <w:rPr>
                <w:rStyle w:val="SegmentID"/>
                <w:lang w:val="nl-BE"/>
              </w:rPr>
              <w:t xml:space="preserve">35</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Dergelijke onderdelen kunnen bijvoorbeeld koppelingen, koppelstukken, beugels of frames zijn.</w:t>
            </w:r>
          </w:p>
        </w:tc>
        <w:tc>
          <w:tcPr>
            <w:shd w:val="clear" w:color="auto" w:fill="#98FB98"/>
          </w:tcPr>
          <w:p>
            <w:pPr>
              <w:rPr>
                <w:lang w:val="en-US"/>
              </w:rPr>
            </w:pPr>
            <w:r>
              <w:rPr>
                <w:lang w:val="en-US"/>
              </w:rPr>
              <w:t xml:space="preserve">Such parts can be, for example, couplings, coupling pieces, brackets or frames.</w:t>
            </w:r>
          </w:p>
        </w:tc>
      </w:tr>
      <w:tr>
        <w:tc>
          <w:tcPr>
            <w:shd w:val="clear" w:color="auto" w:fill="#98FB98"/>
          </w:tcPr>
          <w:p>
            <w:pPr>
              <w:rPr>
                <w:lang w:val="nl-BE"/>
              </w:rPr>
            </w:pPr>
            <w:r>
              <w:rPr>
                <w:rStyle w:val="SegmentID"/>
                <w:lang w:val="nl-BE"/>
              </w:rPr>
              <w:t xml:space="preserve">36</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Dergelijke structuren kunnen een bedbank zijn.</w:t>
            </w:r>
          </w:p>
        </w:tc>
        <w:tc>
          <w:tcPr>
            <w:shd w:val="clear" w:color="auto" w:fill="#98FB98"/>
          </w:tcPr>
          <w:p>
            <w:pPr>
              <w:rPr>
                <w:lang w:val="en-US"/>
              </w:rPr>
            </w:pPr>
            <w:r>
              <w:rPr>
                <w:lang w:val="en-US"/>
              </w:rPr>
              <w:t xml:space="preserve">Such structures can be a sofa bed.</w:t>
            </w:r>
          </w:p>
        </w:tc>
      </w:tr>
      <w:tr>
        <w:tc>
          <w:tcPr>
            <w:shd w:val="clear" w:color="auto" w:fill="#98FB98"/>
          </w:tcPr>
          <w:p>
            <w:pPr>
              <w:rPr>
                <w:lang w:val="nl-BE"/>
              </w:rPr>
            </w:pPr>
            <w:r>
              <w:rPr>
                <w:rStyle w:val="SegmentID"/>
                <w:lang w:val="nl-BE"/>
              </w:rPr>
              <w:t xml:space="preserve">37</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Bij voorkeur, wordt een geraamte inwendig in dergelijke structuren voorzien.</w:t>
            </w:r>
          </w:p>
        </w:tc>
        <w:tc>
          <w:tcPr>
            <w:shd w:val="clear" w:color="auto" w:fill="#98FB98"/>
          </w:tcPr>
          <w:p>
            <w:pPr>
              <w:rPr>
                <w:lang w:val="en-US"/>
              </w:rPr>
            </w:pPr>
            <w:r>
              <w:rPr>
                <w:lang w:val="en-US"/>
              </w:rPr>
              <w:t xml:space="preserve">Preferably, a framework is provided internally to such structures.</w:t>
            </w:r>
          </w:p>
        </w:tc>
      </w:tr>
      <w:tr>
        <w:tc>
          <w:tcPr>
            <w:shd w:val="clear" w:color="auto" w:fill="#98FB98"/>
          </w:tcPr>
          <w:p>
            <w:pPr>
              <w:rPr>
                <w:lang w:val="nl-BE"/>
              </w:rPr>
            </w:pPr>
            <w:r>
              <w:rPr>
                <w:rStyle w:val="SegmentID"/>
                <w:lang w:val="nl-BE"/>
              </w:rPr>
              <w:t xml:space="preserve">38</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 geraamte kan ook uitwendig aan genoemde structuren worden voorzien.</w:t>
            </w:r>
          </w:p>
        </w:tc>
        <w:tc>
          <w:tcPr>
            <w:shd w:val="clear" w:color="auto" w:fill="#98FB98"/>
          </w:tcPr>
          <w:p>
            <w:pPr>
              <w:rPr>
                <w:lang w:val="en-US"/>
              </w:rPr>
            </w:pPr>
            <w:r>
              <w:rPr>
                <w:lang w:val="en-US"/>
              </w:rPr>
              <w:t xml:space="preserve">Such a framework can also be provided externally to said structures.</w:t>
            </w:r>
          </w:p>
        </w:tc>
      </w:tr>
      <w:tr>
        <w:tc>
          <w:tcPr>
            <w:shd w:val="clear" w:color="auto" w:fill="D3D3D3"/>
          </w:tcPr>
          <w:p>
            <w:pPr>
              <w:rPr>
                <w:lang w:val="nl-BE"/>
              </w:rPr>
            </w:pPr>
            <w:r>
              <w:rPr>
                <w:rStyle w:val="SegmentID"/>
                <w:lang w:val="nl-BE"/>
              </w:rPr>
              <w:t xml:space="preserve">39</w:t>
            </w:r>
            <w:r>
              <w:rPr>
                <w:rStyle w:val="TransUnitID"/>
                <w:lang w:val="nl-BE"/>
              </w:rPr>
              <w:t xml:space="preserve">9b8fb0ea-6dc3-4bda-b74e-4f0ef680712d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Dergelijk geraamte kan zowel in- als uitwendig aan genoemde structuren worden voorzien.</w:t>
            </w:r>
          </w:p>
        </w:tc>
        <w:tc>
          <w:tcPr>
            <w:shd w:val="clear" w:color="auto" w:fill="D3D3D3"/>
          </w:tcPr>
          <w:p>
            <w:pPr>
              <w:rPr>
                <w:lang w:val="en-US"/>
              </w:rPr>
            </w:pPr>
            <w:r>
              <w:rPr>
                <w:lang w:val="en-US"/>
              </w:rPr>
              <w:t xml:space="preserve">Such a framework can be provided both internally and externally to said structures.</w:t>
            </w:r>
          </w:p>
        </w:tc>
      </w:tr>
      <w:tr>
        <w:tc>
          <w:tcPr>
            <w:shd w:val="clear" w:color="auto" w:fill="#98FB98"/>
          </w:tcPr>
          <w:p>
            <w:pPr>
              <w:rPr>
                <w:lang w:val="nl-BE"/>
              </w:rPr>
            </w:pPr>
            <w:r>
              <w:rPr>
                <w:rStyle w:val="SegmentID"/>
                <w:lang w:val="nl-BE"/>
              </w:rPr>
              <w:t xml:space="preserve">40</w:t>
            </w:r>
            <w:r>
              <w:rPr>
                <w:rStyle w:val="TransUnitID"/>
                <w:lang w:val="nl-BE"/>
              </w:rPr>
              <w:t xml:space="preserve">ba903421-812b-4818-876d-8b1cadb81851</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“Koppeling” moet binnen de context van de huidige tekst begrepen worden als een element geschikt om een koppeling of verbinding aan te gaan met een andere koppeling, beugel en/of frame etc.</w:t>
            </w:r>
          </w:p>
        </w:tc>
        <w:tc>
          <w:tcPr>
            <w:shd w:val="clear" w:color="auto" w:fill="#98FB98"/>
          </w:tcPr>
          <w:p>
            <w:pPr>
              <w:rPr>
                <w:lang w:val="en-US"/>
              </w:rPr>
            </w:pPr>
            <w:r>
              <w:rPr>
                <w:lang w:val="en-US"/>
              </w:rPr>
              <w:t xml:space="preserve">‘Coupling’ is to be understood in the context of the present text as an element suitable for entering into a coupling or connection with another coupling, bracket and/or frame, etc.</w:t>
            </w:r>
          </w:p>
        </w:tc>
      </w:tr>
      <w:tr>
        <w:tc>
          <w:tcPr>
            <w:shd w:val="clear" w:color="auto" w:fill="#98FB98"/>
          </w:tcPr>
          <w:p>
            <w:pPr>
              <w:rPr>
                <w:lang w:val="nl-BE"/>
              </w:rPr>
            </w:pPr>
            <w:r>
              <w:rPr>
                <w:rStyle w:val="SegmentID"/>
                <w:lang w:val="nl-BE"/>
              </w:rPr>
              <w:t xml:space="preserve">41</w:t>
            </w:r>
            <w:r>
              <w:rPr>
                <w:rStyle w:val="TransUnitID"/>
                <w:lang w:val="nl-BE"/>
              </w:rPr>
              <w:t xml:space="preserve">ba903421-812b-4818-876d-8b1cadb81851</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Dit kan bijvoorbeeld middels een eenvoudige opening waarin de koppeling en een van voornoemde elementen verankerd wordt, bijvoorbeeld middels een haak, vijs of ander koppelstuk.</w:t>
            </w:r>
          </w:p>
        </w:tc>
        <w:tc>
          <w:tcPr>
            <w:shd w:val="clear" w:color="auto" w:fill="#98FB98"/>
          </w:tcPr>
          <w:p>
            <w:pPr>
              <w:rPr>
                <w:lang w:val="en-US"/>
              </w:rPr>
            </w:pPr>
            <w:r>
              <w:rPr>
                <w:lang w:val="en-US"/>
              </w:rPr>
              <w:t xml:space="preserve">This can be done, for instance, by means of a simple opening in which the coupling and one of the aforementioned elements are anchored, for instance by means of a hook, screw or other coupling piece.</w:t>
            </w:r>
          </w:p>
        </w:tc>
      </w:tr>
      <w:tr>
        <w:tc>
          <w:tcPr>
            <w:shd w:val="clear" w:color="auto" w:fill="#98FB98"/>
          </w:tcPr>
          <w:p>
            <w:pPr>
              <w:rPr>
                <w:lang w:val="nl-BE"/>
              </w:rPr>
            </w:pPr>
            <w:r>
              <w:rPr>
                <w:rStyle w:val="SegmentID"/>
                <w:lang w:val="nl-BE"/>
              </w:rPr>
              <w:t xml:space="preserve">42</w:t>
            </w:r>
            <w:r>
              <w:rPr>
                <w:rStyle w:val="TransUnitID"/>
                <w:lang w:val="nl-BE"/>
              </w:rPr>
              <w:t xml:space="preserve">ba903421-812b-4818-876d-8b1cadb81851</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“Ligger” moet binnen de context van de huidige tekst begrepen worden als een substantieel balkvormig geraamte-element.</w:t>
            </w:r>
          </w:p>
        </w:tc>
        <w:tc>
          <w:tcPr>
            <w:shd w:val="clear" w:color="auto" w:fill="#98FB98"/>
          </w:tcPr>
          <w:p>
            <w:pPr>
              <w:rPr>
                <w:lang w:val="en-US"/>
              </w:rPr>
            </w:pPr>
            <w:r>
              <w:rPr>
                <w:lang w:val="en-US"/>
              </w:rPr>
              <w:t xml:space="preserve">‘Beam’ should be understood in the context of the current text as a substantially beam-shaped framework element.</w:t>
            </w:r>
          </w:p>
        </w:tc>
      </w:tr>
      <w:tr>
        <w:tc>
          <w:tcPr>
            <w:shd w:val="clear" w:color="auto" w:fill="#98FB98"/>
          </w:tcPr>
          <w:p>
            <w:pPr>
              <w:rPr>
                <w:lang w:val="nl-BE"/>
              </w:rPr>
            </w:pPr>
            <w:r>
              <w:rPr>
                <w:rStyle w:val="SegmentID"/>
                <w:lang w:val="nl-BE"/>
              </w:rPr>
              <w:t xml:space="preserve">43</w:t>
            </w:r>
            <w:r>
              <w:rPr>
                <w:rStyle w:val="TransUnitID"/>
                <w:lang w:val="nl-BE"/>
              </w:rPr>
              <w:t xml:space="preserve">767eba34-fd5a-4c59-9160-90a4fd32b69b</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“Pivoteerbaar” of “scharnierbaar” moet binnen de context van de huidige tekst begrepen worden als draaibaar rond een steunpunt.</w:t>
            </w:r>
          </w:p>
        </w:tc>
        <w:tc>
          <w:tcPr>
            <w:shd w:val="clear" w:color="auto" w:fill="#98FB98"/>
          </w:tcPr>
          <w:p>
            <w:pPr>
              <w:rPr>
                <w:lang w:val="en-US"/>
              </w:rPr>
            </w:pPr>
            <w:r>
              <w:rPr>
                <w:lang w:val="en-US"/>
              </w:rPr>
              <w:t xml:space="preserve">‘Pivotable’ or ‘hingeable’ should be understood in the context of the current text as rotatable about a support point.</w:t>
            </w:r>
          </w:p>
        </w:tc>
      </w:tr>
      <w:tr>
        <w:tc>
          <w:tcPr>
            <w:shd w:val="clear" w:color="auto" w:fill="#98FB98"/>
          </w:tcPr>
          <w:p>
            <w:pPr>
              <w:rPr>
                <w:lang w:val="nl-BE"/>
              </w:rPr>
            </w:pPr>
            <w:r>
              <w:rPr>
                <w:rStyle w:val="SegmentID"/>
                <w:lang w:val="nl-BE"/>
              </w:rPr>
              <w:t xml:space="preserve">44</w:t>
            </w:r>
            <w:r>
              <w:rPr>
                <w:rStyle w:val="TransUnitID"/>
                <w:lang w:val="nl-BE"/>
              </w:rPr>
              <w:t xml:space="preserve">767eba34-fd5a-4c59-9160-90a4fd32b69b</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steunpunt kan een verbindingspunt zijn tussen twee koppelingen of tussen een koppeling en een ander geraamte-element.</w:t>
            </w:r>
          </w:p>
        </w:tc>
        <w:tc>
          <w:tcPr>
            <w:shd w:val="clear" w:color="auto" w:fill="#98FB98"/>
          </w:tcPr>
          <w:p>
            <w:pPr>
              <w:rPr>
                <w:lang w:val="en-US"/>
              </w:rPr>
            </w:pPr>
            <w:r>
              <w:rPr>
                <w:lang w:val="en-US"/>
              </w:rPr>
              <w:t xml:space="preserve">The support point can be a connection point between two couplings or between a coupling and another framework element.</w:t>
            </w:r>
          </w:p>
        </w:tc>
      </w:tr>
      <w:tr>
        <w:tc>
          <w:tcPr>
            <w:shd w:val="clear" w:color="auto" w:fill="D3D3D3"/>
          </w:tcPr>
          <w:p>
            <w:pPr>
              <w:rPr>
                <w:lang w:val="nl-BE"/>
              </w:rPr>
            </w:pPr>
            <w:r>
              <w:rPr>
                <w:rStyle w:val="SegmentID"/>
                <w:lang w:val="nl-BE"/>
              </w:rPr>
              <w:t xml:space="preserve">45</w:t>
            </w:r>
            <w:r>
              <w:rPr>
                <w:rStyle w:val="TransUnitID"/>
                <w:lang w:val="nl-BE"/>
              </w:rPr>
              <w:t xml:space="preserve">c28ef34c-fd78-403e-9ff9-c19f1e2de7c4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“Lengteas” moet binnen de context van de huidige tekst begrepen worden als een rechtlijnige as die evenwijdig is met een zijde van een oppervlak of een rechtlijnige as die twee verbindingspunten met elkaar verbindt.</w:t>
            </w:r>
          </w:p>
        </w:tc>
        <w:tc>
          <w:tcPr>
            <w:shd w:val="clear" w:color="auto" w:fill="D3D3D3"/>
          </w:tcPr>
          <w:p>
            <w:pPr>
              <w:rPr>
                <w:lang w:val="en-US"/>
              </w:rPr>
            </w:pPr>
            <w:r>
              <w:rPr>
                <w:lang w:val="en-US"/>
              </w:rPr>
              <w:t xml:space="preserve">The term “longitudinal axis” should be understood within the context of the current text as a rectilinear axis that is parallel to a side of a surface or a rectilinear axis that connects two connection points to each other.</w:t>
            </w:r>
          </w:p>
        </w:tc>
      </w:tr>
      <w:tr>
        <w:tc>
          <w:tcPr>
            <w:shd w:val="clear" w:color="auto" w:fill="D3D3D3"/>
          </w:tcPr>
          <w:p>
            <w:pPr>
              <w:rPr>
                <w:lang w:val="nl-BE"/>
              </w:rPr>
            </w:pPr>
            <w:r>
              <w:rPr>
                <w:rStyle w:val="SegmentID"/>
                <w:lang w:val="nl-BE"/>
              </w:rPr>
              <w:t xml:space="preserve">46</w:t>
            </w:r>
            <w:r>
              <w:rPr>
                <w:rStyle w:val="TransUnitID"/>
                <w:lang w:val="nl-BE"/>
              </w:rPr>
              <w:t xml:space="preserve">c824d05b-4b39-4603-95c6-4e041c76b774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“Longitudinaal” moet binnen de context van de huidige tekst begrepen worden als een richting die horizontaal is wanneer het geraamte op een horizontale 10 ondergrond wordt geplaatst.</w:t>
            </w:r>
          </w:p>
        </w:tc>
        <w:tc>
          <w:tcPr>
            <w:shd w:val="clear" w:color="auto" w:fill="D3D3D3"/>
          </w:tcPr>
          <w:p>
            <w:pPr>
              <w:rPr>
                <w:lang w:val="en-US"/>
              </w:rPr>
            </w:pPr>
            <w:r>
              <w:rPr>
                <w:lang w:val="en-US"/>
              </w:rPr>
              <w:t xml:space="preserve">“Longitudinal” should be understood in the context of the present text as a direction that is horizontal when the framework is placed on a horizontal </w:t>
            </w:r>
            <w:commentRangeStart w:id="3"/>
            <w:r>
              <w:rPr>
                <w:lang w:val="en-US"/>
              </w:rPr>
              <w:t xml:space="preserve">10</w:t>
            </w:r>
            <w:commentRangeEnd w:id="3"/>
            <w:r>
              <w:rPr>
                <w:rStyle w:val="CommentReference"/>
              </w:rPr>
              <w:commentReference w:id="3"/>
            </w:r>
            <w:r>
              <w:rPr>
                <w:lang w:val="en-US"/>
              </w:rPr>
              <w:t xml:space="preserve"> surface.</w:t>
            </w:r>
          </w:p>
        </w:tc>
      </w:tr>
      <w:tr>
        <w:tc>
          <w:tcPr>
            <w:shd w:val="clear" w:color="auto" w:fill="#98FB98"/>
          </w:tcPr>
          <w:p>
            <w:pPr>
              <w:rPr>
                <w:lang w:val="nl-BE"/>
              </w:rPr>
            </w:pPr>
            <w:r>
              <w:rPr>
                <w:rStyle w:val="SegmentID"/>
                <w:lang w:val="nl-BE"/>
              </w:rPr>
              <w:t xml:space="preserve">47</w:t>
            </w:r>
            <w:r>
              <w:rPr>
                <w:rStyle w:val="TransUnitID"/>
                <w:lang w:val="nl-BE"/>
              </w:rPr>
              <w:t xml:space="preserve">c824d05b-4b39-4603-95c6-4e041c76b774</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In essentie is genoemde richting, de richting waarin het geraamte, i.e. de verschillende matraskaders, wordt in- en/of uitgevouwen.</w:t>
            </w:r>
          </w:p>
        </w:tc>
        <w:tc>
          <w:tcPr>
            <w:shd w:val="clear" w:color="auto" w:fill="#98FB98"/>
          </w:tcPr>
          <w:p>
            <w:pPr>
              <w:rPr>
                <w:lang w:val="en-US"/>
              </w:rPr>
            </w:pPr>
            <w:r>
              <w:rPr>
                <w:lang w:val="en-US"/>
              </w:rPr>
              <w:t xml:space="preserve">In essence, said direction is the direction in which the framework, i.e. the various mattress frames, is folded and/or unfolded.</w:t>
            </w:r>
          </w:p>
        </w:tc>
      </w:tr>
      <w:tr>
        <w:tc>
          <w:tcPr>
            <w:shd w:val="clear" w:color="auto" w:fill="D3D3D3"/>
          </w:tcPr>
          <w:p>
            <w:pPr>
              <w:rPr>
                <w:lang w:val="nl-BE"/>
              </w:rPr>
            </w:pPr>
            <w:r>
              <w:rPr>
                <w:rStyle w:val="SegmentID"/>
                <w:lang w:val="nl-BE"/>
              </w:rPr>
              <w:t xml:space="preserve">48</w:t>
            </w:r>
            <w:r>
              <w:rPr>
                <w:rStyle w:val="TransUnitID"/>
                <w:lang w:val="nl-BE"/>
              </w:rPr>
              <w:t xml:space="preserve">3a89e23d-bfdc-4ab6-9be8-9e23a693cfb5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citeren van numerieke intervallen door de eindpunten omvat alle gehele getallen, breuken en/of reële getallen tussen de eindpunten, deze eindpunten inbegrepen.</w:t>
            </w:r>
          </w:p>
        </w:tc>
        <w:tc>
          <w:tcPr>
            <w:shd w:val="clear" w:color="auto" w:fill="D3D3D3"/>
          </w:tcPr>
          <w:p>
            <w:pPr>
              <w:rPr>
                <w:lang w:val="en-US"/>
              </w:rPr>
            </w:pPr>
            <w:r>
              <w:rPr>
                <w:lang w:val="en-US"/>
              </w:rPr>
              <w:t xml:space="preserve">Quoting numeric intervals by the endpoints includes all integers, fractions, and/or real numbers between the endpoints, including those endpoints.</w:t>
            </w:r>
          </w:p>
        </w:tc>
      </w:tr>
      <w:tr>
        <w:tc>
          <w:tcPr>
            <w:shd w:val="clear" w:color="auto" w:fill="D3D3D3"/>
          </w:tcPr>
          <w:p>
            <w:pPr>
              <w:rPr>
                <w:lang w:val="nl-BE"/>
              </w:rPr>
            </w:pPr>
            <w:r>
              <w:rPr>
                <w:rStyle w:val="SegmentID"/>
                <w:lang w:val="nl-BE"/>
              </w:rPr>
              <w:t xml:space="preserve">49</w:t>
            </w:r>
            <w:r>
              <w:rPr>
                <w:rStyle w:val="TransUnitID"/>
                <w:lang w:val="nl-BE"/>
              </w:rPr>
              <w:t xml:space="preserve">1ed5d06d-3936-4ba9-97c3-b3b70fd440d8</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wat volgt worden beide aspect van de huidige uitvinding tezamen behandeld.</w:t>
            </w:r>
          </w:p>
        </w:tc>
        <w:tc>
          <w:tcPr>
            <w:shd w:val="clear" w:color="auto" w:fill="D3D3D3"/>
          </w:tcPr>
          <w:p>
            <w:pPr>
              <w:rPr>
                <w:lang w:val="en-US"/>
              </w:rPr>
            </w:pPr>
            <w:r>
              <w:rPr>
                <w:lang w:val="en-US"/>
              </w:rPr>
              <w:t xml:space="preserve">In the following, both aspects of the present invention are dealt with together.</w:t>
            </w:r>
          </w:p>
        </w:tc>
      </w:tr>
      <w:tr>
        <w:tc>
          <w:tcPr>
            <w:shd w:val="clear" w:color="auto" w:fill="#98FB98"/>
          </w:tcPr>
          <w:p>
            <w:pPr>
              <w:rPr>
                <w:lang w:val="nl-BE"/>
              </w:rPr>
            </w:pPr>
            <w:r>
              <w:rPr>
                <w:rStyle w:val="SegmentID"/>
                <w:lang w:val="nl-BE"/>
              </w:rPr>
              <w:t xml:space="preserve">50</w:t>
            </w:r>
            <w:r>
              <w:rPr>
                <w:rStyle w:val="TransUnitID"/>
                <w:lang w:val="nl-BE"/>
              </w:rPr>
              <w:t xml:space="preserve">1ed5d06d-3936-4ba9-97c3-b3b70fd440d8</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Hierbij kan elk kenmerk beschreven hierin betrekking hebben op elk aspect, zelf wanneer het kenmerk in conjunctie met een bepaald aspect of van de huidige uitvinding wordt beschreven.</w:t>
            </w:r>
          </w:p>
        </w:tc>
        <w:tc>
          <w:tcPr>
            <w:shd w:val="clear" w:color="auto" w:fill="#98FB98"/>
          </w:tcPr>
          <w:p>
            <w:pPr>
              <w:rPr>
                <w:lang w:val="en-US"/>
              </w:rPr>
            </w:pPr>
            <w:r>
              <w:rPr>
                <w:lang w:val="en-US"/>
              </w:rPr>
              <w:t xml:space="preserve">Any feature described herein may refer to any aspect, </w:t>
            </w:r>
            <w:commentRangeStart w:id="4"/>
            <w:r>
              <w:rPr>
                <w:lang w:val="en-US"/>
              </w:rPr>
              <w:t xml:space="preserve">even </w:t>
            </w:r>
            <w:commentRangeEnd w:id="4"/>
            <w:r>
              <w:rPr>
                <w:rStyle w:val="CommentReference"/>
              </w:rPr>
              <w:commentReference w:id="4"/>
            </w:r>
            <w:r>
              <w:rPr>
                <w:lang w:val="en-US"/>
              </w:rPr>
              <w:t xml:space="preserve">if the feature is described in conjunction with a specific aspect of present invention.</w:t>
            </w:r>
          </w:p>
        </w:tc>
      </w:tr>
      <w:tr>
        <w:tc>
          <w:tcPr>
            <w:shd w:val="clear" w:color="auto" w:fill="#98FB98"/>
          </w:tcPr>
          <w:p>
            <w:pPr>
              <w:rPr>
                <w:lang w:val="nl-BE"/>
              </w:rPr>
            </w:pPr>
            <w:r>
              <w:rPr>
                <w:rStyle w:val="SegmentID"/>
                <w:lang w:val="nl-BE"/>
              </w:rPr>
              <w:t xml:space="preserve">51</w:t>
            </w:r>
            <w:r>
              <w:rPr>
                <w:rStyle w:val="TransUnitID"/>
                <w:lang w:val="nl-BE"/>
              </w:rPr>
              <w:t xml:space="preserve">74dea51d-aae2-4f8e-9f5b-59757c0c9c0d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zal duidelijk zijn voor een vakman in het vakgebied dat eender welk technisch element beschreven volgens de aspecten van de uitvinding in gepast veelvoud kan worden voorzien zonder verder te reiken dan het voorwerp van de huidige uitvinding.</w:t>
            </w:r>
          </w:p>
        </w:tc>
        <w:tc>
          <w:tcPr>
            <w:shd w:val="clear" w:color="auto" w:fill="#98FB98"/>
          </w:tcPr>
          <w:p>
            <w:pPr>
              <w:rPr>
                <w:lang w:val="en-US"/>
              </w:rPr>
            </w:pPr>
            <w:r>
              <w:rPr>
                <w:lang w:val="en-US"/>
              </w:rPr>
              <w:t xml:space="preserve">It will be apparent to a person skilled in the art that any technical element described according to the aspects of the invention can be provided in appropriate numbers without departing from the subject matter of the present invention.</w:t>
            </w:r>
          </w:p>
        </w:tc>
      </w:tr>
      <w:tr>
        <w:tc>
          <w:tcPr>
            <w:shd w:val="clear" w:color="auto" w:fill="#98FB98"/>
          </w:tcPr>
          <w:p>
            <w:pPr>
              <w:rPr>
                <w:lang w:val="nl-BE"/>
              </w:rPr>
            </w:pPr>
            <w:r>
              <w:rPr>
                <w:rStyle w:val="SegmentID"/>
                <w:lang w:val="nl-BE"/>
              </w:rPr>
              <w:t xml:space="preserve">52</w:t>
            </w:r>
            <w:r>
              <w:rPr>
                <w:rStyle w:val="TransUnitID"/>
                <w:lang w:val="nl-BE"/>
              </w:rPr>
              <w:t xml:space="preserve">74dea51d-aae2-4f8e-9f5b-59757c0c9c0d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In het bijzonder kunnen de onderdelen van het geraamte, zoals de hoofdsteunkoppelingen, de lichaamsteunkoppelingen alsook de andere koppelingen en onderdelen worden voorzien in veelvouden, bijvoorbeeld tweevoud, drievoud, viervoud, vijfvoud, etc.</w:t>
            </w:r>
          </w:p>
        </w:tc>
        <w:tc>
          <w:tcPr>
            <w:shd w:val="clear" w:color="auto" w:fill="#98FB98"/>
          </w:tcPr>
          <w:p>
            <w:pPr>
              <w:rPr>
                <w:lang w:val="en-US"/>
              </w:rPr>
            </w:pPr>
            <w:r>
              <w:rPr>
                <w:lang w:val="en-US"/>
              </w:rPr>
              <w:t xml:space="preserve">In particular, the components of the framework, such as the head support couplings, the body support couplings, as well as the other couplings and components, can be provided in multiples, for instance, double, triple, quadruple, quintuple, etc.</w:t>
            </w:r>
          </w:p>
        </w:tc>
      </w:tr>
      <w:tr>
        <w:tc>
          <w:tcPr>
            <w:shd w:val="clear" w:color="auto" w:fill="D3D3D3"/>
          </w:tcPr>
          <w:p>
            <w:pPr>
              <w:rPr>
                <w:lang w:val="nl-BE"/>
              </w:rPr>
            </w:pPr>
            <w:r>
              <w:rPr>
                <w:rStyle w:val="SegmentID"/>
                <w:lang w:val="nl-BE"/>
              </w:rPr>
              <w:t xml:space="preserve">53</w:t>
            </w:r>
            <w:r>
              <w:rPr>
                <w:rStyle w:val="TransUnitID"/>
                <w:lang w:val="nl-BE"/>
              </w:rPr>
              <w:t xml:space="preserve">74dea51d-aae2-4f8e-9f5b-59757c0c9c0d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voorkeur worden minstens de hoofdsteunkoppelingen, de lichaamsteunkoppelingen, de lichaamsteunmatras- en hoofdsteunmatrasbeugels, en de koppelingen hiertussen in tweevoud voorzien.</w:t>
            </w:r>
          </w:p>
        </w:tc>
        <w:tc>
          <w:tcPr>
            <w:shd w:val="clear" w:color="auto" w:fill="D3D3D3"/>
          </w:tcPr>
          <w:p>
            <w:pPr>
              <w:rPr>
                <w:lang w:val="en-US"/>
              </w:rPr>
            </w:pPr>
            <w:r>
              <w:rPr>
                <w:lang w:val="en-US"/>
              </w:rPr>
              <w:t xml:space="preserve">Preferably, at least the head support couplings, the body support couplings, the body support mattress- and head support mattress brackets, and the couplings therebetween are provided in duplicate.</w:t>
            </w:r>
          </w:p>
        </w:tc>
      </w:tr>
      <w:tr>
        <w:tc>
          <w:tcPr>
            <w:shd w:val="clear" w:color="auto" w:fill="D3D3D3"/>
          </w:tcPr>
          <w:p>
            <w:pPr>
              <w:rPr>
                <w:lang w:val="nl-BE"/>
              </w:rPr>
            </w:pPr>
            <w:r>
              <w:rPr>
                <w:rStyle w:val="SegmentID"/>
                <w:lang w:val="nl-BE"/>
              </w:rPr>
              <w:t xml:space="preserve">54</w:t>
            </w:r>
            <w:r>
              <w:rPr>
                <w:rStyle w:val="TransUnitID"/>
                <w:lang w:val="nl-BE"/>
              </w:rPr>
              <w:t xml:space="preserve">74dea51d-aae2-4f8e-9f5b-59757c0c9c0d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verdere voorkeur worden voornoemde onderdelen in tweevoud voorzien respectievelijk aan iedere (overlangse) zijde in een richting loodrecht op de longitudinale richting van een geraamte.</w:t>
            </w:r>
          </w:p>
        </w:tc>
        <w:tc>
          <w:tcPr>
            <w:shd w:val="clear" w:color="auto" w:fill="D3D3D3"/>
          </w:tcPr>
          <w:p>
            <w:pPr>
              <w:rPr>
                <w:lang w:val="en-US"/>
              </w:rPr>
            </w:pPr>
            <w:r>
              <w:rPr>
                <w:lang w:val="en-US"/>
              </w:rPr>
              <w:t xml:space="preserve">Preferably, said components are provided in duplicate respectively on each (longitudinal) side in a direction perpendicular to the longitudinal direction of a framework.</w:t>
            </w:r>
          </w:p>
        </w:tc>
      </w:tr>
      <w:tr>
        <w:tc>
          <w:tcPr>
            <w:shd w:val="clear" w:color="auto" w:fill="#98FB98"/>
          </w:tcPr>
          <w:p>
            <w:pPr>
              <w:rPr>
                <w:lang w:val="nl-BE"/>
              </w:rPr>
            </w:pPr>
            <w:r>
              <w:rPr>
                <w:rStyle w:val="SegmentID"/>
                <w:lang w:val="nl-BE"/>
              </w:rPr>
              <w:t xml:space="preserve">55</w:t>
            </w:r>
            <w:r>
              <w:rPr>
                <w:rStyle w:val="TransUnitID"/>
                <w:lang w:val="nl-BE"/>
              </w:rPr>
              <w:t xml:space="preserve">a73776d3-41e6-43cb-bad6-0ca9e766c2a6</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 termen “hoofdsteunmatrasbeugel” en “hoofdsteunmatraskader” en dergelijke enerzijds, en “lichaamsteunmatrasbeugel” en “lichaamsteunmatraskader” en dergelijke betekenen geen functionele beperking qua lengte of functie (dat deze uitsluiten het hoofd lichaam ondersteunen), en dienen enkel ter aanduiding van welk uiteinde van het geraamte het betreft (hoofd of voet).</w:t>
            </w:r>
          </w:p>
        </w:tc>
        <w:tc>
          <w:tcPr>
            <w:shd w:val="clear" w:color="auto" w:fill="#98FB98"/>
          </w:tcPr>
          <w:p>
            <w:pPr>
              <w:rPr>
                <w:lang w:val="en-US"/>
              </w:rPr>
            </w:pPr>
            <w:r>
              <w:rPr>
                <w:lang w:val="en-US"/>
              </w:rPr>
              <w:t xml:space="preserve">The terms “head support mattress bracket” and “head support mattress frame” and the like on the one hand, and “body support mattress bracket” and “body support mattress frame” and the like on the other hand do not imply any functional limitation in terms of length or function (that they only support the head or body), and are solely for indicating which end of the framework is concerned (head or foot).</w:t>
            </w:r>
          </w:p>
        </w:tc>
      </w:tr>
      <w:tr>
        <w:tc>
          <w:tcPr>
            <w:shd w:val="clear" w:color="auto" w:fill="D3D3D3"/>
          </w:tcPr>
          <w:p>
            <w:pPr>
              <w:rPr>
                <w:lang w:val="nl-BE"/>
              </w:rPr>
            </w:pPr>
            <w:r>
              <w:rPr>
                <w:rStyle w:val="SegmentID"/>
                <w:lang w:val="nl-BE"/>
              </w:rPr>
              <w:t xml:space="preserve">56</w:t>
            </w:r>
            <w:r>
              <w:rPr>
                <w:rStyle w:val="TransUnitID"/>
                <w:lang w:val="nl-BE"/>
              </w:rPr>
              <w:t xml:space="preserve">a73776d3-41e6-43cb-bad6-0ca9e766c2a6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Zoals zichtbaar in de figuren zijn de twee stukken substantieel even groot, wat compacter is in ingeklapte toestand.</w:t>
            </w:r>
          </w:p>
        </w:tc>
        <w:tc>
          <w:tcPr>
            <w:shd w:val="clear" w:color="auto" w:fill="D3D3D3"/>
          </w:tcPr>
          <w:p>
            <w:pPr>
              <w:rPr>
                <w:lang w:val="en-US"/>
              </w:rPr>
            </w:pPr>
            <w:r>
              <w:rPr>
                <w:lang w:val="en-US"/>
              </w:rPr>
              <w:t xml:space="preserve">As seen in the figures, the two pieces are substantially the same size, which is more compact in the folded state.</w:t>
            </w:r>
          </w:p>
        </w:tc>
      </w:tr>
      <w:tr>
        <w:tc>
          <w:tcPr>
            <w:shd w:val="clear" w:color="auto" w:fill="D3D3D3"/>
          </w:tcPr>
          <w:p>
            <w:pPr>
              <w:rPr>
                <w:lang w:val="nl-BE"/>
              </w:rPr>
            </w:pPr>
            <w:r>
              <w:rPr>
                <w:rStyle w:val="SegmentID"/>
                <w:lang w:val="nl-BE"/>
              </w:rPr>
              <w:t xml:space="preserve">57</w:t>
            </w:r>
            <w:r>
              <w:rPr>
                <w:rStyle w:val="TransUnitID"/>
                <w:lang w:val="nl-BE"/>
              </w:rPr>
              <w:t xml:space="preserve">c82556a1-b6ea-4f14-932c-96edaea457ef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geraamte volgens de uitvinding heeft de mogelijkheid opengevouwen te worden vanuit een opgevouwen toestand naar een opengeklapte toestand.</w:t>
            </w:r>
          </w:p>
        </w:tc>
        <w:tc>
          <w:tcPr>
            <w:shd w:val="clear" w:color="auto" w:fill="D3D3D3"/>
          </w:tcPr>
          <w:p>
            <w:pPr>
              <w:rPr>
                <w:lang w:val="en-US"/>
              </w:rPr>
            </w:pPr>
            <w:r>
              <w:rPr>
                <w:lang w:val="en-US"/>
              </w:rPr>
              <w:t xml:space="preserve">A framework according to the invention has the capability to be unfolded from a folded state to an unfolded state.</w:t>
            </w:r>
          </w:p>
        </w:tc>
      </w:tr>
      <w:tr>
        <w:tc>
          <w:tcPr>
            <w:shd w:val="clear" w:color="auto" w:fill="D3D3D3"/>
          </w:tcPr>
          <w:p>
            <w:pPr>
              <w:rPr>
                <w:lang w:val="nl-BE"/>
              </w:rPr>
            </w:pPr>
            <w:r>
              <w:rPr>
                <w:rStyle w:val="SegmentID"/>
                <w:lang w:val="nl-BE"/>
              </w:rPr>
              <w:t xml:space="preserve">58</w:t>
            </w:r>
            <w:r>
              <w:rPr>
                <w:rStyle w:val="TransUnitID"/>
                <w:lang w:val="nl-BE"/>
              </w:rPr>
              <w:t xml:space="preserve">c82556a1-b6ea-4f14-932c-96edaea457ef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 kan het geraamte in opengevouwen toestand één of meerdere matraskaders voorzien, geschikt voor het ontvangen van een matras.</w:t>
            </w:r>
          </w:p>
        </w:tc>
        <w:tc>
          <w:tcPr>
            <w:shd w:val="clear" w:color="auto" w:fill="D3D3D3"/>
          </w:tcPr>
          <w:p>
            <w:pPr>
              <w:rPr>
                <w:lang w:val="en-US"/>
              </w:rPr>
            </w:pPr>
            <w:r>
              <w:rPr>
                <w:lang w:val="en-US"/>
              </w:rPr>
              <w:t xml:space="preserve">Thus, the framework in unfolded condition can be equipped with one or more mattress frames, suitable for receiving a mattress.</w:t>
            </w:r>
          </w:p>
        </w:tc>
      </w:tr>
      <w:tr>
        <w:tc>
          <w:tcPr>
            <w:shd w:val="clear" w:color="auto" w:fill="D3D3D3"/>
          </w:tcPr>
          <w:p>
            <w:pPr>
              <w:rPr>
                <w:lang w:val="nl-BE"/>
              </w:rPr>
            </w:pPr>
            <w:r>
              <w:rPr>
                <w:rStyle w:val="SegmentID"/>
                <w:lang w:val="nl-BE"/>
              </w:rPr>
              <w:t xml:space="preserve">59</w:t>
            </w:r>
            <w:r>
              <w:rPr>
                <w:rStyle w:val="TransUnitID"/>
                <w:lang w:val="nl-BE"/>
              </w:rPr>
              <w:t xml:space="preserve">c82556a1-b6ea-4f14-932c-96edaea457ef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Hierbij is het mogelijk om de matras aan het matraskader te monteren en/of vast te maken.</w:t>
            </w:r>
          </w:p>
        </w:tc>
        <w:tc>
          <w:tcPr>
            <w:shd w:val="clear" w:color="auto" w:fill="D3D3D3"/>
          </w:tcPr>
          <w:p>
            <w:pPr>
              <w:rPr>
                <w:lang w:val="en-US"/>
              </w:rPr>
            </w:pPr>
            <w:r>
              <w:rPr>
                <w:lang w:val="en-US"/>
              </w:rPr>
              <w:t xml:space="preserve">Hereby, it is possible to mount and/or secure the mattress to the mattress frame.</w:t>
            </w:r>
          </w:p>
        </w:tc>
      </w:tr>
      <w:tr>
        <w:tc>
          <w:tcPr>
            <w:shd w:val="clear" w:color="auto" w:fill="D3D3D3"/>
          </w:tcPr>
          <w:p>
            <w:pPr>
              <w:rPr>
                <w:lang w:val="nl-BE"/>
              </w:rPr>
            </w:pPr>
            <w:r>
              <w:rPr>
                <w:rStyle w:val="SegmentID"/>
                <w:lang w:val="nl-BE"/>
              </w:rPr>
              <w:t xml:space="preserve">60</w:t>
            </w:r>
            <w:r>
              <w:rPr>
                <w:rStyle w:val="TransUnitID"/>
                <w:lang w:val="nl-BE"/>
              </w:rPr>
              <w:t xml:space="preserve">28a695a6-36c0-46e9-ba7a-342772f591cf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een eerste aspect betreft de uitvinding een uitklapbaar geraamte geschikt voor koppeling in een opklapmeubel, bij voorkeur een zetelbank of bedbank, het geraamte aan beide laterale zijden omvattende:</w:t>
            </w:r>
          </w:p>
        </w:tc>
        <w:tc>
          <w:tcPr>
            <w:shd w:val="clear" w:color="auto" w:fill="D3D3D3"/>
          </w:tcPr>
          <w:p>
            <w:pPr>
              <w:rPr>
                <w:lang w:val="en-US"/>
              </w:rPr>
            </w:pPr>
            <w:r>
              <w:rPr>
                <w:lang w:val="en-US"/>
              </w:rPr>
              <w:t xml:space="preserve">In a first aspect, the invention relates to a folding framework suitable for coupling in a piece of folding furniture, preferably a </w:t>
            </w:r>
            <w:commentRangeStart w:id="5"/>
            <w:r>
              <w:rPr>
                <w:lang w:val="en-US"/>
              </w:rPr>
              <w:t xml:space="preserve">sofa or sofa bed</w:t>
            </w:r>
            <w:commentRangeEnd w:id="5"/>
            <w:r>
              <w:rPr>
                <w:rStyle w:val="CommentReference"/>
              </w:rPr>
              <w:commentReference w:id="5"/>
            </w:r>
            <w:r>
              <w:rPr>
                <w:lang w:val="en-US"/>
              </w:rPr>
              <w:t xml:space="preserve">, the framework comprising on both lateral sides:</w:t>
            </w:r>
          </w:p>
        </w:tc>
      </w:tr>
      <w:tr>
        <w:tc>
          <w:tcPr>
            <w:shd w:val="clear" w:color="auto" w:fill="D3D3D3"/>
          </w:tcPr>
          <w:p>
            <w:pPr>
              <w:rPr>
                <w:lang w:val="nl-BE"/>
              </w:rPr>
            </w:pPr>
            <w:r>
              <w:rPr>
                <w:rStyle w:val="SegmentID"/>
                <w:lang w:val="nl-BE"/>
              </w:rPr>
              <w:t xml:space="preserve">61</w:t>
            </w:r>
            <w:r>
              <w:rPr>
                <w:rStyle w:val="TransUnitID"/>
                <w:lang w:val="nl-BE"/>
              </w:rPr>
              <w:t xml:space="preserve">c9d7cf33-b2fe-4691-85cd-e5d4b6a8cdae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basisligger geschikt voor koppeling aan overstaande laterale zijden van het opklapmeubel;</w:t>
            </w:r>
          </w:p>
        </w:tc>
        <w:tc>
          <w:tcPr>
            <w:shd w:val="clear" w:color="auto" w:fill="D3D3D3"/>
          </w:tcPr>
          <w:p>
            <w:pPr>
              <w:rPr>
                <w:lang w:val="en-US"/>
              </w:rPr>
            </w:pPr>
            <w:r>
              <w:rPr>
                <w:lang w:val="en-US"/>
              </w:rPr>
              <w:t xml:space="preserve">a base beam suitable for coupling to opposite lateral sides of the piece of folding furniture;</w:t>
            </w:r>
          </w:p>
        </w:tc>
      </w:tr>
      <w:tr>
        <w:tc>
          <w:tcPr>
            <w:shd w:val="clear" w:color="auto" w:fill="D3D3D3"/>
          </w:tcPr>
          <w:p>
            <w:pPr>
              <w:rPr>
                <w:lang w:val="nl-BE"/>
              </w:rPr>
            </w:pPr>
            <w:r>
              <w:rPr>
                <w:rStyle w:val="SegmentID"/>
                <w:lang w:val="nl-BE"/>
              </w:rPr>
              <w:t xml:space="preserve">62</w:t>
            </w:r>
            <w:r>
              <w:rPr>
                <w:rStyle w:val="TransUnitID"/>
                <w:lang w:val="nl-BE"/>
              </w:rPr>
              <w:t xml:space="preserve">28b7e05b-01a5-42d0-87d0-a147582de97f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in hoofdzaak rechthoekige hoofdsteunmatrasbeugel, omvattende een lange hoofdsteunzijde;</w:t>
            </w:r>
          </w:p>
        </w:tc>
        <w:tc>
          <w:tcPr>
            <w:shd w:val="clear" w:color="auto" w:fill="D3D3D3"/>
          </w:tcPr>
          <w:p>
            <w:pPr>
              <w:rPr>
                <w:lang w:val="en-US"/>
              </w:rPr>
            </w:pPr>
            <w:r>
              <w:rPr>
                <w:lang w:val="en-US"/>
              </w:rPr>
              <w:t xml:space="preserve">a substantially rectangular head support mattress bracket, comprising a long head support side;</w:t>
            </w:r>
          </w:p>
        </w:tc>
      </w:tr>
      <w:tr>
        <w:tc>
          <w:tcPr>
            <w:shd w:val="clear" w:color="auto" w:fill="D3D3D3"/>
          </w:tcPr>
          <w:p>
            <w:pPr>
              <w:rPr>
                <w:lang w:val="nl-BE"/>
              </w:rPr>
            </w:pPr>
            <w:r>
              <w:rPr>
                <w:rStyle w:val="SegmentID"/>
                <w:lang w:val="nl-BE"/>
              </w:rPr>
              <w:t xml:space="preserve">63</w:t>
            </w:r>
            <w:r>
              <w:rPr>
                <w:rStyle w:val="TransUnitID"/>
                <w:lang w:val="nl-BE"/>
              </w:rPr>
              <w:t xml:space="preserve">b6e7860f-490f-493e-9a4e-5b8c313eb79b</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in hoofdzaak rechthoekige lichaamsteunmatrasbeugel, omvattende een lange lichaamsteunzijde;</w:t>
            </w:r>
          </w:p>
        </w:tc>
        <w:tc>
          <w:tcPr>
            <w:shd w:val="clear" w:color="auto" w:fill="D3D3D3"/>
          </w:tcPr>
          <w:p>
            <w:pPr>
              <w:rPr>
                <w:lang w:val="en-US"/>
              </w:rPr>
            </w:pPr>
            <w:r>
              <w:rPr>
                <w:lang w:val="en-US"/>
              </w:rPr>
              <w:t xml:space="preserve">a substantially rectangular body support mattress bracket, comprising a long body support side;</w:t>
            </w:r>
          </w:p>
        </w:tc>
      </w:tr>
      <w:tr>
        <w:tc>
          <w:tcPr>
            <w:shd w:val="clear" w:color="auto" w:fill="D3D3D3"/>
          </w:tcPr>
          <w:p>
            <w:pPr>
              <w:rPr>
                <w:lang w:val="nl-BE"/>
              </w:rPr>
            </w:pPr>
            <w:r>
              <w:rPr>
                <w:rStyle w:val="SegmentID"/>
                <w:lang w:val="nl-BE"/>
              </w:rPr>
              <w:t xml:space="preserve">64</w:t>
            </w:r>
            <w:r>
              <w:rPr>
                <w:rStyle w:val="TransUnitID"/>
                <w:lang w:val="nl-BE"/>
              </w:rPr>
              <w:t xml:space="preserve">5780e6b1-f1bd-4a08-9037-2eed464c2a31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eerste hoofdsteunkoppeling met een eerste uiteinde scharnierbaar verbonden met de basisliggers en met een tweede uiteinde scharnierbaar verbonden met de hoofdsteunmatrasbeugel;</w:t>
            </w:r>
          </w:p>
        </w:tc>
        <w:tc>
          <w:tcPr>
            <w:shd w:val="clear" w:color="auto" w:fill="D3D3D3"/>
          </w:tcPr>
          <w:p>
            <w:pPr>
              <w:rPr>
                <w:lang w:val="en-US"/>
              </w:rPr>
            </w:pPr>
            <w:r>
              <w:rPr>
                <w:lang w:val="en-US"/>
              </w:rPr>
              <w:t xml:space="preserve">a first head support coupling with a first end hingedly connected to the base beams and with a second end hingedly connected to the head support mattress bracket;</w:t>
            </w:r>
          </w:p>
        </w:tc>
      </w:tr>
      <w:tr>
        <w:tc>
          <w:tcPr>
            <w:shd w:val="clear" w:color="auto" w:fill="D3D3D3"/>
          </w:tcPr>
          <w:p>
            <w:pPr>
              <w:rPr>
                <w:lang w:val="nl-BE"/>
              </w:rPr>
            </w:pPr>
            <w:r>
              <w:rPr>
                <w:rStyle w:val="SegmentID"/>
                <w:lang w:val="nl-BE"/>
              </w:rPr>
              <w:t xml:space="preserve">65</w:t>
            </w:r>
            <w:r>
              <w:rPr>
                <w:rStyle w:val="TransUnitID"/>
                <w:lang w:val="nl-BE"/>
              </w:rPr>
              <w:t xml:space="preserve">2eb79143-57c6-4bd1-ac05-247421155fcd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tweede hoofdsteunkoppeling met een eerste uiteinde scharnierbaar verbonden met de basisliggers en met een tweede uiteinde scharnierbaar verbonden met de hoofdsteunmatrasbeugel;</w:t>
            </w:r>
          </w:p>
        </w:tc>
        <w:tc>
          <w:tcPr>
            <w:shd w:val="clear" w:color="auto" w:fill="D3D3D3"/>
          </w:tcPr>
          <w:p>
            <w:pPr>
              <w:rPr>
                <w:lang w:val="en-US"/>
              </w:rPr>
            </w:pPr>
            <w:r>
              <w:rPr>
                <w:lang w:val="en-US"/>
              </w:rPr>
              <w:t xml:space="preserve">a second head support coupling with a first end hingedly connected to the base beams and with a second end hingedly connected to the head support mattress bracket;</w:t>
            </w:r>
          </w:p>
        </w:tc>
      </w:tr>
      <w:tr>
        <w:tc>
          <w:tcPr>
            <w:shd w:val="clear" w:color="auto" w:fill="D3D3D3"/>
          </w:tcPr>
          <w:p>
            <w:pPr>
              <w:rPr>
                <w:lang w:val="nl-BE"/>
              </w:rPr>
            </w:pPr>
            <w:r>
              <w:rPr>
                <w:rStyle w:val="SegmentID"/>
                <w:lang w:val="nl-BE"/>
              </w:rPr>
              <w:t xml:space="preserve">66</w:t>
            </w:r>
            <w:r>
              <w:rPr>
                <w:rStyle w:val="TransUnitID"/>
                <w:lang w:val="nl-BE"/>
              </w:rPr>
              <w:t xml:space="preserve">bc47261d-af47-4a41-81b5-86851129073e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eerste lichaamsteunkoppeling met een eerste uiteinde scharnierbaar verbonden aan de lichaamsteunmatrasbeugel, en met een tweede uiteinde scharnierbaar verbonden aan de hoofdsteunmatrasbeugel via een eerste scharnierpunt;</w:t>
            </w:r>
          </w:p>
        </w:tc>
        <w:tc>
          <w:tcPr>
            <w:shd w:val="clear" w:color="auto" w:fill="D3D3D3"/>
          </w:tcPr>
          <w:p>
            <w:pPr>
              <w:rPr>
                <w:lang w:val="en-US"/>
              </w:rPr>
            </w:pPr>
            <w:r>
              <w:rPr>
                <w:lang w:val="en-US"/>
              </w:rPr>
              <w:t xml:space="preserve">a first body support coupling having a first end hingedly connected to the body support mattress bracket, and with a second end hingedly connected to the head support mattress bracket via a first hinge point;</w:t>
            </w:r>
          </w:p>
        </w:tc>
      </w:tr>
      <w:tr>
        <w:tc>
          <w:tcPr>
            <w:shd w:val="clear" w:color="auto" w:fill="D3D3D3"/>
          </w:tcPr>
          <w:p>
            <w:pPr>
              <w:rPr>
                <w:lang w:val="nl-BE"/>
              </w:rPr>
            </w:pPr>
            <w:r>
              <w:rPr>
                <w:rStyle w:val="SegmentID"/>
                <w:lang w:val="nl-BE"/>
              </w:rPr>
              <w:t xml:space="preserve">67</w:t>
            </w:r>
            <w:r>
              <w:rPr>
                <w:rStyle w:val="TransUnitID"/>
                <w:lang w:val="nl-BE"/>
              </w:rPr>
              <w:t xml:space="preserve">4d553195-9e3e-40b7-87bc-83182812ea4c</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tweede lichaamsteunkoppeling met een eerste uiteinde scharnierbaar verbonden aan de basisliggers en met een tweede uiteinde scharnierbaar verbonden aan de lichaamsteunmatrasbeugel;</w:t>
            </w:r>
          </w:p>
        </w:tc>
        <w:tc>
          <w:tcPr>
            <w:shd w:val="clear" w:color="auto" w:fill="D3D3D3"/>
          </w:tcPr>
          <w:p>
            <w:pPr>
              <w:rPr>
                <w:lang w:val="en-US"/>
              </w:rPr>
            </w:pPr>
            <w:r>
              <w:rPr>
                <w:lang w:val="en-US"/>
              </w:rPr>
              <w:t xml:space="preserve">a second body support coupling having a first end hingedly connected to the base beams and with a second end hingedly connected to the body support mattress bracket;</w:t>
            </w:r>
          </w:p>
        </w:tc>
      </w:tr>
      <w:tr>
        <w:tc>
          <w:tcPr>
            <w:shd w:val="clear" w:color="auto" w:fill="D3D3D3"/>
          </w:tcPr>
          <w:p>
            <w:pPr>
              <w:rPr>
                <w:lang w:val="nl-BE"/>
              </w:rPr>
            </w:pPr>
            <w:r>
              <w:rPr>
                <w:rStyle w:val="SegmentID"/>
                <w:lang w:val="nl-BE"/>
              </w:rPr>
              <w:t xml:space="preserve">68 a</w:t>
            </w:r>
            <w:r>
              <w:rPr>
                <w:rStyle w:val="TransUnitID"/>
                <w:lang w:val="nl-BE"/>
              </w:rPr>
              <w:t xml:space="preserve">fd5180e0-c4b5-4ca1-a3e7-741fc0319b51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voetgedeelte, omvattende een voetstuk en een voetstukbeugel,</w:t>
            </w:r>
          </w:p>
        </w:tc>
        <w:tc>
          <w:tcPr>
            <w:shd w:val="clear" w:color="auto" w:fill="D3D3D3"/>
          </w:tcPr>
          <w:p>
            <w:pPr>
              <w:rPr>
                <w:lang w:val="en-US"/>
              </w:rPr>
            </w:pPr>
            <w:r>
              <w:rPr>
                <w:lang w:val="en-US"/>
              </w:rPr>
              <w:t xml:space="preserve">a foot portion, comprising a foot member and a foot member bracket,</w:t>
            </w:r>
          </w:p>
        </w:tc>
      </w:tr>
      <w:tr>
        <w:tc>
          <w:tcPr>
            <w:shd w:val="clear" w:color="auto" w:fill="D3D3D3"/>
          </w:tcPr>
          <w:p>
            <w:pPr>
              <w:rPr>
                <w:lang w:val="nl-BE"/>
              </w:rPr>
            </w:pPr>
            <w:r>
              <w:rPr>
                <w:rStyle w:val="SegmentID"/>
                <w:lang w:val="nl-BE"/>
              </w:rPr>
              <w:t xml:space="preserve">68 b a</w:t>
            </w:r>
            <w:r>
              <w:rPr>
                <w:rStyle w:val="TransUnitID"/>
                <w:lang w:val="nl-BE"/>
              </w:rPr>
              <w:t xml:space="preserve">fd5180e0-c4b5-4ca1-a3e7-741fc0319b51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waarbij de voetstukbeugel verbonden is aan de lichaamsteunmatrasbeugel, en waarbij het voetstuk pivoteerbaar verbonden is aan de voetstukbeugel aan een pivotpunt aan een eerste uiteinde van het voetstuk,</w:t>
            </w:r>
          </w:p>
        </w:tc>
        <w:tc>
          <w:tcPr>
            <w:shd w:val="clear" w:color="auto" w:fill="D3D3D3"/>
          </w:tcPr>
          <w:p>
            <w:pPr>
              <w:rPr>
                <w:lang w:val="en-US"/>
              </w:rPr>
            </w:pPr>
            <w:r>
              <w:rPr>
                <w:lang w:val="en-US"/>
              </w:rPr>
              <w:t xml:space="preserve">wherein the foot member bracket is connected to the body support mattress bracket, and wherein the foot member is hingedly connected to the foot member bracket at a hinge point at a first end of the foot member,</w:t>
            </w:r>
          </w:p>
        </w:tc>
      </w:tr>
      <w:tr>
        <w:tc>
          <w:tcPr>
            <w:shd w:val="clear" w:color="auto" w:fill="D3D3D3"/>
          </w:tcPr>
          <w:p>
            <w:pPr>
              <w:rPr>
                <w:lang w:val="nl-BE"/>
              </w:rPr>
            </w:pPr>
            <w:r>
              <w:rPr>
                <w:rStyle w:val="SegmentID"/>
                <w:lang w:val="nl-BE"/>
              </w:rPr>
              <w:t xml:space="preserve">68 b b</w:t>
            </w:r>
            <w:r>
              <w:rPr>
                <w:rStyle w:val="TransUnitID"/>
                <w:lang w:val="nl-BE"/>
              </w:rPr>
              <w:t xml:space="preserve">fd5180e0-c4b5-4ca1-a3e7-741fc0319b51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waarbij het eerste uiteinde van het voetstuk tegenoverliggend is aan een tweede uiteinde van het voetstuk omvattend een voetsteun voor het rusten op een grondoppervlak in uiteengeklapte toestand van het geraamte;</w:t>
            </w:r>
          </w:p>
        </w:tc>
        <w:tc>
          <w:tcPr>
            <w:shd w:val="clear" w:color="auto" w:fill="D3D3D3"/>
          </w:tcPr>
          <w:p>
            <w:pPr>
              <w:rPr>
                <w:lang w:val="en-US"/>
              </w:rPr>
            </w:pPr>
            <w:r>
              <w:rPr>
                <w:lang w:val="en-US"/>
              </w:rPr>
              <w:t xml:space="preserve">wherein the first end of the foot member is opposed to a second end of the foot member comprising a footrest for resting on a ground surface in the unfolded state of the framework;</w:t>
            </w:r>
          </w:p>
        </w:tc>
      </w:tr>
      <w:tr>
        <w:tc>
          <w:tcPr>
            <w:shd w:val="clear" w:color="auto" w:fill="FFFFFF"/>
          </w:tcPr>
          <w:p>
            <w:pPr>
              <w:rPr>
                <w:lang w:val="nl-BE"/>
              </w:rPr>
            </w:pPr>
            <w:r>
              <w:rPr>
                <w:rStyle w:val="SegmentID"/>
                <w:lang w:val="nl-BE"/>
              </w:rPr>
              <w:t xml:space="preserve">69 a</w:t>
            </w:r>
            <w:r>
              <w:rPr>
                <w:rStyle w:val="TransUnitID"/>
                <w:lang w:val="nl-BE"/>
              </w:rPr>
              <w:t xml:space="preserve">9434467e-d496-4e22-92af-be0e6d149bba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synchronisatiekoppeling met een eerste uiteinde scharnierbaar verbonden met het voetstuk en met een tweede uiteinde scharnierbaar verbonden met de eerste lichaamsteunkoppeling,</w:t>
            </w:r>
          </w:p>
        </w:tc>
        <w:tc>
          <w:tcPr>
            <w:shd w:val="clear" w:color="auto" w:fill="FFFFFF"/>
          </w:tcPr>
          <w:p>
            <w:pPr>
              <w:rPr>
                <w:lang w:val="en-US"/>
              </w:rPr>
            </w:pPr>
            <w:r>
              <w:rPr>
                <w:lang w:val="en-US"/>
              </w:rPr>
              <w:t xml:space="preserve">a synchronization coupling having a first end hingedly connected to the foot member and with a second end hingedly connected to the first body support coupling,</w:t>
            </w:r>
          </w:p>
        </w:tc>
      </w:tr>
      <w:tr>
        <w:tc>
          <w:tcPr>
            <w:shd w:val="clear" w:color="auto" w:fill="FFFFFF"/>
          </w:tcPr>
          <w:p>
            <w:pPr>
              <w:rPr>
                <w:lang w:val="nl-BE"/>
              </w:rPr>
            </w:pPr>
            <w:r>
              <w:rPr>
                <w:rStyle w:val="SegmentID"/>
                <w:lang w:val="nl-BE"/>
              </w:rPr>
              <w:t xml:space="preserve">69 b a</w:t>
            </w:r>
            <w:r>
              <w:rPr>
                <w:rStyle w:val="TransUnitID"/>
                <w:lang w:val="nl-BE"/>
              </w:rPr>
              <w:t xml:space="preserve">9434467e-d496-4e22-92af-be0e6d149bba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de synchronisatiekoppeling verbonden is met het voetstuk via een tweede scharnierpunt aan het eerste uiteinde van het voetstuk,</w:t>
            </w:r>
          </w:p>
        </w:tc>
        <w:tc>
          <w:tcPr>
            <w:shd w:val="clear" w:color="auto" w:fill="FFFFFF"/>
          </w:tcPr>
          <w:p>
            <w:pPr>
              <w:rPr>
                <w:lang w:val="en-US"/>
              </w:rPr>
            </w:pPr>
            <w:r>
              <w:rPr>
                <w:lang w:val="en-US"/>
              </w:rPr>
              <w:t xml:space="preserve">wherein the synchronization coupling is connected to the foot member via a second hinge point at the first end of the foot member,</w:t>
            </w:r>
          </w:p>
        </w:tc>
      </w:tr>
      <w:tr>
        <w:tc>
          <w:tcPr>
            <w:shd w:val="clear" w:color="auto" w:fill="FFFFFF"/>
          </w:tcPr>
          <w:p>
            <w:pPr>
              <w:rPr>
                <w:lang w:val="nl-BE"/>
              </w:rPr>
            </w:pPr>
            <w:r>
              <w:rPr>
                <w:rStyle w:val="SegmentID"/>
                <w:lang w:val="nl-BE"/>
              </w:rPr>
              <w:t xml:space="preserve">69 b b</w:t>
            </w:r>
            <w:r>
              <w:rPr>
                <w:rStyle w:val="TransUnitID"/>
                <w:lang w:val="nl-BE"/>
              </w:rPr>
              <w:t xml:space="preserve">9434467e-d496-4e22-92af-be0e6d149bba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het tweede scharnierpunt meer distaal gepositioneerd is ten opzichte van de voetsteun dan het pivotpunt.</w:t>
            </w:r>
          </w:p>
        </w:tc>
        <w:tc>
          <w:tcPr>
            <w:shd w:val="clear" w:color="auto" w:fill="FFFFFF"/>
          </w:tcPr>
          <w:p>
            <w:pPr>
              <w:rPr>
                <w:lang w:val="en-US"/>
              </w:rPr>
            </w:pPr>
            <w:r>
              <w:rPr>
                <w:lang w:val="en-US"/>
              </w:rPr>
              <w:t xml:space="preserve">wherein the second hinge point is positioned more distally with respect to the footrest than the hinge point.</w:t>
            </w:r>
          </w:p>
        </w:tc>
      </w:tr>
      <w:tr>
        <w:tc>
          <w:tcPr>
            <w:shd w:val="clear" w:color="auto" w:fill="FFFFFF"/>
          </w:tcPr>
          <w:p>
            <w:pPr>
              <w:rPr>
                <w:lang w:val="nl-BE"/>
              </w:rPr>
            </w:pPr>
            <w:r>
              <w:rPr>
                <w:rStyle w:val="SegmentID"/>
                <w:lang w:val="nl-BE"/>
              </w:rPr>
              <w:t xml:space="preserve">70</w:t>
            </w:r>
            <w:r>
              <w:rPr>
                <w:rStyle w:val="TransUnitID"/>
                <w:lang w:val="nl-BE"/>
              </w:rPr>
              <w:t xml:space="preserve">f361040f-d94b-48fa-b94f-4d07df09a8ee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basisliggers zijn in essentie langwerpig, en dienen ter verankering van het geraamte aan een omkasting van het opklapmeubel, en zijn aan beide laterale zijden voorzien van het geraamte.</w:t>
            </w:r>
          </w:p>
        </w:tc>
        <w:tc>
          <w:tcPr>
            <w:shd w:val="clear" w:color="auto" w:fill="FFFFFF"/>
          </w:tcPr>
          <w:p>
            <w:pPr>
              <w:rPr>
                <w:lang w:val="en-US"/>
              </w:rPr>
            </w:pPr>
            <w:r>
              <w:rPr>
                <w:lang w:val="en-US"/>
              </w:rPr>
              <w:t xml:space="preserve">The base beams are essentially elongated and serve to anchor the framework to a housing of the piece of folding furniture, and are provided on both lateral sides of the framework.</w:t>
            </w:r>
          </w:p>
        </w:tc>
      </w:tr>
      <w:tr>
        <w:tc>
          <w:tcPr>
            <w:shd w:val="clear" w:color="auto" w:fill="FFFFFF"/>
          </w:tcPr>
          <w:p>
            <w:pPr>
              <w:rPr>
                <w:lang w:val="nl-BE"/>
              </w:rPr>
            </w:pPr>
            <w:r>
              <w:rPr>
                <w:rStyle w:val="SegmentID"/>
                <w:lang w:val="nl-BE"/>
              </w:rPr>
              <w:t xml:space="preserve">71</w:t>
            </w:r>
            <w:r>
              <w:rPr>
                <w:rStyle w:val="TransUnitID"/>
                <w:lang w:val="nl-BE"/>
              </w:rPr>
              <w:t xml:space="preserve">f361040f-d94b-48fa-b94f-4d07df09a8ee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worden ze, zoals te zien op de Figuren onder een lichte hoek vooruit gekanteld voorzien ten opzichte van het horizontale vlak, voor een betere krachtverdeling tijdens uit- en in klappen.</w:t>
            </w:r>
          </w:p>
        </w:tc>
        <w:tc>
          <w:tcPr>
            <w:shd w:val="clear" w:color="auto" w:fill="FFFFFF"/>
          </w:tcPr>
          <w:p>
            <w:pPr>
              <w:rPr>
                <w:lang w:val="en-US"/>
              </w:rPr>
            </w:pPr>
            <w:r>
              <w:rPr>
                <w:lang w:val="en-US"/>
              </w:rPr>
              <w:t xml:space="preserve">Preferably, as shown in the Figures, they are provided tilted forward at a slight angle relative to the horizontal plane, for better force distribution during folding and unfolding.</w:t>
            </w:r>
          </w:p>
        </w:tc>
      </w:tr>
      <w:tr>
        <w:tc>
          <w:tcPr>
            <w:shd w:val="clear" w:color="auto" w:fill="FFFFFF"/>
          </w:tcPr>
          <w:p>
            <w:pPr>
              <w:rPr>
                <w:lang w:val="nl-BE"/>
              </w:rPr>
            </w:pPr>
            <w:r>
              <w:rPr>
                <w:rStyle w:val="SegmentID"/>
                <w:lang w:val="nl-BE"/>
              </w:rPr>
              <w:t xml:space="preserve">72</w:t>
            </w:r>
            <w:r>
              <w:rPr>
                <w:rStyle w:val="TransUnitID"/>
                <w:lang w:val="nl-BE"/>
              </w:rPr>
              <w:t xml:space="preserve">09648927-c05d-4b2e-96f0-52d914f6fd6c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hoofdsteunmatrasbeugels en lichaamsteunmatrasbeugels zijn typisch ook langwerpig en aan beide kanten van het geraamte voorzien, en dienen om matraskaders vast te houden, ter ondersteuning van een matras, of rechtstreeks voor een matras zelf (bvb. boxspring).</w:t>
            </w:r>
          </w:p>
        </w:tc>
        <w:tc>
          <w:tcPr>
            <w:shd w:val="clear" w:color="auto" w:fill="FFFFFF"/>
          </w:tcPr>
          <w:p>
            <w:pPr>
              <w:rPr>
                <w:lang w:val="en-US"/>
              </w:rPr>
            </w:pPr>
            <w:r>
              <w:rPr>
                <w:lang w:val="en-US"/>
              </w:rPr>
              <w:t xml:space="preserve">The head support mattress brackets and body support mattress brackets are typically also elongated and provided on both sides of the framework, and serve to hold mattress frames, to support a mattress, or directly for a mattress itself (e.g., box spring).</w:t>
            </w:r>
          </w:p>
        </w:tc>
      </w:tr>
      <w:tr>
        <w:tc>
          <w:tcPr>
            <w:shd w:val="clear" w:color="auto" w:fill="FFFFFF"/>
          </w:tcPr>
          <w:p>
            <w:pPr>
              <w:rPr>
                <w:lang w:val="nl-BE"/>
              </w:rPr>
            </w:pPr>
            <w:r>
              <w:rPr>
                <w:rStyle w:val="SegmentID"/>
                <w:lang w:val="nl-BE"/>
              </w:rPr>
              <w:t xml:space="preserve">73</w:t>
            </w:r>
            <w:r>
              <w:rPr>
                <w:rStyle w:val="TransUnitID"/>
                <w:lang w:val="nl-BE"/>
              </w:rPr>
              <w:t xml:space="preserve">31c38190-e2c7-4ff7-b7a6-10c8437c6a8e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eerste en tweede hoofdsteunkoppelingen zorgen voor een eenvoudig verheffen van de hoofdsteunmatrasbeugels van een lagergelegen positie onder de basisliggers in ingeklapte toestand van het geraamte (zie Fig. 2 bvb.) naar een hogergelegen positie tijdens het uitklappen (zie Fig. 3 – 5 en Fig. 1 en 6 in uitgeklapte toestand).</w:t>
            </w:r>
          </w:p>
        </w:tc>
        <w:tc>
          <w:tcPr>
            <w:shd w:val="clear" w:color="auto" w:fill="FFFFFF"/>
          </w:tcPr>
          <w:p>
            <w:pPr>
              <w:rPr>
                <w:lang w:val="en-US"/>
              </w:rPr>
            </w:pPr>
            <w:r>
              <w:rPr>
                <w:lang w:val="en-US"/>
              </w:rPr>
              <w:t xml:space="preserve">The first and second head support couplings ensure a simple elevation of the head support mattress brackets from a lower position beneath the base beams in the folded state of the framework (see Fig. 2 for example) to a higher position during unfolding (see Fig. 3-5 and Fig. 1 and 6 in the unfolded state).</w:t>
            </w:r>
          </w:p>
        </w:tc>
      </w:tr>
      <w:tr>
        <w:tc>
          <w:tcPr>
            <w:shd w:val="clear" w:color="auto" w:fill="FFFFFF"/>
          </w:tcPr>
          <w:p>
            <w:pPr>
              <w:rPr>
                <w:lang w:val="nl-BE"/>
              </w:rPr>
            </w:pPr>
            <w:r>
              <w:rPr>
                <w:rStyle w:val="SegmentID"/>
                <w:lang w:val="nl-BE"/>
              </w:rPr>
              <w:t xml:space="preserve">77</w:t>
            </w:r>
            <w:r>
              <w:rPr>
                <w:rStyle w:val="TransUnitID"/>
                <w:lang w:val="nl-BE"/>
              </w:rPr>
              <w:t xml:space="preserve">8d16f99e-19fb-46b8-afa4-d232d09953d3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eerste en tweede lichaamsteunkoppelingen zorgen voor een eenvoudig verheffen en vooral verschuiven van de lichaamsteunbeugels van een positie net boven de basisliggers in ingeklapte toestand, naar een positie die in het verlengde ligt van de hoofdsteunmatrasbeugels in uitgeklapte toestand, dus enerzijds een verheffing maar voornamelijk een verschuiving langs de lengteas van het geraamte.</w:t>
            </w:r>
          </w:p>
        </w:tc>
        <w:tc>
          <w:tcPr>
            <w:shd w:val="clear" w:color="auto" w:fill="FFFFFF"/>
          </w:tcPr>
          <w:p>
            <w:pPr>
              <w:rPr>
                <w:lang w:val="en-US"/>
              </w:rPr>
            </w:pPr>
            <w:r>
              <w:rPr>
                <w:lang w:val="en-US"/>
              </w:rPr>
              <w:t xml:space="preserve">The first and second body support couplings enable a simple elevation and especially shifting of the body support brackets from a position just above the base beams when folded, to a position extending from the head support mattress brackets when unfolded, thus providing an elevation but primarily a shift along the longitudinal axis of the framework.</w:t>
            </w:r>
          </w:p>
        </w:tc>
      </w:tr>
      <w:tr>
        <w:tc>
          <w:tcPr>
            <w:shd w:val="clear" w:color="auto" w:fill="FFFFFF"/>
          </w:tcPr>
          <w:p>
            <w:pPr>
              <w:rPr>
                <w:lang w:val="nl-BE"/>
              </w:rPr>
            </w:pPr>
            <w:r>
              <w:rPr>
                <w:rStyle w:val="SegmentID"/>
                <w:lang w:val="nl-BE"/>
              </w:rPr>
              <w:t xml:space="preserve">78</w:t>
            </w:r>
            <w:r>
              <w:rPr>
                <w:rStyle w:val="TransUnitID"/>
                <w:lang w:val="nl-BE"/>
              </w:rPr>
              <w:t xml:space="preserve">57bf24ab-35d6-4969-a56b-1d5a44d5ad46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de lichaamsteunkoppelingen zoals aangegeven scharnierend te verbinden aan de basisliggers en de hoofdsteunmatrasbeugel, wordt deze dubbele beweging mogelijk gemaakt, zonder substantiële bijkomende inspanning.</w:t>
            </w:r>
          </w:p>
        </w:tc>
        <w:tc>
          <w:tcPr>
            <w:shd w:val="clear" w:color="auto" w:fill="FFFFFF"/>
          </w:tcPr>
          <w:p>
            <w:pPr>
              <w:rPr>
                <w:lang w:val="en-US"/>
              </w:rPr>
            </w:pPr>
            <w:r>
              <w:rPr>
                <w:lang w:val="en-US"/>
              </w:rPr>
              <w:t xml:space="preserve">By hingedly connecting the body support couplings to the base beams and the head support mattress bracket as indicated, this double movement is made possible without substantial additional effort.</w:t>
            </w:r>
          </w:p>
        </w:tc>
      </w:tr>
      <w:tr>
        <w:tc>
          <w:tcPr>
            <w:shd w:val="clear" w:color="auto" w:fill="FFFFFF"/>
          </w:tcPr>
          <w:p>
            <w:pPr>
              <w:rPr>
                <w:lang w:val="nl-BE"/>
              </w:rPr>
            </w:pPr>
            <w:r>
              <w:rPr>
                <w:rStyle w:val="SegmentID"/>
                <w:lang w:val="nl-BE"/>
              </w:rPr>
              <w:t xml:space="preserve">79</w:t>
            </w:r>
            <w:r>
              <w:rPr>
                <w:rStyle w:val="TransUnitID"/>
                <w:lang w:val="nl-BE"/>
              </w:rPr>
              <w:t xml:space="preserve">127f91af-6648-455f-89e2-a4256b25a5fa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synchronisatiekoppeling (en de configuratie van het voetgedeelte) ten slotte verzekert dat het voetgedeelte mee in- en uitklapt met de matrasbeugels.</w:t>
            </w:r>
          </w:p>
        </w:tc>
        <w:tc>
          <w:tcPr>
            <w:shd w:val="clear" w:color="auto" w:fill="FFFFFF"/>
          </w:tcPr>
          <w:p>
            <w:pPr>
              <w:rPr>
                <w:lang w:val="en-US"/>
              </w:rPr>
            </w:pPr>
            <w:r>
              <w:rPr>
                <w:lang w:val="en-US"/>
              </w:rPr>
              <w:t xml:space="preserve">Finally, the synchronization coupling (and the configuration of the foot portion) ensures that the foot portion folds in and out with the mattress brackets.</w:t>
            </w:r>
          </w:p>
        </w:tc>
      </w:tr>
      <w:tr>
        <w:tc>
          <w:tcPr>
            <w:shd w:val="clear" w:color="auto" w:fill="D3D3D3"/>
          </w:tcPr>
          <w:p>
            <w:pPr>
              <w:rPr>
                <w:lang w:val="nl-BE"/>
              </w:rPr>
            </w:pPr>
            <w:r>
              <w:rPr>
                <w:rStyle w:val="SegmentID"/>
                <w:lang w:val="nl-BE"/>
              </w:rPr>
              <w:t xml:space="preserve">80</w:t>
            </w:r>
            <w:r>
              <w:rPr>
                <w:rStyle w:val="TransUnitID"/>
                <w:lang w:val="nl-BE"/>
              </w:rPr>
              <w:t xml:space="preserve">df660958-d84e-436d-9f13-d75c795c542e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Op deze manier wordt een systeem voorzien dat in één beweging in- en uitklapt, door manipulatie van het meest distale gedeelte ten opzichte van de omkasting van het opklapmeubel, namelijk de lichaamsteunmatrasbeugel (of het matraskader daaraan/daarin voorzien).</w:t>
            </w:r>
          </w:p>
        </w:tc>
        <w:tc>
          <w:tcPr>
            <w:shd w:val="clear" w:color="auto" w:fill="D3D3D3"/>
          </w:tcPr>
          <w:p>
            <w:pPr>
              <w:rPr>
                <w:lang w:val="en-US"/>
              </w:rPr>
            </w:pPr>
            <w:r>
              <w:rPr>
                <w:lang w:val="en-US"/>
              </w:rPr>
              <w:t xml:space="preserve">In this way, a system is provided that folds in and out in one motion by manipulating the most distal part relative to the housing of the piece of folding furniture, namely the body support mattress bracket (or the mattress frame provided thereon/therein).</w:t>
            </w:r>
          </w:p>
        </w:tc>
      </w:tr>
      <w:tr>
        <w:tc>
          <w:tcPr>
            <w:shd w:val="clear" w:color="auto" w:fill="D3D3D3"/>
          </w:tcPr>
          <w:p>
            <w:pPr>
              <w:rPr>
                <w:lang w:val="nl-BE"/>
              </w:rPr>
            </w:pPr>
            <w:r>
              <w:rPr>
                <w:rStyle w:val="SegmentID"/>
                <w:lang w:val="nl-BE"/>
              </w:rPr>
              <w:t xml:space="preserve">81</w:t>
            </w:r>
            <w:r>
              <w:rPr>
                <w:rStyle w:val="TransUnitID"/>
                <w:lang w:val="nl-BE"/>
              </w:rPr>
              <w:t xml:space="preserve">df660958-d84e-436d-9f13-d75c795c542e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Hiermee klapt automatisch het voetgedeelte in of uit, en beweegt ook de hoofdsteunbeugel naar de ingeklapte of uitgeklapte positie.</w:t>
            </w:r>
          </w:p>
        </w:tc>
        <w:tc>
          <w:tcPr>
            <w:shd w:val="clear" w:color="auto" w:fill="D3D3D3"/>
          </w:tcPr>
          <w:p>
            <w:pPr>
              <w:rPr>
                <w:lang w:val="en-US"/>
              </w:rPr>
            </w:pPr>
            <w:r>
              <w:rPr>
                <w:lang w:val="en-US"/>
              </w:rPr>
              <w:t xml:space="preserve">With this, the foot portion automatically folds in or out, and the head support bracket also moves to the folded or unfolded position.</w:t>
            </w:r>
          </w:p>
        </w:tc>
      </w:tr>
      <w:tr>
        <w:tc>
          <w:tcPr>
            <w:shd w:val="clear" w:color="auto" w:fill="FFFFFF"/>
          </w:tcPr>
          <w:p>
            <w:pPr>
              <w:rPr>
                <w:lang w:val="nl-BE"/>
              </w:rPr>
            </w:pPr>
            <w:r>
              <w:rPr>
                <w:rStyle w:val="SegmentID"/>
                <w:lang w:val="nl-BE"/>
              </w:rPr>
              <w:t xml:space="preserve">82 a</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synchronisatiekoppeling verbonden aan het eerste uiteinde van de eerste lichaamsteunkoppeling op een eerste koppelpunt,</w:t>
            </w:r>
          </w:p>
        </w:tc>
        <w:tc>
          <w:tcPr>
            <w:shd w:val="clear" w:color="auto" w:fill="FFFFFF"/>
          </w:tcPr>
          <w:p>
            <w:pPr>
              <w:rPr>
                <w:lang w:val="en-US"/>
              </w:rPr>
            </w:pPr>
            <w:r>
              <w:rPr>
                <w:lang w:val="en-US"/>
              </w:rPr>
              <w:t xml:space="preserve">According to an embodiment, the synchronization coupling is connected to the first end of the first body support coupling at a first coupling point,</w:t>
            </w:r>
          </w:p>
        </w:tc>
      </w:tr>
      <w:tr>
        <w:tc>
          <w:tcPr>
            <w:shd w:val="clear" w:color="auto" w:fill="FFFFFF"/>
          </w:tcPr>
          <w:p>
            <w:pPr>
              <w:rPr>
                <w:lang w:val="nl-BE"/>
              </w:rPr>
            </w:pPr>
            <w:r>
              <w:rPr>
                <w:rStyle w:val="SegmentID"/>
                <w:lang w:val="nl-BE"/>
              </w:rPr>
              <w:t xml:space="preserve">82 b a</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de eerste lichaamsteunkoppeling is verbonden aan de lichaamsteunmatrasbeugel op een tweede koppelpunt,</w:t>
            </w:r>
          </w:p>
        </w:tc>
        <w:tc>
          <w:tcPr>
            <w:shd w:val="clear" w:color="auto" w:fill="FFFFFF"/>
          </w:tcPr>
          <w:p>
            <w:pPr>
              <w:rPr>
                <w:lang w:val="en-US"/>
              </w:rPr>
            </w:pPr>
            <w:r>
              <w:rPr>
                <w:lang w:val="en-US"/>
              </w:rPr>
              <w:t xml:space="preserve">wherein the first body support coupling is connected to the body support mattress bracket at a second coupling point,</w:t>
            </w:r>
          </w:p>
        </w:tc>
      </w:tr>
      <w:tr>
        <w:tc>
          <w:tcPr>
            <w:shd w:val="clear" w:color="auto" w:fill="FFFFFF"/>
          </w:tcPr>
          <w:p>
            <w:pPr>
              <w:rPr>
                <w:lang w:val="nl-BE"/>
              </w:rPr>
            </w:pPr>
            <w:r>
              <w:rPr>
                <w:rStyle w:val="SegmentID"/>
                <w:lang w:val="nl-BE"/>
              </w:rPr>
              <w:t xml:space="preserve">82 b b a</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het tweede koppelpunt meer extremaal naar het eerste uiteinde van de eerste lichaamsteunkoppeling gepositioneerd is dan het eerste koppelpunt,</w:t>
            </w:r>
          </w:p>
        </w:tc>
        <w:tc>
          <w:tcPr>
            <w:shd w:val="clear" w:color="auto" w:fill="FFFFFF"/>
          </w:tcPr>
          <w:p>
            <w:pPr>
              <w:rPr>
                <w:lang w:val="en-US"/>
              </w:rPr>
            </w:pPr>
            <w:r>
              <w:rPr>
                <w:lang w:val="en-US"/>
              </w:rPr>
              <w:t xml:space="preserve">wherein the second coupling point is positioned more extremely toward the first end of the first body support coupling than the first coupling point,</w:t>
            </w:r>
          </w:p>
        </w:tc>
      </w:tr>
      <w:tr>
        <w:tc>
          <w:tcPr>
            <w:shd w:val="clear" w:color="auto" w:fill="FFFFFF"/>
          </w:tcPr>
          <w:p>
            <w:pPr>
              <w:rPr>
                <w:lang w:val="nl-BE"/>
              </w:rPr>
            </w:pPr>
            <w:r>
              <w:rPr>
                <w:rStyle w:val="SegmentID"/>
                <w:lang w:val="nl-BE"/>
              </w:rPr>
              <w:t xml:space="preserve">82 b b b</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en waarbij het eerste koppelpunt zich off-axis bevindt ten opzichte van het tweede koppelpunt en het eerste scharnierpunt.</w:t>
            </w:r>
          </w:p>
        </w:tc>
        <w:tc>
          <w:tcPr>
            <w:shd w:val="clear" w:color="auto" w:fill="FFFFFF"/>
          </w:tcPr>
          <w:p>
            <w:pPr>
              <w:rPr>
                <w:lang w:val="en-US"/>
              </w:rPr>
            </w:pPr>
            <w:r>
              <w:rPr>
                <w:lang w:val="en-US"/>
              </w:rPr>
              <w:t xml:space="preserve">and wherein the first coupling point is located off-axis with respect to the second coupling point and the first hinge point.</w:t>
            </w:r>
          </w:p>
        </w:tc>
      </w:tr>
      <w:tr>
        <w:tc>
          <w:tcPr>
            <w:shd w:val="clear" w:color="auto" w:fill="FFFFFF"/>
          </w:tcPr>
          <w:p>
            <w:pPr>
              <w:rPr>
                <w:lang w:val="nl-BE"/>
              </w:rPr>
            </w:pPr>
            <w:r>
              <w:rPr>
                <w:rStyle w:val="SegmentID"/>
                <w:lang w:val="nl-BE"/>
              </w:rPr>
              <w:t xml:space="preserve">83</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bevinden het tweede koppelpunt en het eerste koppelpunt zich in een middenstuk van de lichaamsteunmatrasbeugel, waarbij het middenstuk een centrale zone betreft die zich over maximaal 40%, bij voorkeur maximaal 30% en bij verdere voorkeur maximaal 25% uitstrekt rond het middelpunt van de lichaamsteunmatrasbeugel.</w:t>
            </w:r>
          </w:p>
        </w:tc>
        <w:tc>
          <w:tcPr>
            <w:shd w:val="clear" w:color="auto" w:fill="FFFFFF"/>
          </w:tcPr>
          <w:p>
            <w:pPr>
              <w:rPr>
                <w:lang w:val="en-US"/>
              </w:rPr>
            </w:pPr>
            <w:r>
              <w:rPr>
                <w:lang w:val="en-US"/>
              </w:rPr>
              <w:t xml:space="preserve">Preferably, the second coupling point and the first coupling point are located in a middle section of the body support mattress bracket, wherein the middle section pertains to a central zone that extends over a maximum of 40%, preferably a maximum of 30%, and more preferably a maximum of 25% around the midpoint of the body support mattress bracket.</w:t>
            </w:r>
          </w:p>
        </w:tc>
      </w:tr>
      <w:tr>
        <w:tc>
          <w:tcPr>
            <w:shd w:val="clear" w:color="auto" w:fill="FFFFFF"/>
          </w:tcPr>
          <w:p>
            <w:pPr>
              <w:rPr>
                <w:lang w:val="nl-BE"/>
              </w:rPr>
            </w:pPr>
            <w:r>
              <w:rPr>
                <w:rStyle w:val="SegmentID"/>
                <w:lang w:val="nl-BE"/>
              </w:rPr>
              <w:t xml:space="preserve">84</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bevinden de eerste en tweede koppelpunten zich aan het einde van het middenstuk meest proximaal aan het hoofdeinde van het geraamte (het einde van het middenstuk dat proximaal ligt aan de hoofdsteunmatrasbeugel in uitgeklapte toestand).</w:t>
            </w:r>
          </w:p>
        </w:tc>
        <w:tc>
          <w:tcPr>
            <w:shd w:val="clear" w:color="auto" w:fill="FFFFFF"/>
          </w:tcPr>
          <w:p>
            <w:pPr>
              <w:rPr>
                <w:lang w:val="en-US"/>
              </w:rPr>
            </w:pPr>
            <w:r>
              <w:rPr>
                <w:lang w:val="en-US"/>
              </w:rPr>
              <w:t xml:space="preserve">Here, the first and second coupling points are located at the end of the middle section most proximal to the head end of the framework (the end of the middle section that is proximal to the head support mattress bracket in the unfolded state).</w:t>
            </w:r>
          </w:p>
        </w:tc>
      </w:tr>
      <w:tr>
        <w:tc>
          <w:tcPr>
            <w:shd w:val="clear" w:color="auto" w:fill="FFFFFF"/>
          </w:tcPr>
          <w:p>
            <w:pPr>
              <w:rPr>
                <w:lang w:val="nl-BE"/>
              </w:rPr>
            </w:pPr>
            <w:r>
              <w:rPr>
                <w:rStyle w:val="SegmentID"/>
                <w:lang w:val="nl-BE"/>
              </w:rPr>
              <w:t xml:space="preserve">85</w:t>
            </w:r>
            <w:r>
              <w:rPr>
                <w:rStyle w:val="TransUnitID"/>
                <w:lang w:val="nl-BE"/>
              </w:rPr>
              <w:t xml:space="preserve">295544e7-3d5c-41a6-b64e-57229b1dd18c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Bovenstaande configuratie zorgt voor een eenvoudige krachtoverdracht, en daarmee aandrijving/beweging, tussen de steunmatrasbeugels (lichaam en hoofd).</w:t>
            </w:r>
          </w:p>
        </w:tc>
        <w:tc>
          <w:tcPr>
            <w:shd w:val="clear" w:color="auto" w:fill="FFFFFF"/>
          </w:tcPr>
          <w:p>
            <w:pPr>
              <w:rPr>
                <w:lang w:val="en-US"/>
              </w:rPr>
            </w:pPr>
            <w:r>
              <w:rPr>
                <w:lang w:val="en-US"/>
              </w:rPr>
              <w:t xml:space="preserve">The above configuration ensures a simple power transmission, and thereby driving/movement, between the support mattress brackets (body and head).</w:t>
            </w:r>
          </w:p>
        </w:tc>
      </w:tr>
      <w:tr>
        <w:tc>
          <w:tcPr>
            <w:shd w:val="clear" w:color="auto" w:fill="FFFFFF"/>
          </w:tcPr>
          <w:p>
            <w:pPr>
              <w:rPr>
                <w:lang w:val="nl-BE"/>
              </w:rPr>
            </w:pPr>
            <w:r>
              <w:rPr>
                <w:rStyle w:val="SegmentID"/>
                <w:lang w:val="nl-BE"/>
              </w:rPr>
              <w:t xml:space="preserve">86</w:t>
            </w:r>
            <w:r>
              <w:rPr>
                <w:rStyle w:val="TransUnitID"/>
                <w:lang w:val="nl-BE"/>
              </w:rPr>
              <w:t xml:space="preserve">295544e7-3d5c-41a6-b64e-57229b1dd18c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de eerste lichaamsteunkoppeling bovendien niet te ver op de lichaamsteunmatrasbeugel te voorzien, wordt de lastarm kort genoeg gehouden dat er verzekerd wordt dat de belasting hierop niet te groot wordt, en deze niet riskeert te buigen of vervormen, maar ook dat de kracht nodig voor het uitklappen, haalbaar blijft voor de meeste gebruikers.</w:t>
            </w:r>
          </w:p>
        </w:tc>
        <w:tc>
          <w:tcPr>
            <w:shd w:val="clear" w:color="auto" w:fill="FFFFFF"/>
          </w:tcPr>
          <w:p>
            <w:pPr>
              <w:rPr>
                <w:lang w:val="en-US"/>
              </w:rPr>
            </w:pPr>
            <w:r>
              <w:rPr>
                <w:lang w:val="en-US"/>
              </w:rPr>
              <w:t xml:space="preserve">By not positioning the first body support coupling too far on the body support mattress bracket, the load arm is kept short enough to ensure that the load on it does not become too great, and it does not risk bending or deforming, while also ensuring that the force required for unfolding remains manageable for most users.</w:t>
            </w:r>
          </w:p>
        </w:tc>
      </w:tr>
      <w:tr>
        <w:tc>
          <w:tcPr>
            <w:shd w:val="clear" w:color="auto" w:fill="FFFFFF"/>
          </w:tcPr>
          <w:p>
            <w:pPr>
              <w:rPr>
                <w:lang w:val="nl-BE"/>
              </w:rPr>
            </w:pPr>
            <w:r>
              <w:rPr>
                <w:rStyle w:val="SegmentID"/>
                <w:lang w:val="nl-BE"/>
              </w:rPr>
              <w:t xml:space="preserve">87</w:t>
            </w:r>
            <w:r>
              <w:rPr>
                <w:rStyle w:val="TransUnitID"/>
                <w:lang w:val="nl-BE"/>
              </w:rPr>
              <w:t xml:space="preserve">a872c9e1-e37d-4aa2-81d0-42acc19e4aad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voetbeugel en het voetstuk pivoteerbaar verbonden via het pivotpunt en via een pen-in-groef mechanisme, omvattende een pen op één van de voetbeugel of het voetstuk, en een groef op de ander van het voetstuk of de voetbeugel, waarbij de groef de vorm van een cirkelboog heeft en waarbij de pen zich doorheen de groef uitsteekt en loodrecht op het vlak van de groef staat.</w:t>
            </w:r>
          </w:p>
        </w:tc>
        <w:tc>
          <w:tcPr>
            <w:shd w:val="clear" w:color="auto" w:fill="FFFFFF"/>
          </w:tcPr>
          <w:p>
            <w:pPr>
              <w:rPr>
                <w:lang w:val="en-US"/>
              </w:rPr>
            </w:pPr>
            <w:r>
              <w:rPr>
                <w:lang w:val="en-US"/>
              </w:rPr>
              <w:t xml:space="preserve">According to an embodiment, the foot bracket and the foot member are hingedly connected via the hinge point and via a pin-in-groove mechanism, comprising a pin on one of the foot bracket or the foot member, and a groove on the other of the foot member or the foot bracket, wherein the groove has the shape of a circular arc and wherein the pin extends through the groove and stands perpendicular to the plane of the groove.</w:t>
            </w:r>
          </w:p>
        </w:tc>
      </w:tr>
      <w:tr>
        <w:tc>
          <w:tcPr>
            <w:shd w:val="clear" w:color="auto" w:fill="FFFFFF"/>
          </w:tcPr>
          <w:p>
            <w:pPr>
              <w:rPr>
                <w:lang w:val="nl-BE"/>
              </w:rPr>
            </w:pPr>
            <w:r>
              <w:rPr>
                <w:rStyle w:val="SegmentID"/>
                <w:lang w:val="nl-BE"/>
              </w:rPr>
              <w:t xml:space="preserve">88</w:t>
            </w:r>
            <w:r>
              <w:rPr>
                <w:rStyle w:val="TransUnitID"/>
                <w:lang w:val="nl-BE"/>
              </w:rPr>
              <w:t xml:space="preserve">a872c9e1-e37d-4aa2-81d0-42acc19e4aad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cirkelboog is deel van een cirkel met als middelpunt het pivotpunt.</w:t>
            </w:r>
          </w:p>
        </w:tc>
        <w:tc>
          <w:tcPr>
            <w:shd w:val="clear" w:color="auto" w:fill="FFFFFF"/>
          </w:tcPr>
          <w:p>
            <w:pPr>
              <w:rPr>
                <w:lang w:val="en-US"/>
              </w:rPr>
            </w:pPr>
            <w:r>
              <w:rPr>
                <w:lang w:val="en-US"/>
              </w:rPr>
              <w:t xml:space="preserve">The circular arc is part of a circle with as its midpoint the hinge point.</w:t>
            </w:r>
          </w:p>
        </w:tc>
      </w:tr>
      <w:tr>
        <w:tc>
          <w:tcPr>
            <w:shd w:val="clear" w:color="auto" w:fill="FFFFFF"/>
          </w:tcPr>
          <w:p>
            <w:pPr>
              <w:rPr>
                <w:lang w:val="nl-BE"/>
              </w:rPr>
            </w:pPr>
            <w:r>
              <w:rPr>
                <w:rStyle w:val="SegmentID"/>
                <w:lang w:val="nl-BE"/>
              </w:rPr>
              <w:t xml:space="preserve">89</w:t>
            </w:r>
            <w:r>
              <w:rPr>
                <w:rStyle w:val="TransUnitID"/>
                <w:lang w:val="nl-BE"/>
              </w:rPr>
              <w:t xml:space="preserve">e6d19d21-8b51-44ff-995a-1d97c0ea8559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staat de pen op de voetbeugel, en zit de groef op de het voetstuk, wat een eenvoudigere constructie toelaat die geen impact heeft op andere onderdelen.</w:t>
            </w:r>
          </w:p>
        </w:tc>
        <w:tc>
          <w:tcPr>
            <w:shd w:val="clear" w:color="auto" w:fill="FFFFFF"/>
          </w:tcPr>
          <w:p>
            <w:pPr>
              <w:rPr>
                <w:lang w:val="en-US"/>
              </w:rPr>
            </w:pPr>
            <w:r>
              <w:rPr>
                <w:lang w:val="en-US"/>
              </w:rPr>
              <w:t xml:space="preserve">Preferably, the pin is on the foot bracket, and the groove is on the foot member, which allows for a simpler construction that does not impact other parts.</w:t>
            </w:r>
          </w:p>
        </w:tc>
      </w:tr>
      <w:tr>
        <w:tc>
          <w:tcPr>
            <w:shd w:val="clear" w:color="auto" w:fill="FFFFFF"/>
          </w:tcPr>
          <w:p>
            <w:pPr>
              <w:rPr>
                <w:lang w:val="nl-BE"/>
              </w:rPr>
            </w:pPr>
            <w:r>
              <w:rPr>
                <w:rStyle w:val="SegmentID"/>
                <w:lang w:val="nl-BE"/>
              </w:rPr>
              <w:t xml:space="preserve">90</w:t>
            </w:r>
            <w:r>
              <w:rPr>
                <w:rStyle w:val="TransUnitID"/>
                <w:lang w:val="nl-BE"/>
              </w:rPr>
              <w:t xml:space="preserve">fa00267b-572c-4ea2-9bd0-4a727e407af9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dergelijk mechanisme vereenvoudigt de beweging en voorziet ook grenzen, zodat een overrotatie of vervorming niet meer mogelijk wordt.</w:t>
            </w:r>
          </w:p>
        </w:tc>
        <w:tc>
          <w:tcPr>
            <w:shd w:val="clear" w:color="auto" w:fill="FFFFFF"/>
          </w:tcPr>
          <w:p>
            <w:pPr>
              <w:rPr>
                <w:lang w:val="en-US"/>
              </w:rPr>
            </w:pPr>
            <w:r>
              <w:rPr>
                <w:lang w:val="en-US"/>
              </w:rPr>
              <w:t xml:space="preserve">Such a mechanism simplifies the movement and also provides limits, so that over-rotation or deformation is no longer possible.</w:t>
            </w:r>
          </w:p>
        </w:tc>
      </w:tr>
      <w:tr>
        <w:tc>
          <w:tcPr>
            <w:shd w:val="clear" w:color="auto" w:fill="FFFFFF"/>
          </w:tcPr>
          <w:p>
            <w:pPr>
              <w:rPr>
                <w:lang w:val="nl-BE"/>
              </w:rPr>
            </w:pPr>
            <w:r>
              <w:rPr>
                <w:rStyle w:val="SegmentID"/>
                <w:lang w:val="nl-BE"/>
              </w:rPr>
              <w:t xml:space="preserve">91</w:t>
            </w:r>
            <w:r>
              <w:rPr>
                <w:rStyle w:val="TransUnitID"/>
                <w:lang w:val="nl-BE"/>
              </w:rPr>
              <w:t xml:space="preserve">fa00267b-572c-4ea2-9bd0-4a727e407af9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Bovendien wordt de beweging begeleid, zodat beschadiging van onderdelen quasi onmogelijk wordt.</w:t>
            </w:r>
          </w:p>
        </w:tc>
        <w:tc>
          <w:tcPr>
            <w:shd w:val="clear" w:color="auto" w:fill="FFFFFF"/>
          </w:tcPr>
          <w:p>
            <w:pPr>
              <w:rPr>
                <w:lang w:val="en-US"/>
              </w:rPr>
            </w:pPr>
            <w:r>
              <w:rPr>
                <w:lang w:val="en-US"/>
              </w:rPr>
              <w:t xml:space="preserve">Moreover, the movement is guided, so that damage to parts is virtually impossible.</w:t>
            </w:r>
          </w:p>
        </w:tc>
      </w:tr>
      <w:tr>
        <w:tc>
          <w:tcPr>
            <w:shd w:val="clear" w:color="auto" w:fill="FFFFFF"/>
          </w:tcPr>
          <w:p>
            <w:pPr>
              <w:rPr>
                <w:lang w:val="nl-BE"/>
              </w:rPr>
            </w:pPr>
            <w:r>
              <w:rPr>
                <w:rStyle w:val="SegmentID"/>
                <w:lang w:val="nl-BE"/>
              </w:rPr>
              <w:t xml:space="preserve">92</w:t>
            </w:r>
            <w:r>
              <w:rPr>
                <w:rStyle w:val="TransUnitID"/>
                <w:lang w:val="nl-BE"/>
              </w:rPr>
              <w:t xml:space="preserve">fa00267b-572c-4ea2-9bd0-4a727e407af9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de verbindingen tussen de voetbeugel, het voetstuk, de lichaamsteunmatrasbeugel en de synchronisatiekoppeling, wordt ook verzekerd dat andere mechanismen niet voorbij bepaalde posities kunnen roteren.</w:t>
            </w:r>
          </w:p>
        </w:tc>
        <w:tc>
          <w:tcPr>
            <w:shd w:val="clear" w:color="auto" w:fill="FFFFFF"/>
          </w:tcPr>
          <w:p>
            <w:pPr>
              <w:rPr>
                <w:lang w:val="en-US"/>
              </w:rPr>
            </w:pPr>
            <w:r>
              <w:rPr>
                <w:lang w:val="en-US"/>
              </w:rPr>
              <w:t xml:space="preserve">Due to the connections between the foot bracket, the foot member, the body support mattress bracket, and the synchronization coupling, it is also ensured that other mechanisms cannot rotate beyond certain positions.</w:t>
            </w:r>
          </w:p>
        </w:tc>
      </w:tr>
      <w:tr>
        <w:tc>
          <w:tcPr>
            <w:shd w:val="clear" w:color="auto" w:fill="FFFFFF"/>
          </w:tcPr>
          <w:p>
            <w:pPr>
              <w:rPr>
                <w:lang w:val="nl-BE"/>
              </w:rPr>
            </w:pPr>
            <w:r>
              <w:rPr>
                <w:rStyle w:val="SegmentID"/>
                <w:lang w:val="nl-BE"/>
              </w:rPr>
              <w:t xml:space="preserve">93</w:t>
            </w:r>
            <w:r>
              <w:rPr>
                <w:rStyle w:val="TransUnitID"/>
                <w:lang w:val="nl-BE"/>
              </w:rPr>
              <w:t xml:space="preserve">e43d66aa-cb95-4614-8742-4e2b69c73cf1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tweede hoofdsteunkoppeling en de hoofdsteunmatrasbeugel scharnierbaar verbonden in een achtste scharnierpunt, waarbij het achtste scharnierpunt en het eerste scharnierpunt eenzelfde scharnierpunt zijn.</w:t>
            </w:r>
          </w:p>
        </w:tc>
        <w:tc>
          <w:tcPr>
            <w:shd w:val="clear" w:color="auto" w:fill="FFFFFF"/>
          </w:tcPr>
          <w:p>
            <w:pPr>
              <w:rPr>
                <w:lang w:val="en-US"/>
              </w:rPr>
            </w:pPr>
            <w:r>
              <w:rPr>
                <w:lang w:val="en-US"/>
              </w:rPr>
              <w:t xml:space="preserve">According to an embodiment, the second head support coupling and the head support mattress bracket are hingedly connected at an eighth hinge point, wherein the eighth hinge point and the first hinge point are the same hinge point.</w:t>
            </w:r>
          </w:p>
        </w:tc>
      </w:tr>
      <w:tr>
        <w:tc>
          <w:tcPr>
            <w:shd w:val="clear" w:color="auto" w:fill="FFFFFF"/>
          </w:tcPr>
          <w:p>
            <w:pPr>
              <w:rPr>
                <w:lang w:val="nl-BE"/>
              </w:rPr>
            </w:pPr>
            <w:r>
              <w:rPr>
                <w:rStyle w:val="SegmentID"/>
                <w:lang w:val="nl-BE"/>
              </w:rPr>
              <w:t xml:space="preserve">94</w:t>
            </w:r>
            <w:r>
              <w:rPr>
                <w:rStyle w:val="TransUnitID"/>
                <w:lang w:val="nl-BE"/>
              </w:rPr>
              <w:t xml:space="preserve">9c45a08b-cd2f-481b-99a1-7e02a200baa3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tweede hoofdsteunkoppeling en de eerste lichaamsteunkoppeling star verbonden via één of meer koppelingsfixatiepunten.</w:t>
            </w:r>
          </w:p>
        </w:tc>
        <w:tc>
          <w:tcPr>
            <w:shd w:val="clear" w:color="auto" w:fill="FFFFFF"/>
          </w:tcPr>
          <w:p>
            <w:pPr>
              <w:rPr>
                <w:lang w:val="en-US"/>
              </w:rPr>
            </w:pPr>
            <w:r>
              <w:rPr>
                <w:lang w:val="en-US"/>
              </w:rPr>
              <w:t xml:space="preserve">According to an embodiment, the second head support coupling and the first body support coupling are rigidly joined via one or more coupling fixing points.</w:t>
            </w:r>
          </w:p>
        </w:tc>
      </w:tr>
      <w:tr>
        <w:tc>
          <w:tcPr>
            <w:shd w:val="clear" w:color="auto" w:fill="FFFFFF"/>
          </w:tcPr>
          <w:p>
            <w:pPr>
              <w:rPr>
                <w:lang w:val="nl-BE"/>
              </w:rPr>
            </w:pPr>
            <w:r>
              <w:rPr>
                <w:rStyle w:val="SegmentID"/>
                <w:lang w:val="nl-BE"/>
              </w:rPr>
              <w:t xml:space="preserve">95</w:t>
            </w:r>
            <w:r>
              <w:rPr>
                <w:rStyle w:val="TransUnitID"/>
                <w:lang w:val="nl-BE"/>
              </w:rPr>
              <w:t xml:space="preserve">9c45a08b-cd2f-481b-99a1-7e02a200baa3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is één van de koppelingsfixatiepunten het eerste scharnierpunt.</w:t>
            </w:r>
          </w:p>
        </w:tc>
        <w:tc>
          <w:tcPr>
            <w:shd w:val="clear" w:color="auto" w:fill="FFFFFF"/>
          </w:tcPr>
          <w:p>
            <w:pPr>
              <w:rPr>
                <w:lang w:val="en-US"/>
              </w:rPr>
            </w:pPr>
            <w:r>
              <w:rPr>
                <w:lang w:val="en-US"/>
              </w:rPr>
              <w:t xml:space="preserve">Preferably, one of the coupling fixing points is the first hinge point.</w:t>
            </w:r>
          </w:p>
        </w:tc>
      </w:tr>
      <w:tr>
        <w:tc>
          <w:tcPr>
            <w:shd w:val="clear" w:color="auto" w:fill="FFFFFF"/>
          </w:tcPr>
          <w:p>
            <w:pPr>
              <w:rPr>
                <w:lang w:val="nl-BE"/>
              </w:rPr>
            </w:pPr>
            <w:r>
              <w:rPr>
                <w:rStyle w:val="SegmentID"/>
                <w:lang w:val="nl-BE"/>
              </w:rPr>
              <w:t xml:space="preserve">96</w:t>
            </w:r>
            <w:r>
              <w:rPr>
                <w:rStyle w:val="TransUnitID"/>
                <w:lang w:val="nl-BE"/>
              </w:rPr>
              <w:t xml:space="preserve">9c45a08b-cd2f-481b-99a1-7e02a200baa3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deze manier kan met één koppeling, meerdere mechanismen aangedreven worden, en is de synchronisatie tussen de afzonderlijke elementen optimaal, zodat er geen meerdere afzonderlijke belastingspunten of weerstanden ervaren worden bij het in- of uitklappen.</w:t>
            </w:r>
          </w:p>
        </w:tc>
        <w:tc>
          <w:tcPr>
            <w:shd w:val="clear" w:color="auto" w:fill="FFFFFF"/>
          </w:tcPr>
          <w:p>
            <w:pPr>
              <w:rPr>
                <w:lang w:val="en-US"/>
              </w:rPr>
            </w:pPr>
            <w:r>
              <w:rPr>
                <w:lang w:val="en-US"/>
              </w:rPr>
              <w:t xml:space="preserve">In this way, with one coupling, multiple mechanisms can be driven, and the synchronization between the individual elements is optimal so that no multiple separate load points or resistances are experienced when folding or unfolding.</w:t>
            </w:r>
          </w:p>
        </w:tc>
      </w:tr>
      <w:tr>
        <w:tc>
          <w:tcPr>
            <w:shd w:val="clear" w:color="auto" w:fill="FFFFFF"/>
          </w:tcPr>
          <w:p>
            <w:pPr>
              <w:rPr>
                <w:lang w:val="nl-BE"/>
              </w:rPr>
            </w:pPr>
            <w:r>
              <w:rPr>
                <w:rStyle w:val="SegmentID"/>
                <w:lang w:val="nl-BE"/>
              </w:rPr>
              <w:t xml:space="preserve">97</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eerste hoofdsteunkoppeling scharnierbaar verbonden met de basisliggers via een derde scharnierpunt.</w:t>
            </w:r>
          </w:p>
        </w:tc>
        <w:tc>
          <w:tcPr>
            <w:shd w:val="clear" w:color="auto" w:fill="FFFFFF"/>
          </w:tcPr>
          <w:p>
            <w:pPr>
              <w:rPr>
                <w:lang w:val="en-US"/>
              </w:rPr>
            </w:pPr>
            <w:r>
              <w:rPr>
                <w:lang w:val="en-US"/>
              </w:rPr>
              <w:t xml:space="preserve">According to an embodiment, the first head support coupling is hingedly connected with the base beams via a third hinge point.</w:t>
            </w:r>
          </w:p>
        </w:tc>
      </w:tr>
      <w:tr>
        <w:tc>
          <w:tcPr>
            <w:shd w:val="clear" w:color="auto" w:fill="FFFFFF"/>
          </w:tcPr>
          <w:p>
            <w:pPr>
              <w:rPr>
                <w:lang w:val="nl-BE"/>
              </w:rPr>
            </w:pPr>
            <w:r>
              <w:rPr>
                <w:rStyle w:val="SegmentID"/>
                <w:lang w:val="nl-BE"/>
              </w:rPr>
              <w:t xml:space="preserve">98</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is het derde scharnierpunt gepositioneerd aan een eerste uiteinde van de basisliggers, en is de eerste hoofdsteunkoppeling scharnierbaar verbonden met de hoofdsteunmatrasbeugel via een vierde scharnierpunt.</w:t>
            </w:r>
          </w:p>
        </w:tc>
        <w:tc>
          <w:tcPr>
            <w:shd w:val="clear" w:color="auto" w:fill="FFFFFF"/>
          </w:tcPr>
          <w:p>
            <w:pPr>
              <w:rPr>
                <w:lang w:val="en-US"/>
              </w:rPr>
            </w:pPr>
            <w:r>
              <w:rPr>
                <w:lang w:val="en-US"/>
              </w:rPr>
              <w:t xml:space="preserve">Herein, the third hinge point is positioned at the first end of the base beams, and the first head support coupling is hingedly connected to the head support mattress bracket via a fourth hinge point.</w:t>
            </w:r>
          </w:p>
        </w:tc>
      </w:tr>
      <w:tr>
        <w:tc>
          <w:tcPr>
            <w:shd w:val="clear" w:color="auto" w:fill="FFFFFF"/>
          </w:tcPr>
          <w:p>
            <w:pPr>
              <w:rPr>
                <w:lang w:val="nl-BE"/>
              </w:rPr>
            </w:pPr>
            <w:r>
              <w:rPr>
                <w:rStyle w:val="SegmentID"/>
                <w:lang w:val="nl-BE"/>
              </w:rPr>
              <w:t xml:space="preserve">99</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vierde scharnierpunt is gepositioneerd aan een eerste uiteinde van de hoofdsteunmatrasbeugel.</w:t>
            </w:r>
          </w:p>
        </w:tc>
        <w:tc>
          <w:tcPr>
            <w:shd w:val="clear" w:color="auto" w:fill="FFFFFF"/>
          </w:tcPr>
          <w:p>
            <w:pPr>
              <w:rPr>
                <w:lang w:val="en-US"/>
              </w:rPr>
            </w:pPr>
            <w:r>
              <w:rPr>
                <w:lang w:val="en-US"/>
              </w:rPr>
              <w:t xml:space="preserve">The fourth hinge point is positioned at the first end of the head support mattress bracket.</w:t>
            </w:r>
          </w:p>
        </w:tc>
      </w:tr>
      <w:tr>
        <w:tc>
          <w:tcPr>
            <w:shd w:val="clear" w:color="auto" w:fill="FFFFFF"/>
          </w:tcPr>
          <w:p>
            <w:pPr>
              <w:rPr>
                <w:lang w:val="nl-BE"/>
              </w:rPr>
            </w:pPr>
            <w:r>
              <w:rPr>
                <w:rStyle w:val="SegmentID"/>
                <w:lang w:val="nl-BE"/>
              </w:rPr>
              <w:t xml:space="preserve">100</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genoemde eerste uiteinden van de basisliggers en de hoofdsteunmatrasbeugel bevinden zich distaal ten opzichte van de lichaamsteunmatrasbeugel in uitgeklapte toestand van het geraamte.</w:t>
            </w:r>
          </w:p>
        </w:tc>
        <w:tc>
          <w:tcPr>
            <w:shd w:val="clear" w:color="auto" w:fill="FFFFFF"/>
          </w:tcPr>
          <w:p>
            <w:pPr>
              <w:rPr>
                <w:lang w:val="en-US"/>
              </w:rPr>
            </w:pPr>
            <w:r>
              <w:rPr>
                <w:lang w:val="en-US"/>
              </w:rPr>
              <w:t xml:space="preserve">The mentioned first ends of the base beams and the head support mattress bracket are located distally relative to the body support mattress bracket in the unfolded state of the framework.</w:t>
            </w:r>
          </w:p>
        </w:tc>
      </w:tr>
      <w:tr>
        <w:tc>
          <w:tcPr>
            <w:shd w:val="clear" w:color="auto" w:fill="FFFFFF"/>
          </w:tcPr>
          <w:p>
            <w:pPr>
              <w:rPr>
                <w:lang w:val="nl-BE"/>
              </w:rPr>
            </w:pPr>
            <w:r>
              <w:rPr>
                <w:rStyle w:val="SegmentID"/>
                <w:lang w:val="nl-BE"/>
              </w:rPr>
              <w:t xml:space="preserve">101 a</w:t>
            </w:r>
            <w:r>
              <w:rPr>
                <w:rStyle w:val="TransUnitID"/>
                <w:lang w:val="nl-BE"/>
              </w:rPr>
              <w:t xml:space="preserve">6bb7dc45-fef4-4577-87d8-097edec83ede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tweede hoofdsteunkoppeling scharnierbaar verbonden met de basisleggers via een vijfde scharnierpunt aan een tweede uiteinde van de basisliggers,</w:t>
            </w:r>
          </w:p>
        </w:tc>
        <w:tc>
          <w:tcPr>
            <w:shd w:val="clear" w:color="auto" w:fill="FFFFFF"/>
          </w:tcPr>
          <w:p>
            <w:pPr>
              <w:rPr>
                <w:lang w:val="en-US"/>
              </w:rPr>
            </w:pPr>
            <w:r>
              <w:rPr>
                <w:lang w:val="en-US"/>
              </w:rPr>
              <w:t xml:space="preserve">According to an embodiment, the second head support coupling is hingedly connected to the base beams via a fifth hinge point at a second end of the base beams,</w:t>
            </w:r>
          </w:p>
        </w:tc>
      </w:tr>
      <w:tr>
        <w:tc>
          <w:tcPr>
            <w:shd w:val="clear" w:color="auto" w:fill="FFFFFF"/>
          </w:tcPr>
          <w:p>
            <w:pPr>
              <w:rPr>
                <w:lang w:val="nl-BE"/>
              </w:rPr>
            </w:pPr>
            <w:r>
              <w:rPr>
                <w:rStyle w:val="SegmentID"/>
                <w:lang w:val="nl-BE"/>
              </w:rPr>
              <w:t xml:space="preserve">101 b a</w:t>
            </w:r>
            <w:r>
              <w:rPr>
                <w:rStyle w:val="TransUnitID"/>
                <w:lang w:val="nl-BE"/>
              </w:rPr>
              <w:t xml:space="preserve">6bb7dc45-fef4-4577-87d8-097edec83ede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het eerste scharnierpunt gepositioneerd is aan een tweede uiteinde van de hoofdsteunmatrasbeugel,</w:t>
            </w:r>
          </w:p>
        </w:tc>
        <w:tc>
          <w:tcPr>
            <w:shd w:val="clear" w:color="auto" w:fill="FFFFFF"/>
          </w:tcPr>
          <w:p>
            <w:pPr>
              <w:rPr>
                <w:lang w:val="en-US"/>
              </w:rPr>
            </w:pPr>
            <w:r>
              <w:rPr>
                <w:lang w:val="en-US"/>
              </w:rPr>
              <w:t xml:space="preserve">wherein the first hinge point is positioned at a second end of the head support mattress bracket,</w:t>
            </w:r>
          </w:p>
        </w:tc>
      </w:tr>
      <w:tr>
        <w:tc>
          <w:tcPr>
            <w:shd w:val="clear" w:color="auto" w:fill="FFFFFF"/>
          </w:tcPr>
          <w:p>
            <w:pPr>
              <w:rPr>
                <w:lang w:val="nl-BE"/>
              </w:rPr>
            </w:pPr>
            <w:r>
              <w:rPr>
                <w:rStyle w:val="SegmentID"/>
                <w:lang w:val="nl-BE"/>
              </w:rPr>
              <w:t xml:space="preserve">101 b b</w:t>
            </w:r>
            <w:r>
              <w:rPr>
                <w:rStyle w:val="TransUnitID"/>
                <w:lang w:val="nl-BE"/>
              </w:rPr>
              <w:t xml:space="preserve">6bb7dc45-fef4-4577-87d8-097edec83ede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en waarbij genoemde tweede uiteinden van de basisliggers en de hoofdsteunmatrasbeugel zich proximaal ten opzichte van de lichaamsteunmatrasbeugel bevinden in uitgeklapte toestand van het geraamte.</w:t>
            </w:r>
          </w:p>
        </w:tc>
        <w:tc>
          <w:tcPr>
            <w:shd w:val="clear" w:color="auto" w:fill="FFFFFF"/>
          </w:tcPr>
          <w:p>
            <w:pPr>
              <w:rPr>
                <w:lang w:val="en-US"/>
              </w:rPr>
            </w:pPr>
            <w:r>
              <w:rPr>
                <w:lang w:val="en-US"/>
              </w:rPr>
              <w:t xml:space="preserve">and wherein said second ends of the base beams and the head support mattress bracket are proximal to the body support mattress bracket in the unfolded state of the framework.</w:t>
            </w:r>
          </w:p>
        </w:tc>
      </w:tr>
      <w:tr>
        <w:tc>
          <w:tcPr>
            <w:shd w:val="clear" w:color="auto" w:fill="FFFFFF"/>
          </w:tcPr>
          <w:p>
            <w:pPr>
              <w:rPr>
                <w:lang w:val="nl-BE"/>
              </w:rPr>
            </w:pPr>
            <w:r>
              <w:rPr>
                <w:rStyle w:val="SegmentID"/>
                <w:lang w:val="nl-BE"/>
              </w:rPr>
              <w:t xml:space="preserve">102</w:t>
            </w:r>
            <w:r>
              <w:rPr>
                <w:rStyle w:val="TransUnitID"/>
                <w:lang w:val="nl-BE"/>
              </w:rPr>
              <w:t xml:space="preserve">0d000b1e-8913-40ec-a3cc-a476a68effb7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omvat de tweede lichaamsteunkoppeling een L-vormige draaistang en een langwerpige stuurstang, waarbij de L-vormige draaistang met een eerste uiteinde scharnierbaar verbonden is aan de basisliggers via een zesde scharnierpunt, en waarbij de stuurstang met een eerste uiteinde scharnierbaar verbonden is aan de lichaamsteunmatrasbeugel via een zevende scharnierpunt.</w:t>
            </w:r>
          </w:p>
        </w:tc>
        <w:tc>
          <w:tcPr>
            <w:shd w:val="clear" w:color="auto" w:fill="FFFFFF"/>
          </w:tcPr>
          <w:p>
            <w:pPr>
              <w:rPr>
                <w:lang w:val="en-US"/>
              </w:rPr>
            </w:pPr>
            <w:r>
              <w:rPr>
                <w:lang w:val="en-US"/>
              </w:rPr>
              <w:t xml:space="preserve">According to an embodiment, the second body support coupling comprises an L-shaped rotating rod and an elongated steering rod, wherein the L-shaped rotating rod is hingedly connected at the first end to the base beams via a sixth hinge point, and wherein the steering rod is hingedly connected at the first end to the body support mattress bracket via a seventh hinge point.</w:t>
            </w:r>
          </w:p>
        </w:tc>
      </w:tr>
      <w:tr>
        <w:tc>
          <w:tcPr>
            <w:shd w:val="clear" w:color="auto" w:fill="FFFFFF"/>
          </w:tcPr>
          <w:p>
            <w:pPr>
              <w:rPr>
                <w:lang w:val="nl-BE"/>
              </w:rPr>
            </w:pPr>
            <w:r>
              <w:rPr>
                <w:rStyle w:val="SegmentID"/>
                <w:lang w:val="nl-BE"/>
              </w:rPr>
              <w:t xml:space="preserve">103</w:t>
            </w:r>
            <w:r>
              <w:rPr>
                <w:rStyle w:val="TransUnitID"/>
                <w:lang w:val="nl-BE"/>
              </w:rPr>
              <w:t xml:space="preserve">0d000b1e-8913-40ec-a3cc-a476a68effb7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draaistang en de stuurstang zijn onderling vast verbonden aan een tweede uiteinde van de draaistang en de stuurstang via één of meer stangfixatiepunten, waarbij de stuurstang in het verlengde ligt van een arm van de L-vormige draaistang.</w:t>
            </w:r>
          </w:p>
        </w:tc>
        <w:tc>
          <w:tcPr>
            <w:shd w:val="clear" w:color="auto" w:fill="FFFFFF"/>
          </w:tcPr>
          <w:p>
            <w:pPr>
              <w:rPr>
                <w:lang w:val="en-US"/>
              </w:rPr>
            </w:pPr>
            <w:r>
              <w:rPr>
                <w:lang w:val="en-US"/>
              </w:rPr>
              <w:t xml:space="preserve">The rotating rod and the steering rod are fixedly interconnected at a second end of the rotating rod and the steering rod via one or more rod fixing points, with the steering rod extending in line with an arm of the L-shaped rotating rod.</w:t>
            </w:r>
          </w:p>
        </w:tc>
      </w:tr>
      <w:tr>
        <w:tc>
          <w:tcPr>
            <w:shd w:val="clear" w:color="auto" w:fill="FFFFFF"/>
          </w:tcPr>
          <w:p>
            <w:pPr>
              <w:rPr>
                <w:lang w:val="nl-BE"/>
              </w:rPr>
            </w:pPr>
            <w:r>
              <w:rPr>
                <w:rStyle w:val="SegmentID"/>
                <w:lang w:val="nl-BE"/>
              </w:rPr>
              <w:t xml:space="preserve">104</w:t>
            </w:r>
            <w:r>
              <w:rPr>
                <w:rStyle w:val="TransUnitID"/>
                <w:lang w:val="nl-BE"/>
              </w:rPr>
              <w:t xml:space="preserve">6da33bff-d8a7-4db0-9398-e3b0530120b4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voetbeugel star verbonden aan de lichaamsteunmatrasbeugel op twee of meer voetfixatiepunten.</w:t>
            </w:r>
          </w:p>
        </w:tc>
        <w:tc>
          <w:tcPr>
            <w:shd w:val="clear" w:color="auto" w:fill="FFFFFF"/>
          </w:tcPr>
          <w:p>
            <w:pPr>
              <w:rPr>
                <w:lang w:val="en-US"/>
              </w:rPr>
            </w:pPr>
            <w:r>
              <w:rPr>
                <w:lang w:val="en-US"/>
              </w:rPr>
              <w:t xml:space="preserve">According to an embodiment, the foot bracket is rigidly connected to the body support mattress bracket at two or more foot fixing points.</w:t>
            </w:r>
          </w:p>
        </w:tc>
      </w:tr>
      <w:tr>
        <w:tc>
          <w:tcPr>
            <w:shd w:val="clear" w:color="auto" w:fill="FFFFFF"/>
          </w:tcPr>
          <w:p>
            <w:pPr>
              <w:rPr>
                <w:lang w:val="nl-BE"/>
              </w:rPr>
            </w:pPr>
            <w:r>
              <w:rPr>
                <w:rStyle w:val="SegmentID"/>
                <w:lang w:val="nl-BE"/>
              </w:rPr>
              <w:t xml:space="preserve">105</w:t>
            </w:r>
            <w:r>
              <w:rPr>
                <w:rStyle w:val="TransUnitID"/>
                <w:lang w:val="nl-BE"/>
              </w:rPr>
              <w:t xml:space="preserve">6da33bff-d8a7-4db0-9398-e3b0530120b4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deze manier is deze verankering stevig genoeg om de nodige krachten te weerstaan (zowel bij belasting als bij manipulatie), zeker gezien de afstand tussen de voetfixatiepunten en het pivotpunt dat de voetbeugel en het voetstuk verbindt, beperkt is, en de reactiekracht hierop betrekkelijk hoog kan liggen.</w:t>
            </w:r>
          </w:p>
        </w:tc>
        <w:tc>
          <w:tcPr>
            <w:shd w:val="clear" w:color="auto" w:fill="FFFFFF"/>
          </w:tcPr>
          <w:p>
            <w:pPr>
              <w:rPr>
                <w:lang w:val="en-US"/>
              </w:rPr>
            </w:pPr>
            <w:r>
              <w:rPr>
                <w:lang w:val="en-US"/>
              </w:rPr>
              <w:t xml:space="preserve">In this manner, this anchoring is sufficiently robust to withstand the necessary forces (both during loading and manipulation), especially considering the limited distance between the foot fixing points and the hinge point that connects the foot bracket and the foot member, and the reactive force on this can be relatively high.</w:t>
            </w:r>
          </w:p>
        </w:tc>
      </w:tr>
      <w:tr>
        <w:tc>
          <w:tcPr>
            <w:shd w:val="clear" w:color="auto" w:fill="FFFFFF"/>
          </w:tcPr>
          <w:p>
            <w:pPr>
              <w:rPr>
                <w:lang w:val="nl-BE"/>
              </w:rPr>
            </w:pPr>
            <w:r>
              <w:rPr>
                <w:rStyle w:val="SegmentID"/>
                <w:lang w:val="nl-BE"/>
              </w:rPr>
              <w:t xml:space="preserve">106</w:t>
            </w:r>
            <w:r>
              <w:rPr>
                <w:rStyle w:val="TransUnitID"/>
                <w:lang w:val="nl-BE"/>
              </w:rPr>
              <w:t xml:space="preserve">6da33bff-d8a7-4db0-9398-e3b0530120b4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Om dit met zekerheid te weerstaan is een meervoudige fixatie aangeraden.</w:t>
            </w:r>
          </w:p>
        </w:tc>
        <w:tc>
          <w:tcPr>
            <w:shd w:val="clear" w:color="auto" w:fill="FFFFFF"/>
          </w:tcPr>
          <w:p>
            <w:pPr>
              <w:rPr>
                <w:lang w:val="en-US"/>
              </w:rPr>
            </w:pPr>
            <w:r>
              <w:rPr>
                <w:lang w:val="en-US"/>
              </w:rPr>
              <w:t xml:space="preserve">To withstand this with certainty, multiple fixation is recommended.</w:t>
            </w:r>
          </w:p>
        </w:tc>
      </w:tr>
      <w:tr>
        <w:tc>
          <w:tcPr>
            <w:shd w:val="clear" w:color="auto" w:fill="FFFFFF"/>
          </w:tcPr>
          <w:p>
            <w:pPr>
              <w:rPr>
                <w:lang w:val="nl-BE"/>
              </w:rPr>
            </w:pPr>
            <w:r>
              <w:rPr>
                <w:rStyle w:val="SegmentID"/>
                <w:lang w:val="nl-BE"/>
              </w:rPr>
              <w:t xml:space="preserve">107</w:t>
            </w:r>
            <w:r>
              <w:rPr>
                <w:rStyle w:val="TransUnitID"/>
                <w:lang w:val="nl-BE"/>
              </w:rPr>
              <w:t xml:space="preserve">88d3f1ad-c25d-4b92-ae78-8f0bf5cc6e75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lichaamsteunmatrasbeugel voorzien van één of meer stopelementen die zich lateraal uitstrekken, en gepositioneerd zijn zodanig dat de eerste lichaamsteunkoppeling tegen de stopelementen komt te rusten wanneer de hoofdsteunmatrasbeugel en de lichaamsteunmatrasbeugel in elkaars verlengde liggen in uitgeklapte toestand van het geraamte, en de stopelementen de eerste lichaamsteunkoppeling verdere rotatie verhinderen.</w:t>
            </w:r>
          </w:p>
        </w:tc>
        <w:tc>
          <w:tcPr>
            <w:shd w:val="clear" w:color="auto" w:fill="FFFFFF"/>
          </w:tcPr>
          <w:p>
            <w:pPr>
              <w:rPr>
                <w:lang w:val="en-US"/>
              </w:rPr>
            </w:pPr>
            <w:r>
              <w:rPr>
                <w:lang w:val="en-US"/>
              </w:rPr>
              <w:t xml:space="preserve">According to an embodiment, the body support mattress bracket is provided with one or more stop elements that extend laterally and are positioned such that the first body support coupling rests against the stop elements when the head support mattress bracket and the body support mattress bracket are in line with each other in the unfolded state of the framework, and the stop elements prevent further rotation of the first body support coupling.</w:t>
            </w:r>
          </w:p>
        </w:tc>
      </w:tr>
      <w:tr>
        <w:tc>
          <w:tcPr>
            <w:shd w:val="clear" w:color="auto" w:fill="FFFFFF"/>
          </w:tcPr>
          <w:p>
            <w:pPr>
              <w:rPr>
                <w:lang w:val="nl-BE"/>
              </w:rPr>
            </w:pPr>
            <w:r>
              <w:rPr>
                <w:rStyle w:val="SegmentID"/>
                <w:lang w:val="nl-BE"/>
              </w:rPr>
              <w:t xml:space="preserve">108</w:t>
            </w:r>
            <w:r>
              <w:rPr>
                <w:rStyle w:val="TransUnitID"/>
                <w:lang w:val="nl-BE"/>
              </w:rPr>
              <w:t xml:space="preserve">88d3f1ad-c25d-4b92-ae78-8f0bf5cc6e75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stopelement is bij voorkeur enkelvoudig voorzien aan elke laterale zijde van het geraamte, en steekt uitwaarts uit, weg van het geraamte over een beperkte lengte zodat het de breedte van het opklapmeubel respecteert en daarin past.</w:t>
            </w:r>
          </w:p>
        </w:tc>
        <w:tc>
          <w:tcPr>
            <w:shd w:val="clear" w:color="auto" w:fill="FFFFFF"/>
          </w:tcPr>
          <w:p>
            <w:pPr>
              <w:rPr>
                <w:lang w:val="en-US"/>
              </w:rPr>
            </w:pPr>
            <w:r>
              <w:rPr>
                <w:lang w:val="en-US"/>
              </w:rPr>
              <w:t xml:space="preserve">Preferably, the stop element is provided singly on each lateral side of the framework, and extends outwardly, away from the framework over a limited length so that it respects the width of the piece of folding furniture and fits within it.</w:t>
            </w:r>
          </w:p>
        </w:tc>
      </w:tr>
      <w:tr>
        <w:tc>
          <w:tcPr>
            <w:shd w:val="clear" w:color="auto" w:fill="D3D3D3"/>
          </w:tcPr>
          <w:p>
            <w:pPr>
              <w:rPr>
                <w:lang w:val="nl-BE"/>
              </w:rPr>
            </w:pPr>
            <w:r>
              <w:rPr>
                <w:rStyle w:val="SegmentID"/>
                <w:lang w:val="nl-BE"/>
              </w:rPr>
              <w:t xml:space="preserve">109</w:t>
            </w:r>
            <w:r>
              <w:rPr>
                <w:rStyle w:val="TransUnitID"/>
                <w:lang w:val="nl-BE"/>
              </w:rPr>
              <w:t xml:space="preserve">88d3f1ad-c25d-4b92-ae78-8f0bf5cc6e75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Doordat de eerste lichaamsteunkoppeling rechtstreeks op de lichaamsteunmatrasbeugel scharnierend gekoppeld is, en daar dus dicht tegen ligt, met als enige voorwaarde voldoende ruimte om geen belemmeringen te hebben door wrijving en dergelijke tussen de twee, hoeft het stopelement ook slechts zeer kort te zijn om al in het pad van de eerste lichaamsteunkoppeling te zitten.</w:t>
            </w:r>
          </w:p>
        </w:tc>
        <w:tc>
          <w:tcPr>
            <w:shd w:val="clear" w:color="auto" w:fill="D3D3D3"/>
          </w:tcPr>
          <w:p>
            <w:pPr>
              <w:rPr>
                <w:lang w:val="en-US"/>
              </w:rPr>
            </w:pPr>
            <w:r>
              <w:rPr>
                <w:lang w:val="en-US"/>
              </w:rPr>
              <w:t xml:space="preserve">Due to the fact that the first body support coupling is hingedly connected directly to the body support mattress bracket, and therefore lies close to it, with the only requirement being sufficient space to avoid obstructions due to friction and the like between the two, the stop element only needs to be very short to already be in the path of the first body support coupling.</w:t>
            </w:r>
          </w:p>
        </w:tc>
      </w:tr>
      <w:tr>
        <w:tc>
          <w:tcPr>
            <w:shd w:val="clear" w:color="auto" w:fill="#98FB98"/>
          </w:tcPr>
          <w:p>
            <w:pPr>
              <w:rPr>
                <w:lang w:val="nl-BE"/>
              </w:rPr>
            </w:pPr>
            <w:r>
              <w:rPr>
                <w:rStyle w:val="SegmentID"/>
                <w:lang w:val="nl-BE"/>
              </w:rPr>
              <w:t xml:space="preserve">110</w:t>
            </w:r>
            <w:r>
              <w:rPr>
                <w:rStyle w:val="TransUnitID"/>
                <w:lang w:val="nl-BE"/>
              </w:rPr>
              <w:t xml:space="preserve">88d3f1ad-c25d-4b92-ae78-8f0bf5cc6e75</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Op deze manier biedt deze lichaamsteunkoppeling ook een structurele bijdrage aan de stevigheid van het geraamte bij belasting, zodat de koppeling tussen lichaam- en hoofsteunmatrasbeugel niet te sterk belast wordt.</w:t>
            </w:r>
          </w:p>
        </w:tc>
        <w:tc>
          <w:tcPr>
            <w:shd w:val="clear" w:color="auto" w:fill="#98FB98"/>
          </w:tcPr>
          <w:p>
            <w:pPr>
              <w:rPr>
                <w:lang w:val="en-US"/>
              </w:rPr>
            </w:pPr>
            <w:r>
              <w:rPr>
                <w:lang w:val="en-US"/>
              </w:rPr>
              <w:t xml:space="preserve">In this way, this body support coupling also provides a structural contribution to the sturdiness of the framework under load, so that the coupling between the body and head support mattress bracket is not overly stressed.</w:t>
            </w:r>
          </w:p>
        </w:tc>
      </w:tr>
      <w:tr>
        <w:tc>
          <w:tcPr>
            <w:shd w:val="clear" w:color="auto" w:fill="FFFFFF"/>
          </w:tcPr>
          <w:p>
            <w:pPr>
              <w:rPr>
                <w:lang w:val="nl-BE"/>
              </w:rPr>
            </w:pPr>
            <w:r>
              <w:rPr>
                <w:rStyle w:val="SegmentID"/>
                <w:lang w:val="nl-BE"/>
              </w:rPr>
              <w:t xml:space="preserve">111</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eerste hoofdsteunkoppeling L-vormig, en omvat deze twee armen dewelke vanuit een centrale verbinding uitstrekken.</w:t>
            </w:r>
          </w:p>
        </w:tc>
        <w:tc>
          <w:tcPr>
            <w:shd w:val="clear" w:color="auto" w:fill="FFFFFF"/>
          </w:tcPr>
          <w:p>
            <w:pPr>
              <w:rPr>
                <w:lang w:val="en-US"/>
              </w:rPr>
            </w:pPr>
            <w:r>
              <w:rPr>
                <w:lang w:val="en-US"/>
              </w:rPr>
              <w:t xml:space="preserve">According to an embodiment, the first head support coupling is L-shaped and includes two arms which extend from a central connection.</w:t>
            </w:r>
          </w:p>
        </w:tc>
      </w:tr>
      <w:tr>
        <w:tc>
          <w:tcPr>
            <w:shd w:val="clear" w:color="auto" w:fill="FFFFFF"/>
          </w:tcPr>
          <w:p>
            <w:pPr>
              <w:rPr>
                <w:lang w:val="nl-BE"/>
              </w:rPr>
            </w:pPr>
            <w:r>
              <w:rPr>
                <w:rStyle w:val="SegmentID"/>
                <w:lang w:val="nl-BE"/>
              </w:rPr>
              <w:t xml:space="preserve">112</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eerste van de armen eindigt in het eerste uiteinde van de eerste hoofdsteunkoppeling, waarbij het tweede uiteinde ter hoogte van de centrale verbinding gepositioneerd is en een derde scharnierpunt omvat waarmee de eerste hoofdsteunkoppeling scharnierbaar verbonden is met de basisliggers.</w:t>
            </w:r>
          </w:p>
        </w:tc>
        <w:tc>
          <w:tcPr>
            <w:shd w:val="clear" w:color="auto" w:fill="FFFFFF"/>
          </w:tcPr>
          <w:p>
            <w:pPr>
              <w:rPr>
                <w:lang w:val="en-US"/>
              </w:rPr>
            </w:pPr>
            <w:r>
              <w:rPr>
                <w:lang w:val="en-US"/>
              </w:rPr>
              <w:t xml:space="preserve">A first of the arms ends at the first end of the first head support coupling, with the second end positioned at the central connection and comprising a third hinge point with which the first head support coupling is hingedly connected to the base beams.</w:t>
            </w:r>
          </w:p>
        </w:tc>
      </w:tr>
      <w:tr>
        <w:tc>
          <w:tcPr>
            <w:shd w:val="clear" w:color="auto" w:fill="FFFFFF"/>
          </w:tcPr>
          <w:p>
            <w:pPr>
              <w:rPr>
                <w:lang w:val="nl-BE"/>
              </w:rPr>
            </w:pPr>
            <w:r>
              <w:rPr>
                <w:rStyle w:val="SegmentID"/>
                <w:lang w:val="nl-BE"/>
              </w:rPr>
              <w:t xml:space="preserve">113</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tweede van de armen is voorzien van een star aanslagelement.</w:t>
            </w:r>
          </w:p>
        </w:tc>
        <w:tc>
          <w:tcPr>
            <w:shd w:val="clear" w:color="auto" w:fill="FFFFFF"/>
          </w:tcPr>
          <w:p>
            <w:pPr>
              <w:rPr>
                <w:lang w:val="en-US"/>
              </w:rPr>
            </w:pPr>
            <w:r>
              <w:rPr>
                <w:lang w:val="en-US"/>
              </w:rPr>
              <w:t xml:space="preserve">A second of the arms is provided with a rigid stop element.</w:t>
            </w:r>
          </w:p>
        </w:tc>
      </w:tr>
      <w:tr>
        <w:tc>
          <w:tcPr>
            <w:shd w:val="clear" w:color="auto" w:fill="FFFFFF"/>
          </w:tcPr>
          <w:p>
            <w:pPr>
              <w:rPr>
                <w:lang w:val="nl-BE"/>
              </w:rPr>
            </w:pPr>
            <w:r>
              <w:rPr>
                <w:rStyle w:val="SegmentID"/>
                <w:lang w:val="nl-BE"/>
              </w:rPr>
              <w:t xml:space="preserve">114</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aanslagelement rust in ingeklapte toestand van het geraamte op een eerste uiteinde van de basisliggers, hetwelk eerste uiteinde van de basisliggers zich distaal ten opzichte van de lichaamsteunmatrasbeugel bevindt in uitgeklapte toestand van het geraamte.</w:t>
            </w:r>
          </w:p>
        </w:tc>
        <w:tc>
          <w:tcPr>
            <w:shd w:val="clear" w:color="auto" w:fill="FFFFFF"/>
          </w:tcPr>
          <w:p>
            <w:pPr>
              <w:rPr>
                <w:lang w:val="en-US"/>
              </w:rPr>
            </w:pPr>
            <w:r>
              <w:rPr>
                <w:lang w:val="en-US"/>
              </w:rPr>
              <w:t xml:space="preserve">The stop element rests, in the folded state of the framework, on a first end of the base beams, which first end of the base beams is located distally relative to the body support mattress bracket in the unfolded state of the framework.</w:t>
            </w:r>
          </w:p>
        </w:tc>
      </w:tr>
      <w:tr>
        <w:tc>
          <w:tcPr>
            <w:shd w:val="clear" w:color="auto" w:fill="FFFFFF"/>
          </w:tcPr>
          <w:p>
            <w:pPr>
              <w:rPr>
                <w:lang w:val="nl-BE"/>
              </w:rPr>
            </w:pPr>
            <w:r>
              <w:rPr>
                <w:rStyle w:val="SegmentID"/>
                <w:lang w:val="nl-BE"/>
              </w:rPr>
              <w:t xml:space="preserve">115</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star aanslagelement is bij voorkeur aan een aanslagfixatiepunt aan het uiteinde van de tweede van de armen star verbonden aan de eerste hoofdsteunkoppeling.</w:t>
            </w:r>
          </w:p>
        </w:tc>
        <w:tc>
          <w:tcPr>
            <w:shd w:val="clear" w:color="auto" w:fill="FFFFFF"/>
          </w:tcPr>
          <w:p>
            <w:pPr>
              <w:rPr>
                <w:lang w:val="en-US"/>
              </w:rPr>
            </w:pPr>
            <w:r>
              <w:rPr>
                <w:lang w:val="en-US"/>
              </w:rPr>
              <w:t xml:space="preserve">The rigid stop element is preferably rigidly connected to the first head support coupling at a stop fixing point at the end of the second of the arms.</w:t>
            </w:r>
          </w:p>
        </w:tc>
      </w:tr>
      <w:tr>
        <w:tc>
          <w:tcPr>
            <w:shd w:val="clear" w:color="auto" w:fill="FFFFFF"/>
          </w:tcPr>
          <w:p>
            <w:pPr>
              <w:rPr>
                <w:lang w:val="nl-BE"/>
              </w:rPr>
            </w:pPr>
            <w:r>
              <w:rPr>
                <w:rStyle w:val="SegmentID"/>
                <w:lang w:val="nl-BE"/>
              </w:rPr>
              <w:t xml:space="preserve">116</w:t>
            </w:r>
            <w:r>
              <w:rPr>
                <w:rStyle w:val="TransUnitID"/>
                <w:lang w:val="nl-BE"/>
              </w:rPr>
              <w:t xml:space="preserve">f8d66de6-6a03-474e-84d1-c2cc746daf02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met een dergelijk aanslagelement te werken, wordt verzekerd dat in ingeklapte toestand, de hoofdsteunmatraskoppeling niet verder kan doorbewegen/doorroteren eenmaal de ingeklapte toestand bereikt wordt, en daarmee het mechanisme beschadigd kan worden.</w:t>
            </w:r>
          </w:p>
        </w:tc>
        <w:tc>
          <w:tcPr>
            <w:shd w:val="clear" w:color="auto" w:fill="FFFFFF"/>
          </w:tcPr>
          <w:p>
            <w:pPr>
              <w:rPr>
                <w:lang w:val="en-US"/>
              </w:rPr>
            </w:pPr>
            <w:r>
              <w:rPr>
                <w:lang w:val="en-US"/>
              </w:rPr>
              <w:t xml:space="preserve">By working with such a stop element, it is ensured that in the folded state, the head support mattress coupling cannot move/rotate further once the folded state is reached, thus damaging the mechanism.</w:t>
            </w:r>
          </w:p>
        </w:tc>
      </w:tr>
      <w:tr>
        <w:tc>
          <w:tcPr>
            <w:shd w:val="clear" w:color="auto" w:fill="FFFFFF"/>
          </w:tcPr>
          <w:p>
            <w:pPr>
              <w:rPr>
                <w:lang w:val="nl-BE"/>
              </w:rPr>
            </w:pPr>
            <w:r>
              <w:rPr>
                <w:rStyle w:val="SegmentID"/>
                <w:lang w:val="nl-BE"/>
              </w:rPr>
              <w:t xml:space="preserve">117</w:t>
            </w:r>
            <w:r>
              <w:rPr>
                <w:rStyle w:val="TransUnitID"/>
                <w:lang w:val="nl-BE"/>
              </w:rPr>
              <w:t xml:space="preserve">a163d830-19ef-4b76-ad69-5301013a33bd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omvat het geraamte verder een hoofdsteunmatraskader voor het ontvangen en ondersteunen van een matras, het hoofdsteunmatraskader voorzien aan de hoofdsteunmatrasbeugel, en een lichaamsteunmatraskader voor het ontvangen en ondersteunen van een matras, het lichaamsteunmatraskader voorzien aan de lichaamsteunmatrasbeugel.</w:t>
            </w:r>
          </w:p>
        </w:tc>
        <w:tc>
          <w:tcPr>
            <w:shd w:val="clear" w:color="auto" w:fill="FFFFFF"/>
          </w:tcPr>
          <w:p>
            <w:pPr>
              <w:rPr>
                <w:lang w:val="en-US"/>
              </w:rPr>
            </w:pPr>
            <w:r>
              <w:rPr>
                <w:lang w:val="en-US"/>
              </w:rPr>
              <w:t xml:space="preserve">According to an embodiment, the framework further comprises a head support mattress frame for receiving and supporting a mattress, the head support mattress frame provided at the head support mattress bracket, and a body support mattress frame for receiving and supporting a mattress, the body support mattress frame provided at the body support mattress bracket.</w:t>
            </w:r>
          </w:p>
        </w:tc>
      </w:tr>
      <w:tr>
        <w:tc>
          <w:tcPr>
            <w:shd w:val="clear" w:color="auto" w:fill="FFFFFF"/>
          </w:tcPr>
          <w:p>
            <w:pPr>
              <w:rPr>
                <w:lang w:val="nl-BE"/>
              </w:rPr>
            </w:pPr>
            <w:r>
              <w:rPr>
                <w:rStyle w:val="SegmentID"/>
                <w:lang w:val="nl-BE"/>
              </w:rPr>
              <w:t xml:space="preserve">118</w:t>
            </w:r>
            <w:r>
              <w:rPr>
                <w:rStyle w:val="TransUnitID"/>
                <w:lang w:val="nl-BE"/>
              </w:rPr>
              <w:t xml:space="preserve">a163d830-19ef-4b76-ad69-5301013a33bd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matraskaders kunnen eveneens rechtstreeks voorzien zijn op de beugels, of zelfs geïntegreerd daarmee als een eenstukkig onderdeel.</w:t>
            </w:r>
          </w:p>
        </w:tc>
        <w:tc>
          <w:tcPr>
            <w:shd w:val="clear" w:color="auto" w:fill="FFFFFF"/>
          </w:tcPr>
          <w:p>
            <w:pPr>
              <w:rPr>
                <w:lang w:val="en-US"/>
              </w:rPr>
            </w:pPr>
            <w:r>
              <w:rPr>
                <w:lang w:val="en-US"/>
              </w:rPr>
              <w:t xml:space="preserve">The mattress frames can also be directly provided on the brackets, or even integrated therewith as a one-piece component.</w:t>
            </w:r>
          </w:p>
        </w:tc>
      </w:tr>
      <w:tr>
        <w:tc>
          <w:tcPr>
            <w:shd w:val="clear" w:color="auto" w:fill="FFFFFF"/>
          </w:tcPr>
          <w:p>
            <w:pPr>
              <w:rPr>
                <w:lang w:val="nl-BE"/>
              </w:rPr>
            </w:pPr>
            <w:r>
              <w:rPr>
                <w:rStyle w:val="SegmentID"/>
                <w:lang w:val="nl-BE"/>
              </w:rPr>
              <w:t xml:space="preserve">119</w:t>
            </w:r>
            <w:r>
              <w:rPr>
                <w:rStyle w:val="TransUnitID"/>
                <w:lang w:val="nl-BE"/>
              </w:rPr>
              <w:t xml:space="preserve">2c05f330-099d-4a4a-9d01-1274e2c4373f</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Zoals gezegd, kunnen de matraskaders onmiddellijk ook voorzien zijn van een matras, en bijvoorbeeld de vorm van boxsprings aannemen.</w:t>
            </w:r>
          </w:p>
        </w:tc>
        <w:tc>
          <w:tcPr>
            <w:shd w:val="clear" w:color="auto" w:fill="FFFFFF"/>
          </w:tcPr>
          <w:p>
            <w:pPr>
              <w:rPr>
                <w:lang w:val="en-US"/>
              </w:rPr>
            </w:pPr>
            <w:r>
              <w:rPr>
                <w:lang w:val="en-US"/>
              </w:rPr>
              <w:t xml:space="preserve">As stated, the mattress frames can also be immediately provided with a mattress, and for example, take the form of box springs.</w:t>
            </w:r>
          </w:p>
        </w:tc>
      </w:tr>
      <w:tr>
        <w:tc>
          <w:tcPr>
            <w:shd w:val="clear" w:color="auto" w:fill="FFFFFF"/>
          </w:tcPr>
          <w:p>
            <w:pPr>
              <w:rPr>
                <w:lang w:val="nl-BE"/>
              </w:rPr>
            </w:pPr>
            <w:r>
              <w:rPr>
                <w:rStyle w:val="SegmentID"/>
                <w:lang w:val="nl-BE"/>
              </w:rPr>
              <w:t xml:space="preserve">120 a</w:t>
            </w:r>
            <w:r>
              <w:rPr>
                <w:rStyle w:val="TransUnitID"/>
                <w:lang w:val="nl-BE"/>
              </w:rPr>
              <w:t xml:space="preserve">9b1df865-d0f5-4e2c-8bc4-db21386d7869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eerste lichaamsteunkoppeling aan beide laterale zijden van het geraamte verbonden via een koppelstang, bij voorkeur de koppelstang star verbonden aan de eerste lichaamsteunkoppeling via één of meer koppelfixatiepunten, dewelke evenwijdig ligt met het vlak gedefinieerd door de basisliggers en substantieel loodrecht staat op de hoofdsteunzijden,</w:t>
            </w:r>
          </w:p>
        </w:tc>
        <w:tc>
          <w:tcPr>
            <w:shd w:val="clear" w:color="auto" w:fill="FFFFFF"/>
          </w:tcPr>
          <w:p>
            <w:pPr>
              <w:rPr>
                <w:lang w:val="en-US"/>
              </w:rPr>
            </w:pPr>
            <w:r>
              <w:rPr>
                <w:lang w:val="en-US"/>
              </w:rPr>
              <w:t xml:space="preserve">According to an embodiment, the first body support coupling is joined to both lateral sides of the framework via a coupling rod, preferably the coupling rod is rigidly joined to the first body support coupling via one or more coupling fixing points, which is parallel to the plane defined by the base beams and substantially perpendicular to the head support sides,</w:t>
            </w:r>
          </w:p>
        </w:tc>
      </w:tr>
      <w:tr>
        <w:tc>
          <w:tcPr>
            <w:shd w:val="clear" w:color="auto" w:fill="FFFFFF"/>
          </w:tcPr>
          <w:p>
            <w:pPr>
              <w:rPr>
                <w:lang w:val="nl-BE"/>
              </w:rPr>
            </w:pPr>
            <w:r>
              <w:rPr>
                <w:rStyle w:val="SegmentID"/>
                <w:lang w:val="nl-BE"/>
              </w:rPr>
              <w:t xml:space="preserve">120 b</w:t>
            </w:r>
            <w:r>
              <w:rPr>
                <w:rStyle w:val="TransUnitID"/>
                <w:lang w:val="nl-BE"/>
              </w:rPr>
              <w:t xml:space="preserve">9b1df865-d0f5-4e2c-8bc4-db21386d7869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de koppelstang in uitgeklapte toestand van het geraamte tegen de onderzijde van de hoofdsteunmatrasbeugel aanligt.</w:t>
            </w:r>
          </w:p>
        </w:tc>
        <w:tc>
          <w:tcPr>
            <w:shd w:val="clear" w:color="auto" w:fill="FFFFFF"/>
          </w:tcPr>
          <w:p>
            <w:pPr>
              <w:rPr>
                <w:lang w:val="en-US"/>
              </w:rPr>
            </w:pPr>
            <w:r>
              <w:rPr>
                <w:lang w:val="en-US"/>
              </w:rPr>
              <w:t xml:space="preserve">wherein the coupling rod, in the unfolded state of the framework, lies against the underside of the head support mattress bracket.</w:t>
            </w:r>
          </w:p>
        </w:tc>
      </w:tr>
      <w:tr>
        <w:tc>
          <w:tcPr>
            <w:shd w:val="clear" w:color="auto" w:fill="FFFFFF"/>
          </w:tcPr>
          <w:p>
            <w:pPr>
              <w:rPr>
                <w:lang w:val="nl-BE"/>
              </w:rPr>
            </w:pPr>
            <w:r>
              <w:rPr>
                <w:rStyle w:val="SegmentID"/>
                <w:lang w:val="nl-BE"/>
              </w:rPr>
              <w:t xml:space="preserve">121</w:t>
            </w:r>
            <w:r>
              <w:rPr>
                <w:rStyle w:val="TransUnitID"/>
                <w:lang w:val="nl-BE"/>
              </w:rPr>
              <w:t xml:space="preserve">98a12210-b491-4004-9824-64b599b1b967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één of meerdere onderdelen van het geraamte aan beide zijden optioneel gekoppeld in één stuk, bij voorkeur via een afzonderlijk verbindingselement of verbindingsstang (of meerdere, op verschillende posities om krachten beter te verdelen).</w:t>
            </w:r>
          </w:p>
        </w:tc>
        <w:tc>
          <w:tcPr>
            <w:shd w:val="clear" w:color="auto" w:fill="FFFFFF"/>
          </w:tcPr>
          <w:p>
            <w:pPr>
              <w:rPr>
                <w:lang w:val="en-US"/>
              </w:rPr>
            </w:pPr>
            <w:r>
              <w:rPr>
                <w:lang w:val="en-US"/>
              </w:rPr>
              <w:t xml:space="preserve">According to an embodiment, one or more parts of the framework are optionally connected in one piece on both sides, preferably through a separate connecting element or connecting rod (or multiple, at different positions to better distribute forces).</w:t>
            </w:r>
          </w:p>
        </w:tc>
      </w:tr>
      <w:tr>
        <w:tc>
          <w:tcPr>
            <w:shd w:val="clear" w:color="auto" w:fill="FFFFFF"/>
          </w:tcPr>
          <w:p>
            <w:pPr>
              <w:rPr>
                <w:lang w:val="nl-BE"/>
              </w:rPr>
            </w:pPr>
            <w:r>
              <w:rPr>
                <w:rStyle w:val="SegmentID"/>
                <w:lang w:val="nl-BE"/>
              </w:rPr>
              <w:t xml:space="preserve">122</w:t>
            </w:r>
            <w:r>
              <w:rPr>
                <w:rStyle w:val="TransUnitID"/>
                <w:lang w:val="nl-BE"/>
              </w:rPr>
              <w:t xml:space="preserve">e11c1bde-7aa9-43c0-a5d6-aeaf252080d0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Deze verbindingsstang ondersteunt de gesynchroniseerde werking van beide zijden, zorgt voor een betere krachtenverdeling en kan schade aan het mechanisme voorkomen bij een ongelijke krachtuitoefening door een gebruiker tijdens het manipuleren, door de kracht te herverdelen.</w:t>
            </w:r>
          </w:p>
        </w:tc>
        <w:tc>
          <w:tcPr>
            <w:shd w:val="clear" w:color="auto" w:fill="FFFFFF"/>
          </w:tcPr>
          <w:p>
            <w:pPr>
              <w:rPr>
                <w:lang w:val="en-US"/>
              </w:rPr>
            </w:pPr>
            <w:r>
              <w:rPr>
                <w:lang w:val="en-US"/>
              </w:rPr>
              <w:t xml:space="preserve">This connecting rod supports the synchronized operation of both sides, ensures a better distribution of forces, and can prevent damage to the mechanism during uneven force exertion by a user when manipulating it, by redistributing the force.</w:t>
            </w:r>
          </w:p>
        </w:tc>
      </w:tr>
      <w:tr>
        <w:tc>
          <w:tcPr>
            <w:shd w:val="clear" w:color="auto" w:fill="FFFFFF"/>
          </w:tcPr>
          <w:p>
            <w:pPr>
              <w:rPr>
                <w:lang w:val="nl-BE"/>
              </w:rPr>
            </w:pPr>
            <w:r>
              <w:rPr>
                <w:rStyle w:val="SegmentID"/>
                <w:lang w:val="nl-BE"/>
              </w:rPr>
              <w:t xml:space="preserve">123</w:t>
            </w:r>
            <w:r>
              <w:rPr>
                <w:rStyle w:val="TransUnitID"/>
                <w:lang w:val="nl-BE"/>
              </w:rPr>
              <w:t xml:space="preserve">89b4aa2f-c1eb-491a-9a15-cbf67097806d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heeft het geraamte in ingeklapte toestand een maximale hoogte van 30 cm, bij voorkeur maximaal 25 cm.</w:t>
            </w:r>
          </w:p>
        </w:tc>
        <w:tc>
          <w:tcPr>
            <w:shd w:val="clear" w:color="auto" w:fill="FFFFFF"/>
          </w:tcPr>
          <w:p>
            <w:pPr>
              <w:rPr>
                <w:lang w:val="en-US"/>
              </w:rPr>
            </w:pPr>
            <w:r>
              <w:rPr>
                <w:lang w:val="en-US"/>
              </w:rPr>
              <w:t xml:space="preserve">According to a preferred embodiment, the framework in a folded state has a maximum height of 30 cm, preferably no more than 25 cm.</w:t>
            </w:r>
          </w:p>
        </w:tc>
      </w:tr>
      <w:tr>
        <w:tc>
          <w:tcPr>
            <w:shd w:val="clear" w:color="auto" w:fill="FFFFFF"/>
          </w:tcPr>
          <w:p>
            <w:pPr>
              <w:rPr>
                <w:lang w:val="nl-BE"/>
              </w:rPr>
            </w:pPr>
            <w:r>
              <w:rPr>
                <w:rStyle w:val="SegmentID"/>
                <w:lang w:val="nl-BE"/>
              </w:rPr>
              <w:t xml:space="preserve">124</w:t>
            </w:r>
            <w:r>
              <w:rPr>
                <w:rStyle w:val="TransUnitID"/>
                <w:lang w:val="nl-BE"/>
              </w:rPr>
              <w:t xml:space="preserve">89b4aa2f-c1eb-491a-9a15-cbf67097806d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dient de omkasting niet meegerekend te worden.</w:t>
            </w:r>
          </w:p>
        </w:tc>
        <w:tc>
          <w:tcPr>
            <w:shd w:val="clear" w:color="auto" w:fill="FFFFFF"/>
          </w:tcPr>
          <w:p>
            <w:pPr>
              <w:rPr>
                <w:lang w:val="en-US"/>
              </w:rPr>
            </w:pPr>
            <w:r>
              <w:rPr>
                <w:lang w:val="en-US"/>
              </w:rPr>
              <w:t xml:space="preserve">The housing should not be included in this calculation.</w:t>
            </w:r>
          </w:p>
        </w:tc>
      </w:tr>
      <w:tr>
        <w:tc>
          <w:tcPr>
            <w:shd w:val="clear" w:color="auto" w:fill="FFFFFF"/>
          </w:tcPr>
          <w:p>
            <w:pPr>
              <w:rPr>
                <w:lang w:val="nl-BE"/>
              </w:rPr>
            </w:pPr>
            <w:r>
              <w:rPr>
                <w:rStyle w:val="SegmentID"/>
                <w:lang w:val="nl-BE"/>
              </w:rPr>
              <w:t xml:space="preserve">125</w:t>
            </w:r>
            <w:r>
              <w:rPr>
                <w:rStyle w:val="TransUnitID"/>
                <w:lang w:val="nl-BE"/>
              </w:rPr>
              <w:t xml:space="preserve">5be22f08-42e5-4ec7-aa0e-537224213e8c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heeft het uitgeklapte geraamte een lengte van de meest distale uiteinden van de lichaamsteunbeugels en hoofdsteunbeugels (of lichaamsteunmatraskader en hoofdsteunmatraskader) van ten minste 1.50 m, bij voorkeur ten minste 1.75 m, bij verdere voorkeur ten minste 2.00 m en bij nog verdere voorkeur minstens 2.10 m of zelfs 2.20 m.</w:t>
            </w:r>
          </w:p>
        </w:tc>
        <w:tc>
          <w:tcPr>
            <w:shd w:val="clear" w:color="auto" w:fill="FFFFFF"/>
          </w:tcPr>
          <w:p>
            <w:pPr>
              <w:rPr>
                <w:lang w:val="en-US"/>
              </w:rPr>
            </w:pPr>
            <w:r>
              <w:rPr>
                <w:lang w:val="en-US"/>
              </w:rPr>
              <w:t xml:space="preserve">According to a preferred embodiment, the unfolded framework has a length from the most distal ends of the body support brackets and head support brackets (or body support mattress frame and head support mattress frame) of at least 1.50 m, preferably at least 1.75 m, more preferably at least 2.00 m, and even more preferably at least 2.10 m or even 2.20 m.</w:t>
            </w:r>
          </w:p>
        </w:tc>
      </w:tr>
      <w:tr>
        <w:tc>
          <w:tcPr>
            <w:shd w:val="clear" w:color="auto" w:fill="FFFFFF"/>
          </w:tcPr>
          <w:p>
            <w:pPr>
              <w:rPr>
                <w:lang w:val="nl-BE"/>
              </w:rPr>
            </w:pPr>
            <w:r>
              <w:rPr>
                <w:rStyle w:val="SegmentID"/>
                <w:lang w:val="nl-BE"/>
              </w:rPr>
              <w:t xml:space="preserve">126</w:t>
            </w:r>
            <w:r>
              <w:rPr>
                <w:rStyle w:val="TransUnitID"/>
                <w:lang w:val="nl-BE"/>
              </w:rPr>
              <w:t xml:space="preserve">05d31347-72f1-4d14-937e-513c28917ba0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hebben de lichaamsteunbeugel en de hoofdsteunbeugel een lengte van minstens 60 cm, bij voorkeur minstens 70 cm, bij verdere voorkeur minstens 75 cm of zelfs 80 cm, 85 cm, 90 cm, 95 cm of 100 cm.</w:t>
            </w:r>
          </w:p>
        </w:tc>
        <w:tc>
          <w:tcPr>
            <w:shd w:val="clear" w:color="auto" w:fill="FFFFFF"/>
          </w:tcPr>
          <w:p>
            <w:pPr>
              <w:rPr>
                <w:lang w:val="en-US"/>
              </w:rPr>
            </w:pPr>
            <w:r>
              <w:rPr>
                <w:lang w:val="en-US"/>
              </w:rPr>
              <w:t xml:space="preserve">According to a preferred embodiment, the body support bracket and the head support bracket have a length of at least 60 cm, preferably at least 70 cm, more preferably at least 75 cm, or even 80 cm, 85 cm, 90 cm, 95 cm, or 100 cm.</w:t>
            </w:r>
          </w:p>
        </w:tc>
      </w:tr>
      <w:tr>
        <w:tc>
          <w:tcPr>
            <w:shd w:val="clear" w:color="auto" w:fill="FFFFFF"/>
          </w:tcPr>
          <w:p>
            <w:pPr>
              <w:rPr>
                <w:lang w:val="nl-BE"/>
              </w:rPr>
            </w:pPr>
            <w:r>
              <w:rPr>
                <w:rStyle w:val="SegmentID"/>
                <w:lang w:val="nl-BE"/>
              </w:rPr>
              <w:t xml:space="preserve">127</w:t>
            </w:r>
            <w:r>
              <w:rPr>
                <w:rStyle w:val="TransUnitID"/>
                <w:lang w:val="nl-BE"/>
              </w:rPr>
              <w:t xml:space="preserve">045c5d30-44e5-4ca2-8e9f-3a4208fcaa5c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bestaan de basisliggers, beugels en koppelingen uit metaal, en bij verdere voorkeur bestaan ook de andere elementen, zoals het voetgedeelte ook uit metaal.</w:t>
            </w:r>
          </w:p>
        </w:tc>
        <w:tc>
          <w:tcPr>
            <w:shd w:val="clear" w:color="auto" w:fill="FFFFFF"/>
          </w:tcPr>
          <w:p>
            <w:pPr>
              <w:rPr>
                <w:lang w:val="en-US"/>
              </w:rPr>
            </w:pPr>
            <w:r>
              <w:rPr>
                <w:lang w:val="en-US"/>
              </w:rPr>
              <w:t xml:space="preserve">According to a preferred embodiment, the base beams, brackets, and couplings are made of metal, and more preferably, the other elements, such as the foot portion, are also made of metal.</w:t>
            </w:r>
          </w:p>
        </w:tc>
      </w:tr>
      <w:tr>
        <w:tc>
          <w:tcPr>
            <w:shd w:val="clear" w:color="auto" w:fill="FFFFFF"/>
          </w:tcPr>
          <w:p>
            <w:pPr>
              <w:rPr>
                <w:lang w:val="nl-BE"/>
              </w:rPr>
            </w:pPr>
            <w:r>
              <w:rPr>
                <w:rStyle w:val="SegmentID"/>
                <w:lang w:val="nl-BE"/>
              </w:rPr>
              <w:t xml:space="preserve">128</w:t>
            </w:r>
            <w:r>
              <w:rPr>
                <w:rStyle w:val="TransUnitID"/>
                <w:lang w:val="nl-BE"/>
              </w:rPr>
              <w:t xml:space="preserve">b7d4805c-37ce-4672-b1a5-1249f2ff2848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een tweede aspect betreft de uitvinding een opklapmeubel, bij voorkeur een bank of zetelbank, omvattende een zitgedeelte en optioneel een ruggedeelte, waarbij het zitgedeelte een holle omkasting omvat waarin het uitklapbaar geraamte een geraamte is volgens het eerste aspect, en bevestigd is met de basisliggers aan de binnenzijde van de holle omkasting.</w:t>
            </w:r>
          </w:p>
        </w:tc>
        <w:tc>
          <w:tcPr>
            <w:shd w:val="clear" w:color="auto" w:fill="FFFFFF"/>
          </w:tcPr>
          <w:p>
            <w:pPr>
              <w:rPr>
                <w:lang w:val="en-US"/>
              </w:rPr>
            </w:pPr>
            <w:r>
              <w:rPr>
                <w:lang w:val="en-US"/>
              </w:rPr>
              <w:t xml:space="preserve">In a second aspect, the invention relates to a piece of folding furniture, preferably a </w:t>
            </w:r>
            <w:commentRangeStart w:id="6"/>
            <w:r>
              <w:rPr>
                <w:lang w:val="en-US"/>
              </w:rPr>
              <w:t xml:space="preserve">sofa or sofa bed</w:t>
            </w:r>
            <w:commentRangeEnd w:id="6"/>
            <w:r>
              <w:rPr>
                <w:rStyle w:val="CommentReference"/>
              </w:rPr>
              <w:commentReference w:id="6"/>
            </w:r>
            <w:r>
              <w:rPr>
                <w:lang w:val="en-US"/>
              </w:rPr>
              <w:t xml:space="preserve">, comprising a seat portion and optionally a back portion, wherein the seat portion includes a hollow housing in which the folding framework is a framework according to the first aspect, and is attached with the base beams to the inside of the hollow housing.</w:t>
            </w:r>
          </w:p>
        </w:tc>
      </w:tr>
      <w:tr>
        <w:tc>
          <w:tcPr>
            <w:shd w:val="clear" w:color="auto" w:fill="#98FB98"/>
          </w:tcPr>
          <w:p>
            <w:pPr>
              <w:rPr>
                <w:lang w:val="nl-BE"/>
              </w:rPr>
            </w:pPr>
            <w:r>
              <w:rPr>
                <w:rStyle w:val="SegmentID"/>
                <w:lang w:val="nl-BE"/>
              </w:rPr>
              <w:t xml:space="preserve">129</w:t>
            </w:r>
            <w:r>
              <w:rPr>
                <w:rStyle w:val="TransUnitID"/>
                <w:lang w:val="nl-BE"/>
              </w:rPr>
              <w:t xml:space="preserve">caf409fd-5736-4df4-ad07-eae1f3b0a3fe</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In wat volgt, wordt de uitvinding beschreven a.d.h.v. niet-limiterende voorbeelden die de uitvinding illustreren, en die niet bedoeld zijn of geïnterpreteerd mogen worden om de omvang van de uitvinding te limiteren.</w:t>
            </w:r>
          </w:p>
        </w:tc>
        <w:tc>
          <w:tcPr>
            <w:shd w:val="clear" w:color="auto" w:fill="#98FB98"/>
          </w:tcPr>
          <w:p>
            <w:pPr>
              <w:rPr>
                <w:lang w:val="en-US"/>
              </w:rPr>
            </w:pPr>
            <w:r>
              <w:rPr>
                <w:lang w:val="en-US"/>
              </w:rPr>
              <w:t xml:space="preserve">In what follows, the invention is described by way of non-limiting examples illustrating the invention, and which are not intended to and should not be interpreted as limiting the scope of the invention.</w:t>
            </w:r>
          </w:p>
        </w:tc>
      </w:tr>
      <w:tr>
        <w:tc>
          <w:tcPr>
            <w:shd w:val="clear" w:color="auto" w:fill="#98FB98"/>
          </w:tcPr>
          <w:p>
            <w:pPr>
              <w:rPr>
                <w:lang w:val="nl-BE"/>
              </w:rPr>
            </w:pPr>
            <w:r>
              <w:rPr>
                <w:rStyle w:val="SegmentID"/>
                <w:lang w:val="nl-BE"/>
              </w:rPr>
              <w:t xml:space="preserve">130</w:t>
            </w:r>
            <w:r>
              <w:rPr>
                <w:rStyle w:val="TransUnitID"/>
                <w:lang w:val="nl-BE"/>
              </w:rPr>
              <w:t xml:space="preserve">d12bf337-07f0-45c5-ad55-7570a97d794b</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VOORBEELDEN</w:t>
            </w:r>
          </w:p>
        </w:tc>
        <w:tc>
          <w:tcPr>
            <w:shd w:val="clear" w:color="auto" w:fill="#98FB98"/>
          </w:tcPr>
          <w:p>
            <w:pPr>
              <w:rPr>
                <w:lang w:val="en-US"/>
              </w:rPr>
            </w:pPr>
            <w:r>
              <w:rPr>
                <w:lang w:val="en-US"/>
              </w:rPr>
              <w:t xml:space="preserve">EXAMPLES</w:t>
            </w:r>
          </w:p>
        </w:tc>
      </w:tr>
      <w:tr>
        <w:tc>
          <w:tcPr>
            <w:shd w:val="clear" w:color="auto" w:fill="FFFFFF"/>
          </w:tcPr>
          <w:p>
            <w:pPr>
              <w:rPr>
                <w:lang w:val="nl-BE"/>
              </w:rPr>
            </w:pPr>
            <w:r>
              <w:rPr>
                <w:rStyle w:val="SegmentID"/>
                <w:lang w:val="nl-BE"/>
              </w:rPr>
              <w:t xml:space="preserve">131</w:t>
            </w:r>
            <w:r>
              <w:rPr>
                <w:rStyle w:val="TransUnitID"/>
                <w:lang w:val="nl-BE"/>
              </w:rPr>
              <w:t xml:space="preserve">d7a3232e-beae-4982-8516-7a1722a32629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Fig. 1 toont het geraamte in uitgeklapte toestand.</w:t>
            </w:r>
          </w:p>
        </w:tc>
        <w:tc>
          <w:tcPr>
            <w:shd w:val="clear" w:color="auto" w:fill="FFFFFF"/>
          </w:tcPr>
          <w:p>
            <w:pPr>
              <w:rPr>
                <w:lang w:val="en-US"/>
              </w:rPr>
            </w:pPr>
            <w:r>
              <w:rPr>
                <w:lang w:val="en-US"/>
              </w:rPr>
              <w:t xml:space="preserve">Fig. 1 shows the framework in the unfolded state.</w:t>
            </w:r>
          </w:p>
        </w:tc>
      </w:tr>
      <w:tr>
        <w:tc>
          <w:tcPr>
            <w:shd w:val="clear" w:color="auto" w:fill="FFFFFF"/>
          </w:tcPr>
          <w:p>
            <w:pPr>
              <w:rPr>
                <w:lang w:val="nl-BE"/>
              </w:rPr>
            </w:pPr>
            <w:r>
              <w:rPr>
                <w:rStyle w:val="SegmentID"/>
                <w:lang w:val="nl-BE"/>
              </w:rPr>
              <w:t xml:space="preserve">133</w:t>
            </w:r>
            <w:r>
              <w:rPr>
                <w:rStyle w:val="TransUnitID"/>
                <w:lang w:val="nl-BE"/>
              </w:rPr>
              <w:t xml:space="preserve">ecd45ed8-621a-492d-9fe9-7f5d46db7fe7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Figuren 2 – 6 tonen het geraamte tijdens opeenvolgende posities van het uitklappen, startende vanuit een ingeklapte toestand in Fig. 2 tot een uitgeklapte toestand in Fig. 6.</w:t>
            </w:r>
          </w:p>
        </w:tc>
        <w:tc>
          <w:tcPr>
            <w:shd w:val="clear" w:color="auto" w:fill="FFFFFF"/>
          </w:tcPr>
          <w:p>
            <w:pPr>
              <w:rPr>
                <w:lang w:val="en-US"/>
              </w:rPr>
            </w:pPr>
            <w:r>
              <w:rPr>
                <w:lang w:val="en-US"/>
              </w:rPr>
              <w:t xml:space="preserve">Figures 2-6 show the framework in successive positions of unfolding, starting from a folded state in Fig. 2 to an unfolded state in Fig. 6.</w:t>
            </w:r>
          </w:p>
        </w:tc>
      </w:tr>
      <w:tr>
        <w:tc>
          <w:tcPr>
            <w:shd w:val="clear" w:color="auto" w:fill="FFFFFF"/>
          </w:tcPr>
          <w:p>
            <w:pPr>
              <w:rPr>
                <w:lang w:val="nl-BE"/>
              </w:rPr>
            </w:pPr>
            <w:r>
              <w:rPr>
                <w:rStyle w:val="SegmentID"/>
                <w:lang w:val="nl-BE"/>
              </w:rPr>
              <w:t xml:space="preserve">136</w:t>
            </w:r>
            <w:r>
              <w:rPr>
                <w:rStyle w:val="TransUnitID"/>
                <w:lang w:val="nl-BE"/>
              </w:rPr>
              <w:t xml:space="preserve">ecd45ed8-621a-492d-9fe9-7f5d46db7fe7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spreekt voor zich dat de omgekeerde procedure, het inklappen, kan beschouwd worden als de omkering van de stappen voor het uitklappen, en zichtbaar is via opeenvolging van Fig. 6, 5, 4, 3 en 2.</w:t>
            </w:r>
          </w:p>
        </w:tc>
        <w:tc>
          <w:tcPr>
            <w:shd w:val="clear" w:color="auto" w:fill="FFFFFF"/>
          </w:tcPr>
          <w:p>
            <w:pPr>
              <w:rPr>
                <w:lang w:val="en-US"/>
              </w:rPr>
            </w:pPr>
            <w:r>
              <w:rPr>
                <w:lang w:val="en-US"/>
              </w:rPr>
              <w:t xml:space="preserve">It is self-evident that the reverse procedure, folding it up, can be considered as the reverse of the steps for unfolding, and is visible through the sequence of Fig. 6, 5, 4, 3, and 2.</w:t>
            </w:r>
          </w:p>
        </w:tc>
      </w:tr>
      <w:tr>
        <w:tc>
          <w:tcPr>
            <w:shd w:val="clear" w:color="auto" w:fill="FFFFFF"/>
          </w:tcPr>
          <w:p>
            <w:pPr>
              <w:rPr>
                <w:lang w:val="nl-BE"/>
              </w:rPr>
            </w:pPr>
            <w:r>
              <w:rPr>
                <w:rStyle w:val="SegmentID"/>
                <w:lang w:val="nl-BE"/>
              </w:rPr>
              <w:t xml:space="preserve">138</w:t>
            </w:r>
            <w:r>
              <w:rPr>
                <w:rStyle w:val="TransUnitID"/>
                <w:lang w:val="nl-BE"/>
              </w:rPr>
              <w:t xml:space="preserve">118d351f-8cb6-4bcb-a952-471609933c05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uitvinding bestaat uit het creëren van een mechanisme dat heel eenvoudig van bank naar bed kan worden getransformeerd, en voorzien een </w:t>
            </w:r>
            <w:r>
              <w:rPr>
                <w:rStyle w:val="Tag"/>
                <w:lang w:val="nl-BE"/>
              </w:rPr>
              <w:t xml:space="preserve">&lt;52&gt;</w:t>
            </w:r>
            <w:r>
              <w:rPr>
                <w:lang w:val="nl-BE"/>
              </w:rPr>
              <w:t xml:space="preserve">​​</w:t>
            </w:r>
            <w:r>
              <w:rPr>
                <w:rStyle w:val="Tag"/>
                <w:lang w:val="nl-BE"/>
              </w:rPr>
              <w:t xml:space="preserve">&lt;/52&gt;</w:t>
            </w:r>
            <w:r>
              <w:rPr>
                <w:lang w:val="nl-BE"/>
              </w:rPr>
              <w:t xml:space="preserve">nieuwe kinematica om het naar voren gemakkelijk te kunnen hanteren, en kan bijvoorbeeld ook gefixeerd worden aan een muur of wand, ter betere ondersteuning en stabiliteit voor krachtverdeling.</w:t>
            </w:r>
          </w:p>
        </w:tc>
        <w:tc>
          <w:tcPr>
            <w:shd w:val="clear" w:color="auto" w:fill="FFFFFF"/>
          </w:tcPr>
          <w:p>
            <w:pPr>
              <w:rPr>
                <w:lang w:val="en-US"/>
              </w:rPr>
            </w:pPr>
            <w:commentRangeStart w:id="7"/>
            <w:r>
              <w:rPr>
                <w:lang w:val="en-US"/>
              </w:rPr>
              <w:t xml:space="preserve">The invention consists of</w:t>
            </w:r>
            <w:commentRangeEnd w:id="7"/>
            <w:r>
              <w:rPr>
                <w:rStyle w:val="CommentReference"/>
              </w:rPr>
              <w:commentReference w:id="7"/>
            </w:r>
            <w:r>
              <w:rPr>
                <w:lang w:val="en-US"/>
              </w:rPr>
              <w:t xml:space="preserve"> creating a mechanism that can be very easily transformed from a sofa to a bed, and providing a new kinematics to easily handle it forward, and can, for example, also be fixed to a wall or partition, for better support and stability for force distribution.</w:t>
            </w:r>
          </w:p>
        </w:tc>
      </w:tr>
      <w:tr>
        <w:tc>
          <w:tcPr>
            <w:shd w:val="clear" w:color="auto" w:fill="FFFFFF"/>
          </w:tcPr>
          <w:p>
            <w:pPr>
              <w:rPr>
                <w:lang w:val="nl-BE"/>
              </w:rPr>
            </w:pPr>
            <w:r>
              <w:rPr>
                <w:rStyle w:val="SegmentID"/>
                <w:lang w:val="nl-BE"/>
              </w:rPr>
              <w:t xml:space="preserve">139</w:t>
            </w:r>
            <w:r>
              <w:rPr>
                <w:rStyle w:val="TransUnitID"/>
                <w:lang w:val="nl-BE"/>
              </w:rPr>
              <w:t xml:space="preserve">0cc46e66-6b78-4ee5-adea-efb398b23e26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voetgedeelte (11, 12) is geïntegreerd om de opening en sluiting in één beweging te synchroniseren.</w:t>
            </w:r>
          </w:p>
        </w:tc>
        <w:tc>
          <w:tcPr>
            <w:shd w:val="clear" w:color="auto" w:fill="FFFFFF"/>
          </w:tcPr>
          <w:p>
            <w:pPr>
              <w:rPr>
                <w:lang w:val="en-US"/>
              </w:rPr>
            </w:pPr>
            <w:r>
              <w:rPr>
                <w:lang w:val="en-US"/>
              </w:rPr>
              <w:t xml:space="preserve">The foot portion (11, 12) is integrated to synchronize the opening and closing in a single movement.</w:t>
            </w:r>
          </w:p>
        </w:tc>
      </w:tr>
      <w:tr>
        <w:tc>
          <w:tcPr>
            <w:shd w:val="clear" w:color="auto" w:fill="FFFFFF"/>
          </w:tcPr>
          <w:p>
            <w:pPr>
              <w:rPr>
                <w:lang w:val="nl-BE"/>
              </w:rPr>
            </w:pPr>
            <w:r>
              <w:rPr>
                <w:rStyle w:val="SegmentID"/>
                <w:lang w:val="nl-BE"/>
              </w:rPr>
              <w:t xml:space="preserve">140</w:t>
            </w:r>
            <w:r>
              <w:rPr>
                <w:rStyle w:val="TransUnitID"/>
                <w:lang w:val="nl-BE"/>
              </w:rPr>
              <w:t xml:space="preserve">7edad803-3b15-4c40-8db6-ec41576988b5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het mechanisme zitten ook vaste aanslagen in de bank- en bedpositie (ingeklapte en uitgeklapte toestand) die een goede afsteuning van de afzonderlijke componenten toelaten in de ingeklapte en uitgeklapte toestand, waarbij de belasting beter verdeeld wordt en overrotaties tegengehouden worden.</w:t>
            </w:r>
          </w:p>
        </w:tc>
        <w:tc>
          <w:tcPr>
            <w:shd w:val="clear" w:color="auto" w:fill="FFFFFF"/>
          </w:tcPr>
          <w:p>
            <w:pPr>
              <w:rPr>
                <w:lang w:val="en-US"/>
              </w:rPr>
            </w:pPr>
            <w:r>
              <w:rPr>
                <w:lang w:val="en-US"/>
              </w:rPr>
              <w:t xml:space="preserve">Fixed stops are also present on the mechanism in the sofa and bed positions (folded and unfolded states) that allow for proper support of the individual components in both the folded and unfolded states, thereby distributing the load better and preventing over-rotations.</w:t>
            </w:r>
          </w:p>
        </w:tc>
      </w:tr>
      <w:tr>
        <w:tc>
          <w:tcPr>
            <w:shd w:val="clear" w:color="auto" w:fill="FFFFFF"/>
          </w:tcPr>
          <w:p>
            <w:pPr>
              <w:rPr>
                <w:lang w:val="nl-BE"/>
              </w:rPr>
            </w:pPr>
            <w:r>
              <w:rPr>
                <w:rStyle w:val="SegmentID"/>
                <w:lang w:val="nl-BE"/>
              </w:rPr>
              <w:t xml:space="preserve">141</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2 en 3 is te zien dat door de beweging A-A te maken, het geraamte begint te openen.</w:t>
            </w:r>
          </w:p>
        </w:tc>
        <w:tc>
          <w:tcPr>
            <w:shd w:val="clear" w:color="auto" w:fill="FFFFFF"/>
          </w:tcPr>
          <w:p>
            <w:pPr>
              <w:rPr>
                <w:lang w:val="en-US"/>
              </w:rPr>
            </w:pPr>
            <w:r>
              <w:rPr>
                <w:lang w:val="en-US"/>
              </w:rPr>
              <w:t xml:space="preserve">As shown in Fig. 2 and 3, by performing the A-A movement, the framework begins to open.</w:t>
            </w:r>
          </w:p>
        </w:tc>
      </w:tr>
      <w:tr>
        <w:tc>
          <w:tcPr>
            <w:shd w:val="clear" w:color="auto" w:fill="FFFFFF"/>
          </w:tcPr>
          <w:p>
            <w:pPr>
              <w:rPr>
                <w:lang w:val="nl-BE"/>
              </w:rPr>
            </w:pPr>
            <w:r>
              <w:rPr>
                <w:rStyle w:val="SegmentID"/>
                <w:lang w:val="nl-BE"/>
              </w:rPr>
              <w:t xml:space="preserve">143</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raakt het contactpunt “2-2” van het aanslagelement (2) van de eerste hoofdsteunkoppeling (3) niet meer aan het contactpunt “1-1” van de basisliggers (1) in Fig. 3, nadat het daarop rustte in Fig. 2.</w:t>
            </w:r>
          </w:p>
        </w:tc>
        <w:tc>
          <w:tcPr>
            <w:shd w:val="clear" w:color="auto" w:fill="FFFFFF"/>
          </w:tcPr>
          <w:p>
            <w:pPr>
              <w:rPr>
                <w:lang w:val="en-US"/>
              </w:rPr>
            </w:pPr>
            <w:r>
              <w:rPr>
                <w:lang w:val="en-US"/>
              </w:rPr>
              <w:t xml:space="preserve">Hereby, the contact point “2-2” of the stop element (2) of the first head support coupling (3) no longer touches the contact point “1-1” of the base beams (1) in Fig. 3, after resting on it in Fig. 2.</w:t>
            </w:r>
          </w:p>
        </w:tc>
      </w:tr>
      <w:tr>
        <w:tc>
          <w:tcPr>
            <w:shd w:val="clear" w:color="auto" w:fill="FFFFFF"/>
          </w:tcPr>
          <w:p>
            <w:pPr>
              <w:rPr>
                <w:lang w:val="nl-BE"/>
              </w:rPr>
            </w:pPr>
            <w:r>
              <w:rPr>
                <w:rStyle w:val="SegmentID"/>
                <w:lang w:val="nl-BE"/>
              </w:rPr>
              <w:t xml:space="preserve">146</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aanslagelement (2) is vast verbonden aan de eerste hoofdsteunkoppeling (3) via het aanslagfixatiepunt (C).</w:t>
            </w:r>
          </w:p>
        </w:tc>
        <w:tc>
          <w:tcPr>
            <w:shd w:val="clear" w:color="auto" w:fill="FFFFFF"/>
          </w:tcPr>
          <w:p>
            <w:pPr>
              <w:rPr>
                <w:lang w:val="en-US"/>
              </w:rPr>
            </w:pPr>
            <w:r>
              <w:rPr>
                <w:lang w:val="en-US"/>
              </w:rPr>
              <w:t xml:space="preserve">The stop element (2) is fixedly connected to the first head support coupling (3) via the stop fixing point (C).</w:t>
            </w:r>
          </w:p>
        </w:tc>
      </w:tr>
      <w:tr>
        <w:tc>
          <w:tcPr>
            <w:shd w:val="clear" w:color="auto" w:fill="FFFFFF"/>
          </w:tcPr>
          <w:p>
            <w:pPr>
              <w:rPr>
                <w:lang w:val="nl-BE"/>
              </w:rPr>
            </w:pPr>
            <w:r>
              <w:rPr>
                <w:rStyle w:val="SegmentID"/>
                <w:lang w:val="nl-BE"/>
              </w:rPr>
              <w:t xml:space="preserve">147</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dezelfde beweging A-A wordt het lichaamsteunmatraskader (15) dat voorzien is op de lichaamsteunbeugel (9), naar boven bewogen en gedeeltelijk voorwaarts, waardoor de overige verbonden onderdelen mee bewegen en het mechanisme van het geraamte begint te openen.</w:t>
            </w:r>
          </w:p>
        </w:tc>
        <w:tc>
          <w:tcPr>
            <w:shd w:val="clear" w:color="auto" w:fill="FFFFFF"/>
          </w:tcPr>
          <w:p>
            <w:pPr>
              <w:rPr>
                <w:lang w:val="en-US"/>
              </w:rPr>
            </w:pPr>
            <w:r>
              <w:rPr>
                <w:lang w:val="en-US"/>
              </w:rPr>
              <w:t xml:space="preserve">In the same motion A-A, the body support mattress frame (15) provided on the body support bracket (9) is moved upward and partially forward, causing the other connected parts to move along, and the framework mechanism begins to open.</w:t>
            </w:r>
          </w:p>
        </w:tc>
      </w:tr>
      <w:tr>
        <w:tc>
          <w:tcPr>
            <w:shd w:val="clear" w:color="auto" w:fill="FFFFFF"/>
          </w:tcPr>
          <w:p>
            <w:pPr>
              <w:rPr>
                <w:lang w:val="nl-BE"/>
              </w:rPr>
            </w:pPr>
            <w:r>
              <w:rPr>
                <w:rStyle w:val="SegmentID"/>
                <w:lang w:val="nl-BE"/>
              </w:rPr>
              <w:t xml:space="preserve">148</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4 gaat het geraamte nog verder open: het lichaamsteunmatraskader (15) en de lichaamsteunmatrasbeugel (9) beweegt verder omhoog met behulp van de stuurstang (6), die is bevestigd op de basisligger (1) via het zesde scharnierpunt (D).</w:t>
            </w:r>
          </w:p>
        </w:tc>
        <w:tc>
          <w:tcPr>
            <w:shd w:val="clear" w:color="auto" w:fill="FFFFFF"/>
          </w:tcPr>
          <w:p>
            <w:pPr>
              <w:rPr>
                <w:lang w:val="en-US"/>
              </w:rPr>
            </w:pPr>
            <w:r>
              <w:rPr>
                <w:lang w:val="en-US"/>
              </w:rPr>
              <w:t xml:space="preserve">In Fig. 4, the framework opens even further: the body support mattress frame (15) and the body support mattress bracket (9) move further upward with the aid of the steering rod (6), which is attached to the base beam (1) via the sixth hinge point (D).</w:t>
            </w:r>
          </w:p>
        </w:tc>
      </w:tr>
      <w:tr>
        <w:tc>
          <w:tcPr>
            <w:shd w:val="clear" w:color="auto" w:fill="FFFFFF"/>
          </w:tcPr>
          <w:p>
            <w:pPr>
              <w:rPr>
                <w:lang w:val="nl-BE"/>
              </w:rPr>
            </w:pPr>
            <w:r>
              <w:rPr>
                <w:rStyle w:val="SegmentID"/>
                <w:lang w:val="nl-BE"/>
              </w:rPr>
              <w:t xml:space="preserve">150</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Verder is ook de draaistang (5) bevestigd aan de stuurstang (6) via de stangfixatiepunten (E).</w:t>
            </w:r>
          </w:p>
        </w:tc>
        <w:tc>
          <w:tcPr>
            <w:shd w:val="clear" w:color="auto" w:fill="FFFFFF"/>
          </w:tcPr>
          <w:p>
            <w:pPr>
              <w:rPr>
                <w:lang w:val="en-US"/>
              </w:rPr>
            </w:pPr>
            <w:r>
              <w:rPr>
                <w:lang w:val="en-US"/>
              </w:rPr>
              <w:t xml:space="preserve">Further, the rotating rod (5) is also attached to the steering rod (6) via the rod fixing points (E).</w:t>
            </w:r>
          </w:p>
        </w:tc>
      </w:tr>
      <w:tr>
        <w:tc>
          <w:tcPr>
            <w:shd w:val="clear" w:color="auto" w:fill="FFFFFF"/>
          </w:tcPr>
          <w:p>
            <w:pPr>
              <w:rPr>
                <w:lang w:val="nl-BE"/>
              </w:rPr>
            </w:pPr>
            <w:r>
              <w:rPr>
                <w:rStyle w:val="SegmentID"/>
                <w:lang w:val="nl-BE"/>
              </w:rPr>
              <w:t xml:space="preserve">151</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stuurstang is scharnierbaar bevestigd op de lichaamsteunmatrasbeugel via het zevende scharnierpunt (F).</w:t>
            </w:r>
          </w:p>
        </w:tc>
        <w:tc>
          <w:tcPr>
            <w:shd w:val="clear" w:color="auto" w:fill="FFFFFF"/>
          </w:tcPr>
          <w:p>
            <w:pPr>
              <w:rPr>
                <w:lang w:val="en-US"/>
              </w:rPr>
            </w:pPr>
            <w:r>
              <w:rPr>
                <w:lang w:val="en-US"/>
              </w:rPr>
              <w:t xml:space="preserve">The steering rod is hingedly attached to the body support mattress bracket via the seventh hinge point (F).</w:t>
            </w:r>
          </w:p>
        </w:tc>
      </w:tr>
      <w:tr>
        <w:tc>
          <w:tcPr>
            <w:shd w:val="clear" w:color="auto" w:fill="FFFFFF"/>
          </w:tcPr>
          <w:p>
            <w:pPr>
              <w:rPr>
                <w:lang w:val="nl-BE"/>
              </w:rPr>
            </w:pPr>
            <w:r>
              <w:rPr>
                <w:rStyle w:val="SegmentID"/>
                <w:lang w:val="nl-BE"/>
              </w:rPr>
              <w:t xml:space="preserve">152</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Ten slotte is de eerste lichaamsteunkoppeling (8) star verbonden met de (L-vormige) tweede hoofdsteunkoppeling (7) via de koppelingsfixatiepunten (H, H+).</w:t>
            </w:r>
          </w:p>
        </w:tc>
        <w:tc>
          <w:tcPr>
            <w:shd w:val="clear" w:color="auto" w:fill="FFFFFF"/>
          </w:tcPr>
          <w:p>
            <w:pPr>
              <w:rPr>
                <w:lang w:val="en-US"/>
              </w:rPr>
            </w:pPr>
            <w:r>
              <w:rPr>
                <w:lang w:val="en-US"/>
              </w:rPr>
              <w:t xml:space="preserve">Finally, the first body support coupling (8) is rigidly connected with the (L-shaped) second head support coupling (7) via the coupling fixing points (H, H+).</w:t>
            </w:r>
          </w:p>
        </w:tc>
      </w:tr>
      <w:tr>
        <w:tc>
          <w:tcPr>
            <w:shd w:val="clear" w:color="auto" w:fill="FFFFFF"/>
          </w:tcPr>
          <w:p>
            <w:pPr>
              <w:rPr>
                <w:lang w:val="nl-BE"/>
              </w:rPr>
            </w:pPr>
            <w:r>
              <w:rPr>
                <w:rStyle w:val="SegmentID"/>
                <w:lang w:val="nl-BE"/>
              </w:rPr>
              <w:t xml:space="preserve">153</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Deze tweede hoofdsteunkoppeling (7) is zelf scharnierbaar bevestigd aan de basisliggers (1) via het vijfde scharnierpunt (G).</w:t>
            </w:r>
          </w:p>
        </w:tc>
        <w:tc>
          <w:tcPr>
            <w:shd w:val="clear" w:color="auto" w:fill="FFFFFF"/>
          </w:tcPr>
          <w:p>
            <w:pPr>
              <w:rPr>
                <w:lang w:val="en-US"/>
              </w:rPr>
            </w:pPr>
            <w:r>
              <w:rPr>
                <w:lang w:val="en-US"/>
              </w:rPr>
              <w:t xml:space="preserve">This second head support coupling (7) is itself hingedly attached to the base beams (1) via the fifth hinge point (G).</w:t>
            </w:r>
          </w:p>
        </w:tc>
      </w:tr>
      <w:tr>
        <w:tc>
          <w:tcPr>
            <w:shd w:val="clear" w:color="auto" w:fill="FFFFFF"/>
          </w:tcPr>
          <w:p>
            <w:pPr>
              <w:rPr>
                <w:lang w:val="nl-BE"/>
              </w:rPr>
            </w:pPr>
            <w:r>
              <w:rPr>
                <w:rStyle w:val="SegmentID"/>
                <w:lang w:val="nl-BE"/>
              </w:rPr>
              <w:t xml:space="preserve">154</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eerste lichaamsteunkoppeling (8) is enerzijds scharnierbaar verbonden met de lichaamsteunmatrasbeugel (9) via het tweede koppelpunt (K), en tevens met de synchronisatiekoppeling (10) via het eerste koppelpunt (L), met het tweede koppelpunt (K) meer distaal gelegen dan het eerste koppelpunt (L) ten opzichte van de koppelingsfixatiepunten (H, H+).</w:t>
            </w:r>
          </w:p>
        </w:tc>
        <w:tc>
          <w:tcPr>
            <w:shd w:val="clear" w:color="auto" w:fill="FFFFFF"/>
          </w:tcPr>
          <w:p>
            <w:pPr>
              <w:rPr>
                <w:lang w:val="en-US"/>
              </w:rPr>
            </w:pPr>
            <w:r>
              <w:rPr>
                <w:lang w:val="en-US"/>
              </w:rPr>
              <w:t xml:space="preserve">The first body support coupling (8) is hingedly connected, on the one hand, to the body support mattress bracket (9) via the second coupling point (K), and also to the synchronization coupling (10) via the first coupling point (L), with the second coupling point (K) located more distally than the first coupling point (L) relative to the coupling fixing points (H, H+).</w:t>
            </w:r>
          </w:p>
        </w:tc>
      </w:tr>
      <w:tr>
        <w:tc>
          <w:tcPr>
            <w:shd w:val="clear" w:color="auto" w:fill="FFFFFF"/>
          </w:tcPr>
          <w:p>
            <w:pPr>
              <w:rPr>
                <w:lang w:val="nl-BE"/>
              </w:rPr>
            </w:pPr>
            <w:r>
              <w:rPr>
                <w:rStyle w:val="SegmentID"/>
                <w:lang w:val="nl-BE"/>
              </w:rPr>
              <w:t xml:space="preserve">155</w:t>
            </w:r>
            <w:r>
              <w:rPr>
                <w:rStyle w:val="TransUnitID"/>
                <w:lang w:val="nl-BE"/>
              </w:rPr>
              <w:t xml:space="preserve">b450f193-52eb-42bc-94b5-b70fe8cf5f94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Hierdoor zorgt de beweging van de eerste lichaamsteunkoppeling (8), voor een onderling verschillende beweging van de synchronisatiekoppeling (10) en van de lichaamsteunmatrasbeugel (9), waardoor het voetgedeelte kan bewogen worden.</w:t>
            </w:r>
          </w:p>
        </w:tc>
        <w:tc>
          <w:tcPr>
            <w:shd w:val="clear" w:color="auto" w:fill="FFFFFF"/>
          </w:tcPr>
          <w:p>
            <w:pPr>
              <w:rPr>
                <w:lang w:val="en-US"/>
              </w:rPr>
            </w:pPr>
            <w:r>
              <w:rPr>
                <w:lang w:val="en-US"/>
              </w:rPr>
              <w:t xml:space="preserve">As a result, the movement of the first body support coupling (8) causes a mutually different movement of the synchronization coupling (10) and the body support mattress bracket (9), thereby allowing the foot portion to be moved.</w:t>
            </w:r>
          </w:p>
        </w:tc>
      </w:tr>
      <w:tr>
        <w:tc>
          <w:tcPr>
            <w:shd w:val="clear" w:color="auto" w:fill="FFFFFF"/>
          </w:tcPr>
          <w:p>
            <w:pPr>
              <w:rPr>
                <w:lang w:val="nl-BE"/>
              </w:rPr>
            </w:pPr>
            <w:r>
              <w:rPr>
                <w:rStyle w:val="SegmentID"/>
                <w:lang w:val="nl-BE"/>
              </w:rPr>
              <w:t xml:space="preserve">156</w:t>
            </w:r>
            <w:r>
              <w:rPr>
                <w:rStyle w:val="TransUnitID"/>
                <w:lang w:val="nl-BE"/>
              </w:rPr>
              <w:t xml:space="preserve">b450f193-52eb-42bc-94b5-b70fe8cf5f94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voetbeugel (11) is vast verbonden aan de lichaamsteunmatrasbeugel (9) via de voetfixatiepunten (M, N).</w:t>
            </w:r>
          </w:p>
        </w:tc>
        <w:tc>
          <w:tcPr>
            <w:shd w:val="clear" w:color="auto" w:fill="FFFFFF"/>
          </w:tcPr>
          <w:p>
            <w:pPr>
              <w:rPr>
                <w:lang w:val="en-US"/>
              </w:rPr>
            </w:pPr>
            <w:r>
              <w:rPr>
                <w:lang w:val="en-US"/>
              </w:rPr>
              <w:t xml:space="preserve">The foot bracket (11) is fixedly connected to the body support mattress bracket (9) via the foot fixing points (M, N).</w:t>
            </w:r>
          </w:p>
        </w:tc>
      </w:tr>
      <w:tr>
        <w:tc>
          <w:tcPr>
            <w:shd w:val="clear" w:color="auto" w:fill="FFFFFF"/>
          </w:tcPr>
          <w:p>
            <w:pPr>
              <w:rPr>
                <w:lang w:val="nl-BE"/>
              </w:rPr>
            </w:pPr>
            <w:r>
              <w:rPr>
                <w:rStyle w:val="SegmentID"/>
                <w:lang w:val="nl-BE"/>
              </w:rPr>
              <w:t xml:space="preserve">157</w:t>
            </w:r>
            <w:r>
              <w:rPr>
                <w:rStyle w:val="TransUnitID"/>
                <w:lang w:val="nl-BE"/>
              </w:rPr>
              <w:t xml:space="preserve">b450f193-52eb-42bc-94b5-b70fe8cf5f94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voetstuk (12) zelf is scharnierbaar bevestigd op de voetbeugel (11) via het pivotpunt (Q) en is scharnierbaar bevestigd aan het andere uiteinde van de synchronisatiekoppeling (10), zodat het voetstuk (12) kan in- en uitklappen van en tegen de lichaamsteunmatrasbeugel (9) ten opzichte van de gefixeerde voetbeugel (11).</w:t>
            </w:r>
          </w:p>
        </w:tc>
        <w:tc>
          <w:tcPr>
            <w:shd w:val="clear" w:color="auto" w:fill="FFFFFF"/>
          </w:tcPr>
          <w:p>
            <w:pPr>
              <w:rPr>
                <w:lang w:val="en-US"/>
              </w:rPr>
            </w:pPr>
            <w:r>
              <w:rPr>
                <w:lang w:val="en-US"/>
              </w:rPr>
              <w:t xml:space="preserve">The foot member (12) itself is hingedly attached to the foot bracket (11) via the hinge point (Q) and is hingedly attached to the other end of the synchronization coupling (10), so that the foot member (12) can fold in and out from and against the body support mattress bracket (9) relative to the fixed foot bracket (11).</w:t>
            </w:r>
          </w:p>
        </w:tc>
      </w:tr>
      <w:tr>
        <w:tc>
          <w:tcPr>
            <w:shd w:val="clear" w:color="auto" w:fill="FFFFFF"/>
          </w:tcPr>
          <w:p>
            <w:pPr>
              <w:rPr>
                <w:lang w:val="nl-BE"/>
              </w:rPr>
            </w:pPr>
            <w:r>
              <w:rPr>
                <w:rStyle w:val="SegmentID"/>
                <w:lang w:val="nl-BE"/>
              </w:rPr>
              <w:t xml:space="preserve">158</w:t>
            </w:r>
            <w:r>
              <w:rPr>
                <w:rStyle w:val="TransUnitID"/>
                <w:lang w:val="nl-BE"/>
              </w:rPr>
              <w:t xml:space="preserve">594f4155-b340-4e9c-b40f-f4510799c6d1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pen (P) is ten slotte voorzien op de voetbeugel (11) en is beweegbaar in een groef op het voetstuk (12) in de vorm van een cirkelboog met als middelpunt het pivotpunt (Q), om vervorming van het voetstuk te vermijden.</w:t>
            </w:r>
          </w:p>
        </w:tc>
        <w:tc>
          <w:tcPr>
            <w:shd w:val="clear" w:color="auto" w:fill="FFFFFF"/>
          </w:tcPr>
          <w:p>
            <w:pPr>
              <w:rPr>
                <w:lang w:val="en-US"/>
              </w:rPr>
            </w:pPr>
            <w:r>
              <w:rPr>
                <w:lang w:val="en-US"/>
              </w:rPr>
              <w:t xml:space="preserve">The pin (P) is finally provided on the foot bracket (11) and is movable in a groove on the foot member (12) in the form of a circular arc with the midpoint as the hinge point (Q), to avoid deformation of the foot member.</w:t>
            </w:r>
          </w:p>
        </w:tc>
      </w:tr>
      <w:tr>
        <w:tc>
          <w:tcPr>
            <w:shd w:val="clear" w:color="auto" w:fill="FFFFFF"/>
          </w:tcPr>
          <w:p>
            <w:pPr>
              <w:rPr>
                <w:lang w:val="nl-BE"/>
              </w:rPr>
            </w:pPr>
            <w:r>
              <w:rPr>
                <w:rStyle w:val="SegmentID"/>
                <w:lang w:val="nl-BE"/>
              </w:rPr>
              <w:t xml:space="preserve">159</w:t>
            </w:r>
            <w:r>
              <w:rPr>
                <w:rStyle w:val="TransUnitID"/>
                <w:lang w:val="nl-BE"/>
              </w:rPr>
              <w:t xml:space="preserve">e761d010-0e4a-4016-93b3-ada299c5a747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de basisliggers (1) is er verder de eerste hoofdsteunkoppeling (3) scharnierbaar voorzien via het derde scharnierpunt (A), waarbij het andere uiteinde van de eerste hoofdsteunkoppeling (3) scharnierbaar voorzien is aan de hoofdsteunmatrasbeugel (4) via het vierde scharnierpunt (B).</w:t>
            </w:r>
          </w:p>
        </w:tc>
        <w:tc>
          <w:tcPr>
            <w:shd w:val="clear" w:color="auto" w:fill="FFFFFF"/>
          </w:tcPr>
          <w:p>
            <w:pPr>
              <w:rPr>
                <w:lang w:val="en-US"/>
              </w:rPr>
            </w:pPr>
            <w:r>
              <w:rPr>
                <w:lang w:val="en-US"/>
              </w:rPr>
              <w:t xml:space="preserve">On the base beams (1), the first head support coupling (3) is further hingedly provided via the third hinge point (A), wherein the other end of the first head support coupling (3) is hingedly provided to the head support mattress bracket (4) via the fourth hinge point (B).</w:t>
            </w:r>
          </w:p>
        </w:tc>
      </w:tr>
      <w:tr>
        <w:tc>
          <w:tcPr>
            <w:shd w:val="clear" w:color="auto" w:fill="FFFFFF"/>
          </w:tcPr>
          <w:p>
            <w:pPr>
              <w:rPr>
                <w:lang w:val="nl-BE"/>
              </w:rPr>
            </w:pPr>
            <w:r>
              <w:rPr>
                <w:rStyle w:val="SegmentID"/>
                <w:lang w:val="nl-BE"/>
              </w:rPr>
              <w:t xml:space="preserve">160</w:t>
            </w:r>
            <w:r>
              <w:rPr>
                <w:rStyle w:val="TransUnitID"/>
                <w:lang w:val="nl-BE"/>
              </w:rPr>
              <w:t xml:space="preserve">3b12a13d-b207-4b25-83c6-353745de89c9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of aan de hoofdsteunmatrasbeugel (4) kan dan het hoofdsteunmatraskader (14) voorzien worden.</w:t>
            </w:r>
          </w:p>
        </w:tc>
        <w:tc>
          <w:tcPr>
            <w:shd w:val="clear" w:color="auto" w:fill="FFFFFF"/>
          </w:tcPr>
          <w:p>
            <w:pPr>
              <w:rPr>
                <w:lang w:val="en-US"/>
              </w:rPr>
            </w:pPr>
            <w:r>
              <w:rPr>
                <w:lang w:val="en-US"/>
              </w:rPr>
              <w:t xml:space="preserve">The head support mattress bracket (14) can then be provided on or to the head support mattress frame (4).</w:t>
            </w:r>
          </w:p>
        </w:tc>
      </w:tr>
      <w:tr>
        <w:tc>
          <w:tcPr>
            <w:shd w:val="clear" w:color="auto" w:fill="FFFFFF"/>
          </w:tcPr>
          <w:p>
            <w:pPr>
              <w:rPr>
                <w:lang w:val="nl-BE"/>
              </w:rPr>
            </w:pPr>
            <w:r>
              <w:rPr>
                <w:rStyle w:val="SegmentID"/>
                <w:lang w:val="nl-BE"/>
              </w:rPr>
              <w:t xml:space="preserve">161 a</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5 is de verdere opening van het mechanisme zichtbaar via beweging A-A.</w:t>
            </w:r>
          </w:p>
        </w:tc>
        <w:tc>
          <w:tcPr>
            <w:shd w:val="clear" w:color="auto" w:fill="FFFFFF"/>
          </w:tcPr>
          <w:p>
            <w:pPr>
              <w:rPr>
                <w:lang w:val="en-US"/>
              </w:rPr>
            </w:pPr>
            <w:r>
              <w:rPr>
                <w:lang w:val="en-US"/>
              </w:rPr>
              <w:t xml:space="preserve">In Fig. 5, the further opening of the mechanism is visible via movement A-A.</w:t>
            </w:r>
          </w:p>
        </w:tc>
      </w:tr>
      <w:tr>
        <w:tc>
          <w:tcPr>
            <w:shd w:val="clear" w:color="auto" w:fill="FFFFFF"/>
          </w:tcPr>
          <w:p>
            <w:pPr>
              <w:rPr>
                <w:lang w:val="nl-BE"/>
              </w:rPr>
            </w:pPr>
            <w:r>
              <w:rPr>
                <w:rStyle w:val="SegmentID"/>
                <w:lang w:val="nl-BE"/>
              </w:rPr>
              <w:t xml:space="preserve">161 b</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Daarbij klapt het voetstuk (12) verder uit, zonder daarbij de omkasting van het opklapmeubel te raken, door het vertraagd uitklappen via de positionering en configuratie van de eerste lichaamsteunkoppeling (8) en de synchronisatiekoppeling (10).</w:t>
            </w:r>
          </w:p>
        </w:tc>
        <w:tc>
          <w:tcPr>
            <w:shd w:val="clear" w:color="auto" w:fill="FFFFFF"/>
          </w:tcPr>
          <w:p>
            <w:pPr>
              <w:rPr>
                <w:lang w:val="en-US"/>
              </w:rPr>
            </w:pPr>
            <w:r>
              <w:rPr>
                <w:lang w:val="en-US"/>
              </w:rPr>
              <w:t xml:space="preserve">The foot member (12) thereby then unfolds further without touching the housing of the piece of folding furniture, due to the delayed unfolding via the positioning and configuration of the first body support coupling (8) and the synchronization coupling (10).</w:t>
            </w:r>
          </w:p>
        </w:tc>
      </w:tr>
      <w:tr>
        <w:tc>
          <w:tcPr>
            <w:shd w:val="clear" w:color="auto" w:fill="FFFFFF"/>
          </w:tcPr>
          <w:p>
            <w:pPr>
              <w:rPr>
                <w:lang w:val="nl-BE"/>
              </w:rPr>
            </w:pPr>
            <w:r>
              <w:rPr>
                <w:rStyle w:val="SegmentID"/>
                <w:lang w:val="nl-BE"/>
              </w:rPr>
              <w:t xml:space="preserve">163</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deze positie staat de lichaamsteunmatrasbeugel (9) en het lichaamsteunmatraskader (15) op de hoogste positie, gezien de loodrechtste stand van de eerste lichaamsteunkoppeling (8) en stuurstang (6).</w:t>
            </w:r>
          </w:p>
        </w:tc>
        <w:tc>
          <w:tcPr>
            <w:shd w:val="clear" w:color="auto" w:fill="FFFFFF"/>
          </w:tcPr>
          <w:p>
            <w:pPr>
              <w:rPr>
                <w:lang w:val="en-US"/>
              </w:rPr>
            </w:pPr>
            <w:r>
              <w:rPr>
                <w:lang w:val="en-US"/>
              </w:rPr>
              <w:t xml:space="preserve">In this position, the body support mattress bracket (9) and the body support mattress frame (15) are at the highest position, given the most perpendicular orientation of the first body support coupling (8) and the steering rod (6).</w:t>
            </w:r>
          </w:p>
        </w:tc>
      </w:tr>
      <w:tr>
        <w:tc>
          <w:tcPr>
            <w:shd w:val="clear" w:color="auto" w:fill="FFFFFF"/>
          </w:tcPr>
          <w:p>
            <w:pPr>
              <w:rPr>
                <w:lang w:val="nl-BE"/>
              </w:rPr>
            </w:pPr>
            <w:r>
              <w:rPr>
                <w:rStyle w:val="SegmentID"/>
                <w:lang w:val="nl-BE"/>
              </w:rPr>
              <w:t xml:space="preserve">164</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het voorzien van een koppelstang (13) wordt de stabiliteit en synchronisatie van beweging aan beide laterale zijden gegarandeerd in deze positie, die aan de eerste lichaamsteunkoppelingen bevestigd is via de koppelfixatiepunten (I).</w:t>
            </w:r>
          </w:p>
        </w:tc>
        <w:tc>
          <w:tcPr>
            <w:shd w:val="clear" w:color="auto" w:fill="FFFFFF"/>
          </w:tcPr>
          <w:p>
            <w:pPr>
              <w:rPr>
                <w:lang w:val="en-US"/>
              </w:rPr>
            </w:pPr>
            <w:r>
              <w:rPr>
                <w:lang w:val="en-US"/>
              </w:rPr>
              <w:t xml:space="preserve">By providing a coupling rod (13), the stability and synchronization of movement on both lateral sides is guaranteed in this position, which is attached to the first body support couplings via the coupling fixing points (I).</w:t>
            </w:r>
          </w:p>
        </w:tc>
      </w:tr>
      <w:tr>
        <w:tc>
          <w:tcPr>
            <w:shd w:val="clear" w:color="auto" w:fill="FFFFFF"/>
          </w:tcPr>
          <w:p>
            <w:pPr>
              <w:rPr>
                <w:lang w:val="nl-BE"/>
              </w:rPr>
            </w:pPr>
            <w:r>
              <w:rPr>
                <w:rStyle w:val="SegmentID"/>
                <w:lang w:val="nl-BE"/>
              </w:rPr>
              <w:t xml:space="preserve">165</w:t>
            </w:r>
            <w:r>
              <w:rPr>
                <w:rStyle w:val="TransUnitID"/>
                <w:lang w:val="nl-BE"/>
              </w:rPr>
              <w:t xml:space="preserve">3b6e6c5e-9be6-4923-ad25-ae752c17e117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6 ten slotte is het volledig uitgeklapte systeem zichtbaar, waarbij het voetstuk (12) de grond raakt.</w:t>
            </w:r>
          </w:p>
        </w:tc>
        <w:tc>
          <w:tcPr>
            <w:shd w:val="clear" w:color="auto" w:fill="FFFFFF"/>
          </w:tcPr>
          <w:p>
            <w:pPr>
              <w:rPr>
                <w:lang w:val="en-US"/>
              </w:rPr>
            </w:pPr>
            <w:r>
              <w:rPr>
                <w:lang w:val="en-US"/>
              </w:rPr>
              <w:t xml:space="preserve">In Fig. 6, finally, the fully unfolded system is visible, with the foot member (12) touching the ground.</w:t>
            </w:r>
          </w:p>
        </w:tc>
      </w:tr>
      <w:tr>
        <w:tc>
          <w:tcPr>
            <w:shd w:val="clear" w:color="auto" w:fill="FFFFFF"/>
          </w:tcPr>
          <w:p>
            <w:pPr>
              <w:rPr>
                <w:lang w:val="nl-BE"/>
              </w:rPr>
            </w:pPr>
            <w:r>
              <w:rPr>
                <w:rStyle w:val="SegmentID"/>
                <w:lang w:val="nl-BE"/>
              </w:rPr>
              <w:t xml:space="preserve">167</w:t>
            </w:r>
            <w:r>
              <w:rPr>
                <w:rStyle w:val="TransUnitID"/>
                <w:lang w:val="nl-BE"/>
              </w:rPr>
              <w:t xml:space="preserve">3b6e6c5e-9be6-4923-ad25-ae752c17e117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is ook zichtbaar dat de eerste lichaamsteunkoppeling (8) tegen het stopelement (J) rust, aan de onderzijde daarvan, en zo de verdere rotatie tegenhoudt, en zo verhindert dat het geraamte komt te rusten op het opklapmeubel (buiten aan de basisliggers (1), die hieraan verbonden zijn).</w:t>
            </w:r>
          </w:p>
        </w:tc>
        <w:tc>
          <w:tcPr>
            <w:shd w:val="clear" w:color="auto" w:fill="FFFFFF"/>
          </w:tcPr>
          <w:p>
            <w:pPr>
              <w:rPr>
                <w:lang w:val="en-US"/>
              </w:rPr>
            </w:pPr>
            <w:r>
              <w:rPr>
                <w:lang w:val="en-US"/>
              </w:rPr>
              <w:t xml:space="preserve">Here it is also visible that the first body support coupling (8) rests against the stop element (J) at its underside, thereby preventing further rotation, and thus preventing the framework from resting on the piece of folding furniture (outside at the base beams (1), which are connected to it).</w:t>
            </w:r>
          </w:p>
        </w:tc>
      </w:tr>
      <w:tr>
        <w:tc>
          <w:tcPr>
            <w:shd w:val="clear" w:color="auto" w:fill="FFFFFF"/>
          </w:tcPr>
          <w:p>
            <w:pPr>
              <w:rPr>
                <w:lang w:val="nl-BE"/>
              </w:rPr>
            </w:pPr>
            <w:r>
              <w:rPr>
                <w:rStyle w:val="SegmentID"/>
                <w:lang w:val="nl-BE"/>
              </w:rPr>
              <w:t xml:space="preserve">168</w:t>
            </w:r>
            <w:r>
              <w:rPr>
                <w:rStyle w:val="TransUnitID"/>
                <w:lang w:val="nl-BE"/>
              </w:rPr>
              <w:t xml:space="preserve">13ccb3a7-456f-43aa-9341-228451b8c8fb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Om het geraamte te sluiten, kan een gebruiker het uiteinde (meest distaal ten opzichte van het opklapmeubel voor maximaal moment) van het lichaamsteunmatraskader (15) of de lichaamsteunmatrasbeugel (9) naar boven bewegen, waarmee het inklappen in gang gezet wordt, en de rest van het mechanisme deze beweging volgt.</w:t>
            </w:r>
          </w:p>
        </w:tc>
        <w:tc>
          <w:tcPr>
            <w:shd w:val="clear" w:color="auto" w:fill="FFFFFF"/>
          </w:tcPr>
          <w:p>
            <w:pPr>
              <w:rPr>
                <w:lang w:val="en-US"/>
              </w:rPr>
            </w:pPr>
            <w:r>
              <w:rPr>
                <w:lang w:val="en-US"/>
              </w:rPr>
              <w:t xml:space="preserve">To close the framework, a user can move an end (most distal with respect to the piece of folding furniture for maximum moment) of the body support mattress frame (15) or the body support mattress bracket (9) upwards, thereby initiating the folding, and the rest of the mechanism follows this movement.</w:t>
            </w:r>
          </w:p>
        </w:tc>
      </w:tr>
      <w:tr>
        <w:tc>
          <w:tcPr>
            <w:shd w:val="clear" w:color="auto" w:fill="#98FB98"/>
          </w:tcPr>
          <w:p>
            <w:pPr>
              <w:rPr>
                <w:lang w:val="nl-BE"/>
              </w:rPr>
            </w:pPr>
            <w:r>
              <w:rPr>
                <w:rStyle w:val="SegmentID"/>
                <w:lang w:val="nl-BE"/>
              </w:rPr>
              <w:t xml:space="preserve">169</w:t>
            </w:r>
            <w:r>
              <w:rPr>
                <w:rStyle w:val="TransUnitID"/>
                <w:lang w:val="nl-BE"/>
              </w:rPr>
              <w:t xml:space="preserve">cff83129-8852-4c50-90cf-2e569f9c504e</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is verondersteld dat de huidige uitvinding niet beperkt is tot de uitvoeringsvormen die hierboven beschreven zijn en dat enkele aanpassingen of veranderingen aan de beschreven voorbeelden kunnen toegevoegd worden zonder de toegevoegde conclusies te herwaarderen.</w:t>
            </w:r>
          </w:p>
        </w:tc>
        <w:tc>
          <w:tcPr>
            <w:shd w:val="clear" w:color="auto" w:fill="#98FB98"/>
          </w:tcPr>
          <w:p>
            <w:pPr>
              <w:rPr>
                <w:lang w:val="en-US"/>
              </w:rPr>
            </w:pPr>
            <w:r>
              <w:rPr>
                <w:lang w:val="en-US"/>
              </w:rPr>
              <w:t xml:space="preserve">The present invention should not be construed as being limited to the embodiments described above and certain modifications or changes may be added to the examples described without having to re-evaluate the appended claims.</w:t>
            </w:r>
          </w:p>
        </w:tc>
      </w:tr>
      <w:tr>
        <w:tc>
          <w:tcPr>
            <w:shd w:val="clear" w:color="auto" w:fill="FFFFFF"/>
          </w:tcPr>
          <w:p>
            <w:pPr>
              <w:rPr>
                <w:lang w:val="nl-BE"/>
              </w:rPr>
            </w:pPr>
            <w:r>
              <w:rPr>
                <w:rStyle w:val="SegmentID"/>
                <w:lang w:val="nl-BE"/>
              </w:rPr>
              <w:t xml:space="preserve">170</w:t>
            </w:r>
            <w:r>
              <w:rPr>
                <w:rStyle w:val="TransUnitID"/>
                <w:lang w:val="nl-BE"/>
              </w:rPr>
              <w:t xml:space="preserve">cff83129-8852-4c50-90cf-2e569f9c504e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Bijvoorbeeld, de huidige uitvinding werd beschreven met verwijzing naar opklapmeubels zoals zetels, sofa’s, bedbanken, fauteuils, etc., maar het mag duidelijk zijn dat de uitvinding kan toegepast worden op bv. kisten of kasten.</w:t>
            </w:r>
          </w:p>
        </w:tc>
        <w:tc>
          <w:tcPr>
            <w:shd w:val="clear" w:color="auto" w:fill="FFFFFF"/>
          </w:tcPr>
          <w:p>
            <w:pPr>
              <w:rPr>
                <w:lang w:val="en-US"/>
              </w:rPr>
            </w:pPr>
            <w:r>
              <w:rPr>
                <w:lang w:val="en-US"/>
              </w:rPr>
              <w:t xml:space="preserve">For example, the present invention was described with reference to pieces of folding furniture such as chairs, sofas, sofa beds, armchairs, etc., but it should be clear that the invention can be applied to, for example, chests or cabinets.</w:t>
            </w:r>
          </w:p>
        </w:tc>
      </w:tr>
      <w:tr>
        <w:tc>
          <w:tcPr>
            <w:shd w:val="clear" w:color="auto" w:fill="FFFFFF"/>
          </w:tcPr>
          <w:p>
            <w:pPr>
              <w:rPr>
                <w:lang w:val="nl-BE"/>
              </w:rPr>
            </w:pPr>
            <w:r>
              <w:rPr>
                <w:rStyle w:val="SegmentID"/>
                <w:lang w:val="nl-BE"/>
              </w:rPr>
              <w:t xml:space="preserve">171</w:t>
            </w:r>
            <w:r>
              <w:rPr>
                <w:rStyle w:val="TransUnitID"/>
                <w:lang w:val="nl-BE"/>
              </w:rPr>
              <w:t xml:space="preserve">7e8968ce-35a8-4a97-890d-4643dcd5b5d9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Oplijsting onderdelen:</w:t>
            </w:r>
          </w:p>
        </w:tc>
        <w:tc>
          <w:tcPr>
            <w:shd w:val="clear" w:color="auto" w:fill="FFFFFF"/>
          </w:tcPr>
          <w:p>
            <w:pPr>
              <w:rPr>
                <w:lang w:val="en-US"/>
              </w:rPr>
            </w:pPr>
            <w:r>
              <w:rPr>
                <w:lang w:val="en-US"/>
              </w:rPr>
              <w:t xml:space="preserve">Listing of components:</w:t>
            </w:r>
          </w:p>
        </w:tc>
      </w:tr>
      <w:tr>
        <w:tc>
          <w:tcPr>
            <w:shd w:val="clear" w:color="auto" w:fill="F5DEB3"/>
          </w:tcPr>
          <w:p>
            <w:pPr>
              <w:rPr>
                <w:lang w:val="nl-BE"/>
              </w:rPr>
            </w:pPr>
            <w:r>
              <w:rPr>
                <w:rStyle w:val="SegmentID"/>
                <w:lang w:val="nl-BE"/>
              </w:rPr>
              <w:t xml:space="preserve">172</w:t>
            </w:r>
            <w:r>
              <w:rPr>
                <w:rStyle w:val="TransUnitID"/>
                <w:lang w:val="nl-BE"/>
              </w:rPr>
              <w:t xml:space="preserve">5b3f085a-39c2-4805-a5c7-5a5e8a8c4779</w:t>
            </w:r>
          </w:p>
        </w:tc>
        <w:tc>
          <w:tcPr>
            <w:shd w:val="clear" w:color="auto" w:fill="F5DEB3"/>
          </w:tcPr>
          <w:p>
            <w:pPr>
              <w:rPr>
                <w:lang w:val="nl-BE"/>
              </w:rPr>
            </w:pPr>
            <w:r>
              <w:rPr>
                <w:lang w:val="nl-BE"/>
              </w:rPr>
              <w:t xml:space="preserve">Translated (90%)</w:t>
            </w:r>
          </w:p>
        </w:tc>
        <w:tc>
          <w:tcPr>
            <w:shd w:val="clear" w:color="auto" w:fill="F5DEB3"/>
          </w:tcPr>
          <w:p>
            <w:pPr>
              <w:rPr>
                <w:lang w:val="nl-BE"/>
              </w:rPr>
            </w:pPr>
            <w:r>
              <w:rPr>
                <w:lang w:val="nl-BE"/>
              </w:rPr>
              <w:t xml:space="preserve">basisligger</w:t>
            </w:r>
          </w:p>
        </w:tc>
        <w:tc>
          <w:tcPr>
            <w:shd w:val="clear" w:color="auto" w:fill="F5DEB3"/>
          </w:tcPr>
          <w:p>
            <w:pPr>
              <w:rPr>
                <w:lang w:val="en-US"/>
              </w:rPr>
            </w:pPr>
            <w:r>
              <w:rPr>
                <w:lang w:val="en-US"/>
              </w:rPr>
              <w:t xml:space="preserve">base beam</w:t>
            </w:r>
          </w:p>
        </w:tc>
      </w:tr>
      <w:tr>
        <w:tc>
          <w:tcPr>
            <w:shd w:val="clear" w:color="auto" w:fill="FFFFFF"/>
          </w:tcPr>
          <w:p>
            <w:pPr>
              <w:rPr>
                <w:lang w:val="nl-BE"/>
              </w:rPr>
            </w:pPr>
            <w:r>
              <w:rPr>
                <w:rStyle w:val="SegmentID"/>
                <w:lang w:val="nl-BE"/>
              </w:rPr>
              <w:t xml:space="preserve">173</w:t>
            </w:r>
            <w:r>
              <w:rPr>
                <w:rStyle w:val="TransUnitID"/>
                <w:lang w:val="nl-BE"/>
              </w:rPr>
              <w:t xml:space="preserve">1cd26cf2-1922-4d1c-864e-194f6f9d2aba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aanslagelement</w:t>
            </w:r>
          </w:p>
        </w:tc>
        <w:tc>
          <w:tcPr>
            <w:shd w:val="clear" w:color="auto" w:fill="FFFFFF"/>
          </w:tcPr>
          <w:p>
            <w:pPr>
              <w:rPr>
                <w:lang w:val="en-US"/>
              </w:rPr>
            </w:pPr>
            <w:r>
              <w:rPr>
                <w:lang w:val="en-US"/>
              </w:rPr>
              <w:t xml:space="preserve">stop element</w:t>
            </w:r>
          </w:p>
        </w:tc>
      </w:tr>
      <w:tr>
        <w:tc>
          <w:tcPr>
            <w:shd w:val="clear" w:color="auto" w:fill="FFFFFF"/>
          </w:tcPr>
          <w:p>
            <w:pPr>
              <w:rPr>
                <w:lang w:val="nl-BE"/>
              </w:rPr>
            </w:pPr>
            <w:r>
              <w:rPr>
                <w:rStyle w:val="SegmentID"/>
                <w:lang w:val="nl-BE"/>
              </w:rPr>
              <w:t xml:space="preserve">174</w:t>
            </w:r>
            <w:r>
              <w:rPr>
                <w:rStyle w:val="TransUnitID"/>
                <w:lang w:val="nl-BE"/>
              </w:rPr>
              <w:t xml:space="preserve">c3cee96d-59d1-4e71-88d5-9b988d0bf1bf</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eerste hoofdsteunkoppeling</w:t>
            </w:r>
          </w:p>
        </w:tc>
        <w:tc>
          <w:tcPr>
            <w:shd w:val="clear" w:color="auto" w:fill="FFFFFF"/>
          </w:tcPr>
          <w:p>
            <w:pPr>
              <w:rPr>
                <w:lang w:val="en-US"/>
              </w:rPr>
            </w:pPr>
            <w:r>
              <w:rPr>
                <w:lang w:val="en-US"/>
              </w:rPr>
              <w:t xml:space="preserve">first head support coupling</w:t>
            </w:r>
          </w:p>
        </w:tc>
      </w:tr>
      <w:tr>
        <w:tc>
          <w:tcPr>
            <w:shd w:val="clear" w:color="auto" w:fill="FFFFFF"/>
          </w:tcPr>
          <w:p>
            <w:pPr>
              <w:rPr>
                <w:lang w:val="nl-BE"/>
              </w:rPr>
            </w:pPr>
            <w:r>
              <w:rPr>
                <w:rStyle w:val="SegmentID"/>
                <w:lang w:val="nl-BE"/>
              </w:rPr>
              <w:t xml:space="preserve">175</w:t>
            </w:r>
            <w:r>
              <w:rPr>
                <w:rStyle w:val="TransUnitID"/>
                <w:lang w:val="nl-BE"/>
              </w:rPr>
              <w:t xml:space="preserve">14e381b3-c021-454f-b39e-ec313d6d0dec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hoofdsteunmatrasbeugel</w:t>
            </w:r>
          </w:p>
        </w:tc>
        <w:tc>
          <w:tcPr>
            <w:shd w:val="clear" w:color="auto" w:fill="FFFFFF"/>
          </w:tcPr>
          <w:p>
            <w:pPr>
              <w:rPr>
                <w:lang w:val="en-US"/>
              </w:rPr>
            </w:pPr>
            <w:r>
              <w:rPr>
                <w:lang w:val="en-US"/>
              </w:rPr>
              <w:t xml:space="preserve">head support mattress bracket</w:t>
            </w:r>
          </w:p>
        </w:tc>
      </w:tr>
      <w:tr>
        <w:tc>
          <w:tcPr>
            <w:shd w:val="clear" w:color="auto" w:fill="FFFFFF"/>
          </w:tcPr>
          <w:p>
            <w:pPr>
              <w:rPr>
                <w:lang w:val="nl-BE"/>
              </w:rPr>
            </w:pPr>
            <w:r>
              <w:rPr>
                <w:rStyle w:val="SegmentID"/>
                <w:lang w:val="nl-BE"/>
              </w:rPr>
              <w:t xml:space="preserve">176</w:t>
            </w:r>
            <w:r>
              <w:rPr>
                <w:rStyle w:val="TransUnitID"/>
                <w:lang w:val="nl-BE"/>
              </w:rPr>
              <w:t xml:space="preserve">a9784373-4cb4-4ea8-a401-cde35ea248a4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draaistang</w:t>
            </w:r>
          </w:p>
        </w:tc>
        <w:tc>
          <w:tcPr>
            <w:shd w:val="clear" w:color="auto" w:fill="FFFFFF"/>
          </w:tcPr>
          <w:p>
            <w:pPr>
              <w:rPr>
                <w:lang w:val="en-US"/>
              </w:rPr>
            </w:pPr>
            <w:r>
              <w:rPr>
                <w:lang w:val="en-US"/>
              </w:rPr>
              <w:t xml:space="preserve">rotating rod</w:t>
            </w:r>
          </w:p>
        </w:tc>
      </w:tr>
      <w:tr>
        <w:tc>
          <w:tcPr>
            <w:shd w:val="clear" w:color="auto" w:fill="#98FB98"/>
          </w:tcPr>
          <w:p>
            <w:pPr>
              <w:rPr>
                <w:lang w:val="nl-BE"/>
              </w:rPr>
            </w:pPr>
            <w:r>
              <w:rPr>
                <w:rStyle w:val="SegmentID"/>
                <w:lang w:val="nl-BE"/>
              </w:rPr>
              <w:t xml:space="preserve">177</w:t>
            </w:r>
            <w:r>
              <w:rPr>
                <w:rStyle w:val="TransUnitID"/>
                <w:lang w:val="nl-BE"/>
              </w:rPr>
              <w:t xml:space="preserve">96ceff8c-e412-482f-81ea-028d61563d23</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stuurstang</w:t>
            </w:r>
          </w:p>
        </w:tc>
        <w:tc>
          <w:tcPr>
            <w:shd w:val="clear" w:color="auto" w:fill="#98FB98"/>
          </w:tcPr>
          <w:p>
            <w:pPr>
              <w:rPr>
                <w:lang w:val="en-US"/>
              </w:rPr>
            </w:pPr>
            <w:r>
              <w:rPr>
                <w:lang w:val="en-US"/>
              </w:rPr>
              <w:t xml:space="preserve">steering rod</w:t>
            </w:r>
          </w:p>
        </w:tc>
      </w:tr>
      <w:tr>
        <w:tc>
          <w:tcPr>
            <w:shd w:val="clear" w:color="auto" w:fill="FFFFFF"/>
          </w:tcPr>
          <w:p>
            <w:pPr>
              <w:rPr>
                <w:lang w:val="nl-BE"/>
              </w:rPr>
            </w:pPr>
            <w:r>
              <w:rPr>
                <w:rStyle w:val="SegmentID"/>
                <w:lang w:val="nl-BE"/>
              </w:rPr>
              <w:t xml:space="preserve">178</w:t>
            </w:r>
            <w:r>
              <w:rPr>
                <w:rStyle w:val="TransUnitID"/>
                <w:lang w:val="nl-BE"/>
              </w:rPr>
              <w:t xml:space="preserve">3501871b-65a3-47ae-b084-70a049ccde89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(5, 6) tweede lichaamsteunkoppeling</w:t>
            </w:r>
          </w:p>
        </w:tc>
        <w:tc>
          <w:tcPr>
            <w:shd w:val="clear" w:color="auto" w:fill="FFFFFF"/>
          </w:tcPr>
          <w:p>
            <w:pPr>
              <w:rPr>
                <w:lang w:val="en-US"/>
              </w:rPr>
            </w:pPr>
            <w:r>
              <w:rPr>
                <w:lang w:val="en-US"/>
              </w:rPr>
              <w:t xml:space="preserve">(5, 6) second body support coupling</w:t>
            </w:r>
          </w:p>
        </w:tc>
      </w:tr>
      <w:tr>
        <w:tc>
          <w:tcPr>
            <w:shd w:val="clear" w:color="auto" w:fill="FFFFFF"/>
          </w:tcPr>
          <w:p>
            <w:pPr>
              <w:rPr>
                <w:lang w:val="nl-BE"/>
              </w:rPr>
            </w:pPr>
            <w:r>
              <w:rPr>
                <w:rStyle w:val="SegmentID"/>
                <w:lang w:val="nl-BE"/>
              </w:rPr>
              <w:t xml:space="preserve">179</w:t>
            </w:r>
            <w:r>
              <w:rPr>
                <w:rStyle w:val="TransUnitID"/>
                <w:lang w:val="nl-BE"/>
              </w:rPr>
              <w:t xml:space="preserve">12ed94c6-3acd-4ffc-bfae-1810e157e6a0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tweede hoofdsteunkoppeling</w:t>
            </w:r>
          </w:p>
        </w:tc>
        <w:tc>
          <w:tcPr>
            <w:shd w:val="clear" w:color="auto" w:fill="FFFFFF"/>
          </w:tcPr>
          <w:p>
            <w:pPr>
              <w:rPr>
                <w:lang w:val="en-US"/>
              </w:rPr>
            </w:pPr>
            <w:r>
              <w:rPr>
                <w:lang w:val="en-US"/>
              </w:rPr>
              <w:t xml:space="preserve">second head support coupling</w:t>
            </w:r>
          </w:p>
        </w:tc>
      </w:tr>
      <w:tr>
        <w:tc>
          <w:tcPr>
            <w:shd w:val="clear" w:color="auto" w:fill="FFFFFF"/>
          </w:tcPr>
          <w:p>
            <w:pPr>
              <w:rPr>
                <w:lang w:val="nl-BE"/>
              </w:rPr>
            </w:pPr>
            <w:r>
              <w:rPr>
                <w:rStyle w:val="SegmentID"/>
                <w:lang w:val="nl-BE"/>
              </w:rPr>
              <w:t xml:space="preserve">180</w:t>
            </w:r>
            <w:r>
              <w:rPr>
                <w:rStyle w:val="TransUnitID"/>
                <w:lang w:val="nl-BE"/>
              </w:rPr>
              <w:t xml:space="preserve">de2cf125-9059-4e06-ab79-f452e0b331d9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eerste lichaamsteunkoppeling</w:t>
            </w:r>
          </w:p>
        </w:tc>
        <w:tc>
          <w:tcPr>
            <w:shd w:val="clear" w:color="auto" w:fill="FFFFFF"/>
          </w:tcPr>
          <w:p>
            <w:pPr>
              <w:rPr>
                <w:lang w:val="en-US"/>
              </w:rPr>
            </w:pPr>
            <w:r>
              <w:rPr>
                <w:lang w:val="en-US"/>
              </w:rPr>
              <w:t xml:space="preserve">first body support coupling</w:t>
            </w:r>
          </w:p>
        </w:tc>
      </w:tr>
      <w:tr>
        <w:tc>
          <w:tcPr>
            <w:shd w:val="clear" w:color="auto" w:fill="FFFFFF"/>
          </w:tcPr>
          <w:p>
            <w:pPr>
              <w:rPr>
                <w:lang w:val="nl-BE"/>
              </w:rPr>
            </w:pPr>
            <w:r>
              <w:rPr>
                <w:rStyle w:val="SegmentID"/>
                <w:lang w:val="nl-BE"/>
              </w:rPr>
              <w:t xml:space="preserve">181</w:t>
            </w:r>
            <w:r>
              <w:rPr>
                <w:rStyle w:val="TransUnitID"/>
                <w:lang w:val="nl-BE"/>
              </w:rPr>
              <w:t xml:space="preserve">02f9bee3-973e-4325-8178-20e4bb1a8455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lichaamsteunmatrasbeugel</w:t>
            </w:r>
          </w:p>
        </w:tc>
        <w:tc>
          <w:tcPr>
            <w:shd w:val="clear" w:color="auto" w:fill="FFFFFF"/>
          </w:tcPr>
          <w:p>
            <w:pPr>
              <w:rPr>
                <w:lang w:val="en-US"/>
              </w:rPr>
            </w:pPr>
            <w:r>
              <w:rPr>
                <w:lang w:val="en-US"/>
              </w:rPr>
              <w:t xml:space="preserve">body support mattress bracket</w:t>
            </w:r>
          </w:p>
        </w:tc>
      </w:tr>
      <w:tr>
        <w:tc>
          <w:tcPr>
            <w:shd w:val="clear" w:color="auto" w:fill="#98FB98"/>
          </w:tcPr>
          <w:p>
            <w:pPr>
              <w:rPr>
                <w:lang w:val="nl-BE"/>
              </w:rPr>
            </w:pPr>
            <w:r>
              <w:rPr>
                <w:rStyle w:val="SegmentID"/>
                <w:lang w:val="nl-BE"/>
              </w:rPr>
              <w:t xml:space="preserve">182</w:t>
            </w:r>
            <w:r>
              <w:rPr>
                <w:rStyle w:val="TransUnitID"/>
                <w:lang w:val="nl-BE"/>
              </w:rPr>
              <w:t xml:space="preserve">ef7eadca-82c5-44f9-817f-00ea31abf477</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synchronisatiekoppeling</w:t>
            </w:r>
          </w:p>
        </w:tc>
        <w:tc>
          <w:tcPr>
            <w:shd w:val="clear" w:color="auto" w:fill="#98FB98"/>
          </w:tcPr>
          <w:p>
            <w:pPr>
              <w:rPr>
                <w:lang w:val="en-US"/>
              </w:rPr>
            </w:pPr>
            <w:r>
              <w:rPr>
                <w:lang w:val="en-US"/>
              </w:rPr>
              <w:t xml:space="preserve">synchronization coupling</w:t>
            </w:r>
          </w:p>
        </w:tc>
      </w:tr>
      <w:tr>
        <w:tc>
          <w:tcPr>
            <w:shd w:val="clear" w:color="auto" w:fill="FFFFFF"/>
          </w:tcPr>
          <w:p>
            <w:pPr>
              <w:rPr>
                <w:lang w:val="nl-BE"/>
              </w:rPr>
            </w:pPr>
            <w:r>
              <w:rPr>
                <w:rStyle w:val="SegmentID"/>
                <w:lang w:val="nl-BE"/>
              </w:rPr>
              <w:t xml:space="preserve">183</w:t>
            </w:r>
            <w:r>
              <w:rPr>
                <w:rStyle w:val="TransUnitID"/>
                <w:lang w:val="nl-BE"/>
              </w:rPr>
              <w:t xml:space="preserve">ac645420-a828-49d0-acb4-f88679424893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voetstukbeugel</w:t>
            </w:r>
          </w:p>
        </w:tc>
        <w:tc>
          <w:tcPr>
            <w:shd w:val="clear" w:color="auto" w:fill="FFFFFF"/>
          </w:tcPr>
          <w:p>
            <w:pPr>
              <w:rPr>
                <w:lang w:val="en-US"/>
              </w:rPr>
            </w:pPr>
            <w:r>
              <w:rPr>
                <w:lang w:val="en-US"/>
              </w:rPr>
              <w:t xml:space="preserve">foot member bracket</w:t>
            </w:r>
          </w:p>
        </w:tc>
      </w:tr>
      <w:tr>
        <w:tc>
          <w:tcPr>
            <w:shd w:val="clear" w:color="auto" w:fill="#98FB98"/>
          </w:tcPr>
          <w:p>
            <w:pPr>
              <w:rPr>
                <w:lang w:val="nl-BE"/>
              </w:rPr>
            </w:pPr>
            <w:r>
              <w:rPr>
                <w:rStyle w:val="SegmentID"/>
                <w:lang w:val="nl-BE"/>
              </w:rPr>
              <w:t xml:space="preserve">184</w:t>
            </w:r>
            <w:r>
              <w:rPr>
                <w:rStyle w:val="TransUnitID"/>
                <w:lang w:val="nl-BE"/>
              </w:rPr>
              <w:t xml:space="preserve">580fc491-a205-4deb-a906-76256c435a83</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voetstuk</w:t>
            </w:r>
          </w:p>
        </w:tc>
        <w:tc>
          <w:tcPr>
            <w:shd w:val="clear" w:color="auto" w:fill="#98FB98"/>
          </w:tcPr>
          <w:p>
            <w:pPr>
              <w:rPr>
                <w:lang w:val="en-US"/>
              </w:rPr>
            </w:pPr>
            <w:r>
              <w:rPr>
                <w:lang w:val="en-US"/>
              </w:rPr>
              <w:t xml:space="preserve">foot member</w:t>
            </w:r>
          </w:p>
        </w:tc>
      </w:tr>
      <w:tr>
        <w:tc>
          <w:tcPr>
            <w:shd w:val="clear" w:color="auto" w:fill="FFFFFF"/>
          </w:tcPr>
          <w:p>
            <w:pPr>
              <w:rPr>
                <w:lang w:val="nl-BE"/>
              </w:rPr>
            </w:pPr>
            <w:r>
              <w:rPr>
                <w:rStyle w:val="SegmentID"/>
                <w:lang w:val="nl-BE"/>
              </w:rPr>
              <w:t xml:space="preserve">185</w:t>
            </w:r>
            <w:r>
              <w:rPr>
                <w:rStyle w:val="TransUnitID"/>
                <w:lang w:val="nl-BE"/>
              </w:rPr>
              <w:t xml:space="preserve">8ae7beb9-05bf-45d7-95c2-f24ccadc5784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koppelstang</w:t>
            </w:r>
          </w:p>
        </w:tc>
        <w:tc>
          <w:tcPr>
            <w:shd w:val="clear" w:color="auto" w:fill="FFFFFF"/>
          </w:tcPr>
          <w:p>
            <w:pPr>
              <w:rPr>
                <w:lang w:val="en-US"/>
              </w:rPr>
            </w:pPr>
            <w:r>
              <w:rPr>
                <w:lang w:val="en-US"/>
              </w:rPr>
              <w:t xml:space="preserve">coupling rod</w:t>
            </w:r>
          </w:p>
        </w:tc>
      </w:tr>
      <w:tr>
        <w:tc>
          <w:tcPr>
            <w:shd w:val="clear" w:color="auto" w:fill="#98FB98"/>
          </w:tcPr>
          <w:p>
            <w:pPr>
              <w:rPr>
                <w:lang w:val="nl-BE"/>
              </w:rPr>
            </w:pPr>
            <w:r>
              <w:rPr>
                <w:rStyle w:val="SegmentID"/>
                <w:lang w:val="nl-BE"/>
              </w:rPr>
              <w:t xml:space="preserve">186</w:t>
            </w:r>
            <w:r>
              <w:rPr>
                <w:rStyle w:val="TransUnitID"/>
                <w:lang w:val="nl-BE"/>
              </w:rPr>
              <w:t xml:space="preserve">9c829e1f-5af6-480e-a89e-bb5ebf89b114</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hoofdsteunmatraskader</w:t>
            </w:r>
          </w:p>
        </w:tc>
        <w:tc>
          <w:tcPr>
            <w:shd w:val="clear" w:color="auto" w:fill="#98FB98"/>
          </w:tcPr>
          <w:p>
            <w:pPr>
              <w:rPr>
                <w:lang w:val="en-US"/>
              </w:rPr>
            </w:pPr>
            <w:r>
              <w:rPr>
                <w:lang w:val="en-US"/>
              </w:rPr>
              <w:t xml:space="preserve">head support mattress frame</w:t>
            </w:r>
          </w:p>
        </w:tc>
      </w:tr>
      <w:tr>
        <w:tc>
          <w:tcPr>
            <w:shd w:val="clear" w:color="auto" w:fill="FFFFFF"/>
          </w:tcPr>
          <w:p>
            <w:pPr>
              <w:rPr>
                <w:lang w:val="nl-BE"/>
              </w:rPr>
            </w:pPr>
            <w:r>
              <w:rPr>
                <w:rStyle w:val="SegmentID"/>
                <w:lang w:val="nl-BE"/>
              </w:rPr>
              <w:t xml:space="preserve">187</w:t>
            </w:r>
            <w:r>
              <w:rPr>
                <w:rStyle w:val="TransUnitID"/>
                <w:lang w:val="nl-BE"/>
              </w:rPr>
              <w:t xml:space="preserve">c0d5a783-a2a0-4d0a-911c-ddfb45772481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lichaamsteunmatraskader</w:t>
            </w:r>
          </w:p>
        </w:tc>
        <w:tc>
          <w:tcPr>
            <w:shd w:val="clear" w:color="auto" w:fill="FFFFFF"/>
          </w:tcPr>
          <w:p>
            <w:pPr>
              <w:rPr>
                <w:lang w:val="en-US"/>
              </w:rPr>
            </w:pPr>
            <w:r>
              <w:rPr>
                <w:lang w:val="en-US"/>
              </w:rPr>
              <w:t xml:space="preserve">body support mattress frame</w:t>
            </w:r>
          </w:p>
        </w:tc>
      </w:tr>
      <w:tr>
        <w:tc>
          <w:tcPr>
            <w:shd w:val="clear" w:color="auto" w:fill="FFFFFF"/>
          </w:tcPr>
          <w:p>
            <w:pPr>
              <w:rPr>
                <w:lang w:val="nl-BE"/>
              </w:rPr>
            </w:pPr>
            <w:r>
              <w:rPr>
                <w:rStyle w:val="SegmentID"/>
                <w:lang w:val="nl-BE"/>
              </w:rPr>
              <w:t xml:space="preserve">188</w:t>
            </w:r>
            <w:r>
              <w:rPr>
                <w:rStyle w:val="TransUnitID"/>
                <w:lang w:val="nl-BE"/>
              </w:rPr>
              <w:t xml:space="preserve">ce7abb6d-99dd-487a-9849-df31586538fd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derde scharnierpunt</w:t>
            </w:r>
          </w:p>
        </w:tc>
        <w:tc>
          <w:tcPr>
            <w:shd w:val="clear" w:color="auto" w:fill="FFFFFF"/>
          </w:tcPr>
          <w:p>
            <w:pPr>
              <w:rPr>
                <w:lang w:val="en-US"/>
              </w:rPr>
            </w:pPr>
            <w:r>
              <w:rPr>
                <w:lang w:val="en-US"/>
              </w:rPr>
              <w:t xml:space="preserve">third hinge point</w:t>
            </w:r>
          </w:p>
        </w:tc>
      </w:tr>
      <w:tr>
        <w:tc>
          <w:tcPr>
            <w:shd w:val="clear" w:color="auto" w:fill="FFFFFF"/>
          </w:tcPr>
          <w:p>
            <w:pPr>
              <w:rPr>
                <w:lang w:val="nl-BE"/>
              </w:rPr>
            </w:pPr>
            <w:r>
              <w:rPr>
                <w:rStyle w:val="SegmentID"/>
                <w:lang w:val="nl-BE"/>
              </w:rPr>
              <w:t xml:space="preserve">189</w:t>
            </w:r>
            <w:r>
              <w:rPr>
                <w:rStyle w:val="TransUnitID"/>
                <w:lang w:val="nl-BE"/>
              </w:rPr>
              <w:t xml:space="preserve">37fa1dc6-dcc6-43c2-bc3a-024c8a3948f7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vierde scharnierpunt</w:t>
            </w:r>
          </w:p>
        </w:tc>
        <w:tc>
          <w:tcPr>
            <w:shd w:val="clear" w:color="auto" w:fill="FFFFFF"/>
          </w:tcPr>
          <w:p>
            <w:pPr>
              <w:rPr>
                <w:lang w:val="en-US"/>
              </w:rPr>
            </w:pPr>
            <w:r>
              <w:rPr>
                <w:lang w:val="en-US"/>
              </w:rPr>
              <w:t xml:space="preserve">fourth hinge point</w:t>
            </w:r>
          </w:p>
        </w:tc>
      </w:tr>
      <w:tr>
        <w:tc>
          <w:tcPr>
            <w:shd w:val="clear" w:color="auto" w:fill="FFFFFF"/>
          </w:tcPr>
          <w:p>
            <w:pPr>
              <w:rPr>
                <w:lang w:val="nl-BE"/>
              </w:rPr>
            </w:pPr>
            <w:r>
              <w:rPr>
                <w:rStyle w:val="SegmentID"/>
                <w:lang w:val="nl-BE"/>
              </w:rPr>
              <w:t xml:space="preserve">190</w:t>
            </w:r>
            <w:r>
              <w:rPr>
                <w:rStyle w:val="TransUnitID"/>
                <w:lang w:val="nl-BE"/>
              </w:rPr>
              <w:t xml:space="preserve">6cdffb40-3c3f-4d97-8b38-308096c21c53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aanslagfixatiepunt</w:t>
            </w:r>
          </w:p>
        </w:tc>
        <w:tc>
          <w:tcPr>
            <w:shd w:val="clear" w:color="auto" w:fill="FFFFFF"/>
          </w:tcPr>
          <w:p>
            <w:pPr>
              <w:rPr>
                <w:lang w:val="en-US"/>
              </w:rPr>
            </w:pPr>
            <w:r>
              <w:rPr>
                <w:lang w:val="en-US"/>
              </w:rPr>
              <w:t xml:space="preserve">stop fixing point</w:t>
            </w:r>
          </w:p>
        </w:tc>
      </w:tr>
      <w:tr>
        <w:tc>
          <w:tcPr>
            <w:shd w:val="clear" w:color="auto" w:fill="FFFFFF"/>
          </w:tcPr>
          <w:p>
            <w:pPr>
              <w:rPr>
                <w:lang w:val="nl-BE"/>
              </w:rPr>
            </w:pPr>
            <w:r>
              <w:rPr>
                <w:rStyle w:val="SegmentID"/>
                <w:lang w:val="nl-BE"/>
              </w:rPr>
              <w:t xml:space="preserve">191</w:t>
            </w:r>
            <w:r>
              <w:rPr>
                <w:rStyle w:val="TransUnitID"/>
                <w:lang w:val="nl-BE"/>
              </w:rPr>
              <w:t xml:space="preserve">da04fd7a-0050-46ef-92e8-b0bf8cd0a647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zesde scharnierpunt</w:t>
            </w:r>
          </w:p>
        </w:tc>
        <w:tc>
          <w:tcPr>
            <w:shd w:val="clear" w:color="auto" w:fill="FFFFFF"/>
          </w:tcPr>
          <w:p>
            <w:pPr>
              <w:rPr>
                <w:lang w:val="en-US"/>
              </w:rPr>
            </w:pPr>
            <w:r>
              <w:rPr>
                <w:lang w:val="en-US"/>
              </w:rPr>
              <w:t xml:space="preserve">sixth hinge point</w:t>
            </w:r>
          </w:p>
        </w:tc>
      </w:tr>
      <w:tr>
        <w:tc>
          <w:tcPr>
            <w:shd w:val="clear" w:color="auto" w:fill="FFFFFF"/>
          </w:tcPr>
          <w:p>
            <w:pPr>
              <w:rPr>
                <w:lang w:val="nl-BE"/>
              </w:rPr>
            </w:pPr>
            <w:r>
              <w:rPr>
                <w:rStyle w:val="SegmentID"/>
                <w:lang w:val="nl-BE"/>
              </w:rPr>
              <w:t xml:space="preserve">192</w:t>
            </w:r>
            <w:r>
              <w:rPr>
                <w:rStyle w:val="TransUnitID"/>
                <w:lang w:val="nl-BE"/>
              </w:rPr>
              <w:t xml:space="preserve">476451bd-632c-4063-aa4e-7c37db0b7e1b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stangfixatiepunten</w:t>
            </w:r>
          </w:p>
        </w:tc>
        <w:tc>
          <w:tcPr>
            <w:shd w:val="clear" w:color="auto" w:fill="FFFFFF"/>
          </w:tcPr>
          <w:p>
            <w:pPr>
              <w:rPr>
                <w:lang w:val="en-US"/>
              </w:rPr>
            </w:pPr>
            <w:r>
              <w:rPr>
                <w:lang w:val="en-US"/>
              </w:rPr>
              <w:t xml:space="preserve">rod fixing points</w:t>
            </w:r>
          </w:p>
        </w:tc>
      </w:tr>
      <w:tr>
        <w:tc>
          <w:tcPr>
            <w:shd w:val="clear" w:color="auto" w:fill="FFFFFF"/>
          </w:tcPr>
          <w:p>
            <w:pPr>
              <w:rPr>
                <w:lang w:val="nl-BE"/>
              </w:rPr>
            </w:pPr>
            <w:r>
              <w:rPr>
                <w:rStyle w:val="SegmentID"/>
                <w:lang w:val="nl-BE"/>
              </w:rPr>
              <w:t xml:space="preserve">193</w:t>
            </w:r>
            <w:r>
              <w:rPr>
                <w:rStyle w:val="TransUnitID"/>
                <w:lang w:val="nl-BE"/>
              </w:rPr>
              <w:t xml:space="preserve">bac07d03-660a-4531-8e8d-f5d0d011ab8d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zevende scharnierpunt</w:t>
            </w:r>
          </w:p>
        </w:tc>
        <w:tc>
          <w:tcPr>
            <w:shd w:val="clear" w:color="auto" w:fill="FFFFFF"/>
          </w:tcPr>
          <w:p>
            <w:pPr>
              <w:rPr>
                <w:lang w:val="en-US"/>
              </w:rPr>
            </w:pPr>
            <w:r>
              <w:rPr>
                <w:lang w:val="en-US"/>
              </w:rPr>
              <w:t xml:space="preserve">seventh hinge point</w:t>
            </w:r>
          </w:p>
        </w:tc>
      </w:tr>
      <w:tr>
        <w:tc>
          <w:tcPr>
            <w:shd w:val="clear" w:color="auto" w:fill="FFFFFF"/>
          </w:tcPr>
          <w:p>
            <w:pPr>
              <w:rPr>
                <w:lang w:val="nl-BE"/>
              </w:rPr>
            </w:pPr>
            <w:r>
              <w:rPr>
                <w:rStyle w:val="SegmentID"/>
                <w:lang w:val="nl-BE"/>
              </w:rPr>
              <w:t xml:space="preserve">194</w:t>
            </w:r>
            <w:r>
              <w:rPr>
                <w:rStyle w:val="TransUnitID"/>
                <w:lang w:val="nl-BE"/>
              </w:rPr>
              <w:t xml:space="preserve">62b62fb3-5f0c-4e3f-9760-34e70f84de9d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vijfde scharnierpunt</w:t>
            </w:r>
          </w:p>
        </w:tc>
        <w:tc>
          <w:tcPr>
            <w:shd w:val="clear" w:color="auto" w:fill="FFFFFF"/>
          </w:tcPr>
          <w:p>
            <w:pPr>
              <w:rPr>
                <w:lang w:val="en-US"/>
              </w:rPr>
            </w:pPr>
            <w:r>
              <w:rPr>
                <w:lang w:val="en-US"/>
              </w:rPr>
              <w:t xml:space="preserve">fifth hinge point</w:t>
            </w:r>
          </w:p>
        </w:tc>
      </w:tr>
      <w:tr>
        <w:tc>
          <w:tcPr>
            <w:shd w:val="clear" w:color="auto" w:fill="FFFFFF"/>
          </w:tcPr>
          <w:p>
            <w:pPr>
              <w:rPr>
                <w:lang w:val="nl-BE"/>
              </w:rPr>
            </w:pPr>
            <w:r>
              <w:rPr>
                <w:rStyle w:val="SegmentID"/>
                <w:lang w:val="nl-BE"/>
              </w:rPr>
              <w:t xml:space="preserve">195</w:t>
            </w:r>
            <w:r>
              <w:rPr>
                <w:rStyle w:val="TransUnitID"/>
                <w:lang w:val="nl-BE"/>
              </w:rPr>
              <w:t xml:space="preserve">54901152-df96-4cda-b73d-20e4e2741579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 H+) 	koppelingsfixatiepunten</w:t>
            </w:r>
          </w:p>
        </w:tc>
        <w:tc>
          <w:tcPr>
            <w:shd w:val="clear" w:color="auto" w:fill="FFFFFF"/>
          </w:tcPr>
          <w:p>
            <w:pPr>
              <w:rPr>
                <w:lang w:val="en-US"/>
              </w:rPr>
            </w:pPr>
            <w:r>
              <w:rPr>
                <w:lang w:val="en-US"/>
              </w:rPr>
              <w:t xml:space="preserve">(H, H+) 	coupling fixing points</w:t>
            </w:r>
          </w:p>
        </w:tc>
      </w:tr>
      <w:tr>
        <w:tc>
          <w:tcPr>
            <w:shd w:val="clear" w:color="auto" w:fill="FFFFFF"/>
          </w:tcPr>
          <w:p>
            <w:pPr>
              <w:rPr>
                <w:lang w:val="nl-BE"/>
              </w:rPr>
            </w:pPr>
            <w:r>
              <w:rPr>
                <w:rStyle w:val="SegmentID"/>
                <w:lang w:val="nl-BE"/>
              </w:rPr>
              <w:t xml:space="preserve">196</w:t>
            </w:r>
            <w:r>
              <w:rPr>
                <w:rStyle w:val="TransUnitID"/>
                <w:lang w:val="nl-BE"/>
              </w:rPr>
              <w:t xml:space="preserve">c4bad5c9-0442-4fc5-94db-2e652b9ee2f0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 eerste scharnierpunt</w:t>
            </w:r>
          </w:p>
        </w:tc>
        <w:tc>
          <w:tcPr>
            <w:shd w:val="clear" w:color="auto" w:fill="FFFFFF"/>
          </w:tcPr>
          <w:p>
            <w:pPr>
              <w:rPr>
                <w:lang w:val="en-US"/>
              </w:rPr>
            </w:pPr>
            <w:r>
              <w:rPr>
                <w:lang w:val="en-US"/>
              </w:rPr>
              <w:t xml:space="preserve">(H+) first hinge point</w:t>
            </w:r>
          </w:p>
        </w:tc>
      </w:tr>
      <w:tr>
        <w:tc>
          <w:tcPr>
            <w:shd w:val="clear" w:color="auto" w:fill="FFFFFF"/>
          </w:tcPr>
          <w:p>
            <w:pPr>
              <w:rPr>
                <w:lang w:val="nl-BE"/>
              </w:rPr>
            </w:pPr>
            <w:r>
              <w:rPr>
                <w:rStyle w:val="SegmentID"/>
                <w:lang w:val="nl-BE"/>
              </w:rPr>
              <w:t xml:space="preserve">197</w:t>
            </w:r>
            <w:r>
              <w:rPr>
                <w:rStyle w:val="TransUnitID"/>
                <w:lang w:val="nl-BE"/>
              </w:rPr>
              <w:t xml:space="preserve">e3ae40b4-26d6-4856-b5d8-2c8013a220a1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koppelfixatiepunten</w:t>
            </w:r>
          </w:p>
        </w:tc>
        <w:tc>
          <w:tcPr>
            <w:shd w:val="clear" w:color="auto" w:fill="FFFFFF"/>
          </w:tcPr>
          <w:p>
            <w:pPr>
              <w:rPr>
                <w:lang w:val="en-US"/>
              </w:rPr>
            </w:pPr>
            <w:r>
              <w:rPr>
                <w:lang w:val="en-US"/>
              </w:rPr>
              <w:t xml:space="preserve">coupling fixing points</w:t>
            </w:r>
          </w:p>
        </w:tc>
      </w:tr>
      <w:tr>
        <w:tc>
          <w:tcPr>
            <w:shd w:val="clear" w:color="auto" w:fill="FFFFFF"/>
          </w:tcPr>
          <w:p>
            <w:pPr>
              <w:rPr>
                <w:lang w:val="nl-BE"/>
              </w:rPr>
            </w:pPr>
            <w:r>
              <w:rPr>
                <w:rStyle w:val="SegmentID"/>
                <w:lang w:val="nl-BE"/>
              </w:rPr>
              <w:t xml:space="preserve">198</w:t>
            </w:r>
            <w:r>
              <w:rPr>
                <w:rStyle w:val="TransUnitID"/>
                <w:lang w:val="nl-BE"/>
              </w:rPr>
              <w:t xml:space="preserve">51e10e54-0ca9-4c39-9f5a-dec945a5e110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stopelementen</w:t>
            </w:r>
          </w:p>
        </w:tc>
        <w:tc>
          <w:tcPr>
            <w:shd w:val="clear" w:color="auto" w:fill="FFFFFF"/>
          </w:tcPr>
          <w:p>
            <w:pPr>
              <w:rPr>
                <w:lang w:val="en-US"/>
              </w:rPr>
            </w:pPr>
            <w:r>
              <w:rPr>
                <w:lang w:val="en-US"/>
              </w:rPr>
              <w:t xml:space="preserve">stop elements</w:t>
            </w:r>
          </w:p>
        </w:tc>
      </w:tr>
      <w:tr>
        <w:tc>
          <w:tcPr>
            <w:shd w:val="clear" w:color="auto" w:fill="FFFFFF"/>
          </w:tcPr>
          <w:p>
            <w:pPr>
              <w:rPr>
                <w:lang w:val="nl-BE"/>
              </w:rPr>
            </w:pPr>
            <w:r>
              <w:rPr>
                <w:rStyle w:val="SegmentID"/>
                <w:lang w:val="nl-BE"/>
              </w:rPr>
              <w:t xml:space="preserve">199</w:t>
            </w:r>
            <w:r>
              <w:rPr>
                <w:rStyle w:val="TransUnitID"/>
                <w:lang w:val="nl-BE"/>
              </w:rPr>
              <w:t xml:space="preserve">f2ce2079-c0aa-4648-8a6a-39895006a4ff</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tweede koppelpunt</w:t>
            </w:r>
          </w:p>
        </w:tc>
        <w:tc>
          <w:tcPr>
            <w:shd w:val="clear" w:color="auto" w:fill="FFFFFF"/>
          </w:tcPr>
          <w:p>
            <w:pPr>
              <w:rPr>
                <w:lang w:val="en-US"/>
              </w:rPr>
            </w:pPr>
            <w:r>
              <w:rPr>
                <w:lang w:val="en-US"/>
              </w:rPr>
              <w:t xml:space="preserve">second coupling point</w:t>
            </w:r>
          </w:p>
        </w:tc>
      </w:tr>
      <w:tr>
        <w:tc>
          <w:tcPr>
            <w:shd w:val="clear" w:color="auto" w:fill="FFFFFF"/>
          </w:tcPr>
          <w:p>
            <w:pPr>
              <w:rPr>
                <w:lang w:val="nl-BE"/>
              </w:rPr>
            </w:pPr>
            <w:r>
              <w:rPr>
                <w:rStyle w:val="SegmentID"/>
                <w:lang w:val="nl-BE"/>
              </w:rPr>
              <w:t xml:space="preserve">200</w:t>
            </w:r>
            <w:r>
              <w:rPr>
                <w:rStyle w:val="TransUnitID"/>
                <w:lang w:val="nl-BE"/>
              </w:rPr>
              <w:t xml:space="preserve">79135d93-7c1c-44e9-8b43-f18fbb99f5a6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eerste koppelpunt</w:t>
            </w:r>
          </w:p>
        </w:tc>
        <w:tc>
          <w:tcPr>
            <w:shd w:val="clear" w:color="auto" w:fill="FFFFFF"/>
          </w:tcPr>
          <w:p>
            <w:pPr>
              <w:rPr>
                <w:lang w:val="en-US"/>
              </w:rPr>
            </w:pPr>
            <w:r>
              <w:rPr>
                <w:lang w:val="en-US"/>
              </w:rPr>
              <w:t xml:space="preserve">first coupling point</w:t>
            </w:r>
          </w:p>
        </w:tc>
      </w:tr>
      <w:tr>
        <w:tc>
          <w:tcPr>
            <w:shd w:val="clear" w:color="auto" w:fill="FFFFFF"/>
          </w:tcPr>
          <w:p>
            <w:pPr>
              <w:rPr>
                <w:lang w:val="nl-BE"/>
              </w:rPr>
            </w:pPr>
            <w:r>
              <w:rPr>
                <w:rStyle w:val="SegmentID"/>
                <w:lang w:val="nl-BE"/>
              </w:rPr>
              <w:t xml:space="preserve">201</w:t>
            </w:r>
            <w:r>
              <w:rPr>
                <w:rStyle w:val="TransUnitID"/>
                <w:lang w:val="nl-BE"/>
              </w:rPr>
              <w:t xml:space="preserve">70f4be8b-0632-4be9-9c89-e7b3075e189a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(M, N)	voetfixatiepunten</w:t>
            </w:r>
          </w:p>
        </w:tc>
        <w:tc>
          <w:tcPr>
            <w:shd w:val="clear" w:color="auto" w:fill="FFFFFF"/>
          </w:tcPr>
          <w:p>
            <w:pPr>
              <w:rPr>
                <w:lang w:val="en-US"/>
              </w:rPr>
            </w:pPr>
            <w:r>
              <w:rPr>
                <w:lang w:val="en-US"/>
              </w:rPr>
              <w:t xml:space="preserve">(M, N)	foot fixing points</w:t>
            </w:r>
          </w:p>
        </w:tc>
      </w:tr>
      <w:tr>
        <w:tc>
          <w:tcPr>
            <w:shd w:val="clear" w:color="auto" w:fill="FFFFFF"/>
          </w:tcPr>
          <w:p>
            <w:pPr>
              <w:rPr>
                <w:lang w:val="nl-BE"/>
              </w:rPr>
            </w:pPr>
            <w:r>
              <w:rPr>
                <w:rStyle w:val="SegmentID"/>
                <w:lang w:val="nl-BE"/>
              </w:rPr>
              <w:t xml:space="preserve">202</w:t>
            </w:r>
            <w:r>
              <w:rPr>
                <w:rStyle w:val="TransUnitID"/>
                <w:lang w:val="nl-BE"/>
              </w:rPr>
              <w:t xml:space="preserve">3472d3ac-0bf8-46b0-a29d-75c08f8a5af8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	tweede scharnierpunt</w:t>
            </w:r>
          </w:p>
        </w:tc>
        <w:tc>
          <w:tcPr>
            <w:shd w:val="clear" w:color="auto" w:fill="FFFFFF"/>
          </w:tcPr>
          <w:p>
            <w:pPr>
              <w:rPr>
                <w:lang w:val="en-US"/>
              </w:rPr>
            </w:pPr>
            <w:r>
              <w:rPr>
                <w:lang w:val="en-US"/>
              </w:rPr>
              <w:t xml:space="preserve">(O)	 second hinge point</w:t>
            </w:r>
          </w:p>
        </w:tc>
      </w:tr>
      <w:tr>
        <w:tc>
          <w:tcPr>
            <w:shd w:val="clear" w:color="auto" w:fill="FFFFFF"/>
          </w:tcPr>
          <w:p>
            <w:pPr>
              <w:rPr>
                <w:lang w:val="nl-BE"/>
              </w:rPr>
            </w:pPr>
            <w:r>
              <w:rPr>
                <w:rStyle w:val="SegmentID"/>
                <w:lang w:val="nl-BE"/>
              </w:rPr>
              <w:t xml:space="preserve">203</w:t>
            </w:r>
            <w:r>
              <w:rPr>
                <w:rStyle w:val="TransUnitID"/>
                <w:lang w:val="nl-BE"/>
              </w:rPr>
              <w:t xml:space="preserve">47414224-8cd1-4f54-8511-6b83ceaad307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(P)	pen</w:t>
            </w:r>
          </w:p>
        </w:tc>
        <w:tc>
          <w:tcPr>
            <w:shd w:val="clear" w:color="auto" w:fill="FFFFFF"/>
          </w:tcPr>
          <w:p>
            <w:pPr>
              <w:rPr>
                <w:lang w:val="en-US"/>
              </w:rPr>
            </w:pPr>
            <w:r>
              <w:rPr>
                <w:lang w:val="en-US"/>
              </w:rPr>
              <w:t xml:space="preserve">(P)	pin</w:t>
            </w:r>
          </w:p>
        </w:tc>
      </w:tr>
      <w:tr>
        <w:tc>
          <w:tcPr>
            <w:shd w:val="clear" w:color="auto" w:fill="FFFFFF"/>
          </w:tcPr>
          <w:p>
            <w:pPr>
              <w:rPr>
                <w:lang w:val="nl-BE"/>
              </w:rPr>
            </w:pPr>
            <w:r>
              <w:rPr>
                <w:rStyle w:val="SegmentID"/>
                <w:lang w:val="nl-BE"/>
              </w:rPr>
              <w:t xml:space="preserve">204</w:t>
            </w:r>
            <w:r>
              <w:rPr>
                <w:rStyle w:val="TransUnitID"/>
                <w:lang w:val="nl-BE"/>
              </w:rPr>
              <w:t xml:space="preserve">1931822a-5323-420a-867a-70c3cc59b009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(Q) pivotpunt</w:t>
            </w:r>
          </w:p>
        </w:tc>
        <w:tc>
          <w:tcPr>
            <w:shd w:val="clear" w:color="auto" w:fill="FFFFFF"/>
          </w:tcPr>
          <w:p>
            <w:pPr>
              <w:rPr>
                <w:lang w:val="en-US"/>
              </w:rPr>
            </w:pPr>
            <w:r>
              <w:rPr>
                <w:lang w:val="en-US"/>
              </w:rPr>
              <w:t xml:space="preserve">(Q) hinge point</w:t>
            </w:r>
          </w:p>
        </w:tc>
      </w:tr>
      <w:tr>
        <w:tc>
          <w:tcPr>
            <w:shd w:val="clear" w:color="auto" w:fill="#98FB98"/>
          </w:tcPr>
          <w:p>
            <w:pPr>
              <w:rPr>
                <w:lang w:val="nl-BE"/>
              </w:rPr>
            </w:pPr>
            <w:r>
              <w:rPr>
                <w:rStyle w:val="SegmentID"/>
                <w:lang w:val="nl-BE"/>
              </w:rPr>
              <w:t xml:space="preserve">205</w:t>
            </w:r>
            <w:r>
              <w:rPr>
                <w:rStyle w:val="TransUnitID"/>
                <w:lang w:val="nl-BE"/>
              </w:rPr>
              <w:t xml:space="preserve">57edea2c-64e9-46e5-8648-07ddf1978239</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CONCLUSIES</w:t>
            </w:r>
          </w:p>
        </w:tc>
        <w:tc>
          <w:tcPr>
            <w:shd w:val="clear" w:color="auto" w:fill="#98FB98"/>
          </w:tcPr>
          <w:p>
            <w:pPr>
              <w:rPr>
                <w:lang w:val="en-US"/>
              </w:rPr>
            </w:pPr>
            <w:r>
              <w:rPr>
                <w:lang w:val="en-US"/>
              </w:rPr>
              <w:t xml:space="preserve">CLAIMS</w:t>
            </w:r>
          </w:p>
        </w:tc>
      </w:tr>
      <w:tr>
        <w:tc>
          <w:tcPr>
            <w:shd w:val="clear" w:color="auto" w:fill="FFFFFF"/>
          </w:tcPr>
          <w:p>
            <w:pPr>
              <w:rPr>
                <w:lang w:val="nl-BE"/>
              </w:rPr>
            </w:pPr>
            <w:r>
              <w:rPr>
                <w:rStyle w:val="SegmentID"/>
                <w:lang w:val="nl-BE"/>
              </w:rPr>
              <w:t xml:space="preserve">206</w:t>
            </w:r>
            <w:r>
              <w:rPr>
                <w:rStyle w:val="TransUnitID"/>
                <w:lang w:val="nl-BE"/>
              </w:rPr>
              <w:t xml:space="preserve">196c68c6-aedb-4ebc-a4b1-649918d12099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geschikt voor een opklapmeubel, bij voorkeur een zetelbank of bedbank, het geraamte aan beide laterale zijden omvattende:</w:t>
            </w:r>
          </w:p>
        </w:tc>
        <w:tc>
          <w:tcPr>
            <w:shd w:val="clear" w:color="auto" w:fill="FFFFFF"/>
          </w:tcPr>
          <w:p>
            <w:pPr>
              <w:rPr>
                <w:lang w:val="en-US"/>
              </w:rPr>
            </w:pPr>
            <w:r>
              <w:rPr>
                <w:lang w:val="en-US"/>
              </w:rPr>
              <w:t xml:space="preserve">Folding framework suitable for a piece of folding furniture, preferably a </w:t>
            </w:r>
            <w:commentRangeStart w:id="8"/>
            <w:r>
              <w:rPr>
                <w:lang w:val="en-US"/>
              </w:rPr>
              <w:t xml:space="preserve">sofa or sofa bed</w:t>
            </w:r>
            <w:commentRangeEnd w:id="8"/>
            <w:r>
              <w:rPr>
                <w:rStyle w:val="CommentReference"/>
              </w:rPr>
              <w:commentReference w:id="8"/>
            </w:r>
            <w:r>
              <w:rPr>
                <w:lang w:val="en-US"/>
              </w:rPr>
              <w:t xml:space="preserve">, the framework comprising on both lateral sides:</w:t>
            </w:r>
          </w:p>
        </w:tc>
      </w:tr>
      <w:tr>
        <w:tc>
          <w:tcPr>
            <w:shd w:val="clear" w:color="auto" w:fill="F5DEB3"/>
          </w:tcPr>
          <w:p>
            <w:pPr>
              <w:rPr>
                <w:lang w:val="nl-BE"/>
              </w:rPr>
            </w:pPr>
            <w:r>
              <w:rPr>
                <w:rStyle w:val="SegmentID"/>
                <w:lang w:val="nl-BE"/>
              </w:rPr>
              <w:t xml:space="preserve">207</w:t>
            </w:r>
            <w:r>
              <w:rPr>
                <w:rStyle w:val="TransUnitID"/>
                <w:lang w:val="nl-BE"/>
              </w:rPr>
              <w:t xml:space="preserve">a0362cc3-ca9f-4184-b567-f1f946857898</w:t>
            </w:r>
          </w:p>
        </w:tc>
        <w:tc>
          <w:tcPr>
            <w:shd w:val="clear" w:color="auto" w:fill="F5DEB3"/>
          </w:tcPr>
          <w:p>
            <w:pPr>
              <w:rPr>
                <w:lang w:val="nl-BE"/>
              </w:rPr>
            </w:pPr>
            <w:r>
              <w:rPr>
                <w:lang w:val="nl-BE"/>
              </w:rPr>
              <w:t xml:space="preserve">Translated (96%)</w:t>
            </w:r>
          </w:p>
        </w:tc>
        <w:tc>
          <w:tcPr>
            <w:shd w:val="clear" w:color="auto" w:fill="F5DEB3"/>
          </w:tcPr>
          <w:p>
            <w:pPr>
              <w:rPr>
                <w:lang w:val="nl-BE"/>
              </w:rPr>
            </w:pPr>
            <w:r>
              <w:rPr>
                <w:lang w:val="nl-BE"/>
              </w:rPr>
              <w:t xml:space="preserve">een </w:t>
            </w:r>
            <w:r>
              <w:rPr>
                <w:rStyle w:val="Tag"/>
                <w:lang w:val="nl-BE"/>
              </w:rPr>
              <w:t xml:space="preserve">&lt;226&gt;</w:t>
            </w:r>
            <w:r>
              <w:rPr>
                <w:lang w:val="nl-BE"/>
              </w:rPr>
              <w:t xml:space="preserve">basisligger (1)</w:t>
            </w:r>
            <w:r>
              <w:rPr>
                <w:rStyle w:val="Tag"/>
                <w:lang w:val="nl-BE"/>
              </w:rPr>
              <w:t xml:space="preserve">&lt;/226&gt;</w:t>
            </w:r>
            <w:r>
              <w:rPr>
                <w:lang w:val="nl-BE"/>
              </w:rPr>
              <w:t xml:space="preserve"> geschikt voor koppeling aan overstaande laterale zijden van het opklapmeubel;</w:t>
            </w:r>
          </w:p>
        </w:tc>
        <w:tc>
          <w:tcPr>
            <w:shd w:val="clear" w:color="auto" w:fill="F5DEB3"/>
          </w:tcPr>
          <w:p>
            <w:pPr>
              <w:rPr>
                <w:lang w:val="en-US"/>
              </w:rPr>
            </w:pPr>
            <w:r>
              <w:rPr>
                <w:lang w:val="en-US"/>
              </w:rPr>
              <w:t xml:space="preserve">a </w:t>
            </w:r>
            <w:r>
              <w:rPr>
                <w:rStyle w:val="Tag"/>
                <w:lang w:val="en-US"/>
              </w:rPr>
              <w:t xml:space="preserve">&lt;226&gt;</w:t>
            </w:r>
            <w:r>
              <w:rPr>
                <w:lang w:val="en-US"/>
              </w:rPr>
              <w:t xml:space="preserve">base beam</w:t>
            </w:r>
            <w:r>
              <w:rPr>
                <w:rStyle w:val="Tag"/>
                <w:lang w:val="en-US"/>
              </w:rPr>
              <w:t xml:space="preserve">&lt;/226&gt;</w:t>
            </w:r>
            <w:r>
              <w:rPr>
                <w:lang w:val="en-US"/>
              </w:rPr>
              <w:t xml:space="preserve"> (1) suitable for coupling to opposite lateral sides of the piece of folding furniture;</w:t>
            </w:r>
          </w:p>
        </w:tc>
      </w:tr>
      <w:tr>
        <w:tc>
          <w:tcPr>
            <w:shd w:val="clear" w:color="auto" w:fill="F5DEB3"/>
          </w:tcPr>
          <w:p>
            <w:pPr>
              <w:rPr>
                <w:lang w:val="nl-BE"/>
              </w:rPr>
            </w:pPr>
            <w:r>
              <w:rPr>
                <w:rStyle w:val="SegmentID"/>
                <w:lang w:val="nl-BE"/>
              </w:rPr>
              <w:t xml:space="preserve">208</w:t>
            </w:r>
            <w:r>
              <w:rPr>
                <w:rStyle w:val="TransUnitID"/>
                <w:lang w:val="nl-BE"/>
              </w:rPr>
              <w:t xml:space="preserve">a897c998-c34c-437a-bd59-0f6028e1a137</w:t>
            </w:r>
          </w:p>
        </w:tc>
        <w:tc>
          <w:tcPr>
            <w:shd w:val="clear" w:color="auto" w:fill="F5DEB3"/>
          </w:tcPr>
          <w:p>
            <w:pPr>
              <w:rPr>
                <w:lang w:val="nl-BE"/>
              </w:rPr>
            </w:pPr>
            <w:r>
              <w:rPr>
                <w:lang w:val="nl-BE"/>
              </w:rPr>
              <w:t xml:space="preserve">Translated (95%)</w:t>
            </w:r>
          </w:p>
        </w:tc>
        <w:tc>
          <w:tcPr>
            <w:shd w:val="clear" w:color="auto" w:fill="F5DEB3"/>
          </w:tcPr>
          <w:p>
            <w:pPr>
              <w:rPr>
                <w:lang w:val="nl-BE"/>
              </w:rPr>
            </w:pPr>
            <w:r>
              <w:rPr>
                <w:lang w:val="nl-BE"/>
              </w:rPr>
              <w:t xml:space="preserve">een in hoofdzaak rechthoekige </w:t>
            </w:r>
            <w:r>
              <w:rPr>
                <w:rStyle w:val="Tag"/>
                <w:lang w:val="nl-BE"/>
              </w:rPr>
              <w:t xml:space="preserve">&lt;229&gt;</w:t>
            </w:r>
            <w:r>
              <w:rPr>
                <w:lang w:val="nl-BE"/>
              </w:rPr>
              <w:t xml:space="preserve">hoofdsteunmatrasbeugel (4)</w:t>
            </w:r>
            <w:r>
              <w:rPr>
                <w:rStyle w:val="Tag"/>
                <w:lang w:val="nl-BE"/>
              </w:rPr>
              <w:t xml:space="preserve">&lt;/229&gt;</w:t>
            </w:r>
            <w:r>
              <w:rPr>
                <w:lang w:val="nl-BE"/>
              </w:rPr>
              <w:t xml:space="preserve">, omvattende een lange hoofdsteunzijde;</w:t>
            </w:r>
          </w:p>
        </w:tc>
        <w:tc>
          <w:tcPr>
            <w:shd w:val="clear" w:color="auto" w:fill="F5DEB3"/>
          </w:tcPr>
          <w:p>
            <w:pPr>
              <w:rPr>
                <w:lang w:val="en-US"/>
              </w:rPr>
            </w:pPr>
            <w:r>
              <w:rPr>
                <w:lang w:val="en-US"/>
              </w:rPr>
              <w:t xml:space="preserve">a substantially rectangular </w:t>
            </w:r>
            <w:r>
              <w:rPr>
                <w:rStyle w:val="Tag"/>
                <w:lang w:val="en-US"/>
              </w:rPr>
              <w:t xml:space="preserve">&lt;229&gt;</w:t>
            </w:r>
            <w:r>
              <w:rPr>
                <w:lang w:val="en-US"/>
              </w:rPr>
              <w:t xml:space="preserve">head support mattress bracket</w:t>
            </w:r>
            <w:r>
              <w:rPr>
                <w:rStyle w:val="Tag"/>
                <w:lang w:val="en-US"/>
              </w:rPr>
              <w:t xml:space="preserve">&lt;/229&gt;</w:t>
            </w:r>
            <w:r>
              <w:rPr>
                <w:lang w:val="en-US"/>
              </w:rPr>
              <w:t xml:space="preserve"> (4), comprising a long head support side;</w:t>
            </w:r>
          </w:p>
        </w:tc>
      </w:tr>
      <w:tr>
        <w:tc>
          <w:tcPr>
            <w:shd w:val="clear" w:color="auto" w:fill="F5DEB3"/>
          </w:tcPr>
          <w:p>
            <w:pPr>
              <w:rPr>
                <w:lang w:val="nl-BE"/>
              </w:rPr>
            </w:pPr>
            <w:r>
              <w:rPr>
                <w:rStyle w:val="SegmentID"/>
                <w:lang w:val="nl-BE"/>
              </w:rPr>
              <w:t xml:space="preserve">209</w:t>
            </w:r>
            <w:r>
              <w:rPr>
                <w:rStyle w:val="TransUnitID"/>
                <w:lang w:val="nl-BE"/>
              </w:rPr>
              <w:t xml:space="preserve">303b2f62-577b-4ebe-a8c1-1320068540ee</w:t>
            </w:r>
          </w:p>
        </w:tc>
        <w:tc>
          <w:tcPr>
            <w:shd w:val="clear" w:color="auto" w:fill="F5DEB3"/>
          </w:tcPr>
          <w:p>
            <w:pPr>
              <w:rPr>
                <w:lang w:val="nl-BE"/>
              </w:rPr>
            </w:pPr>
            <w:r>
              <w:rPr>
                <w:lang w:val="nl-BE"/>
              </w:rPr>
              <w:t xml:space="preserve">Translated (96%)</w:t>
            </w:r>
          </w:p>
        </w:tc>
        <w:tc>
          <w:tcPr>
            <w:shd w:val="clear" w:color="auto" w:fill="F5DEB3"/>
          </w:tcPr>
          <w:p>
            <w:pPr>
              <w:rPr>
                <w:lang w:val="nl-BE"/>
              </w:rPr>
            </w:pPr>
            <w:r>
              <w:rPr>
                <w:lang w:val="nl-BE"/>
              </w:rPr>
              <w:t xml:space="preserve">een in hoofdzaak rechthoekige lichaamsteunmatrasbeugel (9), omvattende een lange lichaamsteunzijde;</w:t>
            </w:r>
          </w:p>
        </w:tc>
        <w:tc>
          <w:tcPr>
            <w:shd w:val="clear" w:color="auto" w:fill="F5DEB3"/>
          </w:tcPr>
          <w:p>
            <w:pPr>
              <w:rPr>
                <w:lang w:val="en-US"/>
              </w:rPr>
            </w:pPr>
            <w:r>
              <w:rPr>
                <w:lang w:val="en-US"/>
              </w:rPr>
              <w:t xml:space="preserve">a substantially rectangular body support mattress bracket (9), comprising a long body support side;</w:t>
            </w:r>
          </w:p>
        </w:tc>
      </w:tr>
      <w:tr>
        <w:tc>
          <w:tcPr>
            <w:shd w:val="clear" w:color="auto" w:fill="FFFFFF"/>
          </w:tcPr>
          <w:p>
            <w:pPr>
              <w:rPr>
                <w:lang w:val="nl-BE"/>
              </w:rPr>
            </w:pPr>
            <w:r>
              <w:rPr>
                <w:rStyle w:val="SegmentID"/>
                <w:lang w:val="nl-BE"/>
              </w:rPr>
              <w:t xml:space="preserve">210</w:t>
            </w:r>
            <w:r>
              <w:rPr>
                <w:rStyle w:val="TransUnitID"/>
                <w:lang w:val="nl-BE"/>
              </w:rPr>
              <w:t xml:space="preserve">1295a681-8480-49bf-b856-bd509e723555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w:t>
            </w:r>
            <w:r>
              <w:rPr>
                <w:rStyle w:val="Tag"/>
                <w:lang w:val="nl-BE"/>
              </w:rPr>
              <w:t xml:space="preserve">&lt;233&gt;</w:t>
            </w:r>
            <w:r>
              <w:rPr>
                <w:lang w:val="nl-BE"/>
              </w:rPr>
              <w:t xml:space="preserve">eerste hoofdsteunkoppeling (3) </w:t>
            </w:r>
            <w:r>
              <w:rPr>
                <w:rStyle w:val="Tag"/>
                <w:lang w:val="nl-BE"/>
              </w:rPr>
              <w:t xml:space="preserve">&lt;231/&gt;</w:t>
            </w:r>
            <w:r>
              <w:rPr>
                <w:rStyle w:val="Tag"/>
                <w:lang w:val="nl-BE"/>
              </w:rPr>
              <w:t xml:space="preserve">&lt;/233&gt;</w:t>
            </w:r>
            <w:r>
              <w:rPr>
                <w:lang w:val="nl-BE"/>
              </w:rPr>
              <w:t xml:space="preserve">met een eerste uiteinde scharnierbaar verbonden met de basisliggers (1) en met een tweede uiteinde scharnierbaar verbonden met de hoofdsteunmatrasbeugel (4)</w:t>
            </w:r>
            <w:r>
              <w:rPr>
                <w:rStyle w:val="Tag"/>
                <w:lang w:val="nl-BE"/>
              </w:rPr>
              <w:t xml:space="preserve">&lt;234/&gt;</w:t>
            </w:r>
            <w:r>
              <w:rPr>
                <w:lang w:val="nl-BE"/>
              </w:rPr>
              <w:t xml:space="preserve">;</w:t>
            </w:r>
          </w:p>
        </w:tc>
        <w:tc>
          <w:tcPr>
            <w:shd w:val="clear" w:color="auto" w:fill="FFFFFF"/>
          </w:tcPr>
          <w:p>
            <w:pPr>
              <w:rPr>
                <w:lang w:val="en-US"/>
              </w:rPr>
            </w:pPr>
            <w:r>
              <w:rPr>
                <w:lang w:val="en-US"/>
              </w:rPr>
              <w:t xml:space="preserve">a </w:t>
            </w:r>
            <w:r>
              <w:rPr>
                <w:rStyle w:val="Tag"/>
                <w:lang w:val="en-US"/>
              </w:rPr>
              <w:t xml:space="preserve">&lt;233&gt;</w:t>
            </w:r>
            <w:r>
              <w:rPr>
                <w:lang w:val="en-US"/>
              </w:rPr>
              <w:t xml:space="preserve">first head support coupling (3) </w:t>
            </w:r>
            <w:r>
              <w:rPr>
                <w:rStyle w:val="Tag"/>
                <w:lang w:val="en-US"/>
              </w:rPr>
              <w:t xml:space="preserve">&lt;231/&gt;</w:t>
            </w:r>
            <w:r>
              <w:rPr>
                <w:rStyle w:val="Tag"/>
                <w:lang w:val="en-US"/>
              </w:rPr>
              <w:t xml:space="preserve">&lt;/233&gt;</w:t>
            </w:r>
            <w:r>
              <w:rPr>
                <w:lang w:val="en-US"/>
              </w:rPr>
              <w:t xml:space="preserve">with a first end hingedly connected to the base beams (1) and with a second end hingedly connected to the head support mattress bracket (4)</w:t>
            </w:r>
            <w:r>
              <w:rPr>
                <w:rStyle w:val="Tag"/>
                <w:lang w:val="en-US"/>
              </w:rPr>
              <w:t xml:space="preserve">&lt;234/&gt;</w:t>
            </w:r>
            <w:r>
              <w:rPr>
                <w:lang w:val="en-US"/>
              </w:rPr>
              <w:t xml:space="preserve">;</w:t>
            </w:r>
          </w:p>
        </w:tc>
      </w:tr>
      <w:tr>
        <w:tc>
          <w:tcPr>
            <w:shd w:val="clear" w:color="auto" w:fill="F5DEB3"/>
          </w:tcPr>
          <w:p>
            <w:pPr>
              <w:rPr>
                <w:lang w:val="nl-BE"/>
              </w:rPr>
            </w:pPr>
            <w:r>
              <w:rPr>
                <w:rStyle w:val="SegmentID"/>
                <w:lang w:val="nl-BE"/>
              </w:rPr>
              <w:t xml:space="preserve">211</w:t>
            </w:r>
            <w:r>
              <w:rPr>
                <w:rStyle w:val="TransUnitID"/>
                <w:lang w:val="nl-BE"/>
              </w:rPr>
              <w:t xml:space="preserve">7a8337c6-1d40-4828-8f66-13ea7d07553a</w:t>
            </w:r>
          </w:p>
        </w:tc>
        <w:tc>
          <w:tcPr>
            <w:shd w:val="clear" w:color="auto" w:fill="F5DEB3"/>
          </w:tcPr>
          <w:p>
            <w:pPr>
              <w:rPr>
                <w:lang w:val="nl-BE"/>
              </w:rPr>
            </w:pPr>
            <w:r>
              <w:rPr>
                <w:lang w:val="nl-BE"/>
              </w:rPr>
              <w:t xml:space="preserve">Translated (94%)</w:t>
            </w:r>
          </w:p>
        </w:tc>
        <w:tc>
          <w:tcPr>
            <w:shd w:val="clear" w:color="auto" w:fill="F5DEB3"/>
          </w:tcPr>
          <w:p>
            <w:pPr>
              <w:rPr>
                <w:lang w:val="nl-BE"/>
              </w:rPr>
            </w:pPr>
            <w:r>
              <w:rPr>
                <w:lang w:val="nl-BE"/>
              </w:rPr>
              <w:t xml:space="preserve">een </w:t>
            </w:r>
            <w:r>
              <w:rPr>
                <w:rStyle w:val="Tag"/>
                <w:lang w:val="nl-BE"/>
              </w:rPr>
              <w:t xml:space="preserve">&lt;237&gt;</w:t>
            </w:r>
            <w:r>
              <w:rPr>
                <w:lang w:val="nl-BE"/>
              </w:rPr>
              <w:t xml:space="preserve">tweede hoofdsteunkoppeling (7) </w:t>
            </w:r>
            <w:r>
              <w:rPr>
                <w:rStyle w:val="Tag"/>
                <w:lang w:val="nl-BE"/>
              </w:rPr>
              <w:t xml:space="preserve">&lt;/237&gt;</w:t>
            </w:r>
            <w:r>
              <w:rPr>
                <w:lang w:val="nl-BE"/>
              </w:rPr>
              <w:t xml:space="preserve">met een eerste uiteinde scharnierbaar verbonden met de basisliggers (1) en met een tweede uiteinde scharnierbaar verbonden met de hoofdsteunmatrasbeugel (4);</w:t>
            </w:r>
          </w:p>
        </w:tc>
        <w:tc>
          <w:tcPr>
            <w:shd w:val="clear" w:color="auto" w:fill="F5DEB3"/>
          </w:tcPr>
          <w:p>
            <w:pPr>
              <w:rPr>
                <w:lang w:val="en-US"/>
              </w:rPr>
            </w:pPr>
            <w:r>
              <w:rPr>
                <w:lang w:val="en-US"/>
              </w:rPr>
              <w:t xml:space="preserve">a </w:t>
            </w:r>
            <w:r>
              <w:rPr>
                <w:rStyle w:val="Tag"/>
                <w:lang w:val="en-US"/>
              </w:rPr>
              <w:t xml:space="preserve">&lt;237&gt;</w:t>
            </w:r>
            <w:r>
              <w:rPr>
                <w:lang w:val="en-US"/>
              </w:rPr>
              <w:t xml:space="preserve">second head support coupling (7)</w:t>
            </w:r>
            <w:r>
              <w:rPr>
                <w:rStyle w:val="Tag"/>
                <w:lang w:val="en-US"/>
              </w:rPr>
              <w:t xml:space="preserve">&lt;/237&gt;</w:t>
            </w:r>
            <w:r>
              <w:rPr>
                <w:lang w:val="en-US"/>
              </w:rPr>
              <w:t xml:space="preserve"> with a first end hingedly connected to the base beams (1) and with a second end hingedly connected to the head support mattress bracket (4);</w:t>
            </w:r>
          </w:p>
        </w:tc>
      </w:tr>
      <w:tr>
        <w:tc>
          <w:tcPr>
            <w:shd w:val="clear" w:color="auto" w:fill="F5DEB3"/>
          </w:tcPr>
          <w:p>
            <w:pPr>
              <w:rPr>
                <w:lang w:val="nl-BE"/>
              </w:rPr>
            </w:pPr>
            <w:r>
              <w:rPr>
                <w:rStyle w:val="SegmentID"/>
                <w:lang w:val="nl-BE"/>
              </w:rPr>
              <w:t xml:space="preserve">212</w:t>
            </w:r>
            <w:r>
              <w:rPr>
                <w:rStyle w:val="TransUnitID"/>
                <w:lang w:val="nl-BE"/>
              </w:rPr>
              <w:t xml:space="preserve">8dbb4752-0353-4503-98b3-07b037218a69</w:t>
            </w:r>
          </w:p>
        </w:tc>
        <w:tc>
          <w:tcPr>
            <w:shd w:val="clear" w:color="auto" w:fill="F5DEB3"/>
          </w:tcPr>
          <w:p>
            <w:pPr>
              <w:rPr>
                <w:lang w:val="nl-BE"/>
              </w:rPr>
            </w:pPr>
            <w:r>
              <w:rPr>
                <w:lang w:val="nl-BE"/>
              </w:rPr>
              <w:t xml:space="preserve">Translated (92%)</w:t>
            </w:r>
          </w:p>
        </w:tc>
        <w:tc>
          <w:tcPr>
            <w:shd w:val="clear" w:color="auto" w:fill="F5DEB3"/>
          </w:tcPr>
          <w:p>
            <w:pPr>
              <w:rPr>
                <w:lang w:val="nl-BE"/>
              </w:rPr>
            </w:pPr>
            <w:r>
              <w:rPr>
                <w:lang w:val="nl-BE"/>
              </w:rPr>
              <w:t xml:space="preserve">een </w:t>
            </w:r>
            <w:r>
              <w:rPr>
                <w:rStyle w:val="Tag"/>
                <w:lang w:val="nl-BE"/>
              </w:rPr>
              <w:t xml:space="preserve">&lt;240&gt;</w:t>
            </w:r>
            <w:r>
              <w:rPr>
                <w:lang w:val="nl-BE"/>
              </w:rPr>
              <w:t xml:space="preserve">eerste lichaamsteunkoppeling (8) </w:t>
            </w:r>
            <w:r>
              <w:rPr>
                <w:rStyle w:val="Tag"/>
                <w:lang w:val="nl-BE"/>
              </w:rPr>
              <w:t xml:space="preserve">&lt;/240&gt;</w:t>
            </w:r>
            <w:r>
              <w:rPr>
                <w:lang w:val="nl-BE"/>
              </w:rPr>
              <w:t xml:space="preserve">met een eerste uiteinde scharnierbaar verbonden aan de </w:t>
            </w:r>
            <w:r>
              <w:rPr>
                <w:rStyle w:val="Tag"/>
                <w:lang w:val="nl-BE"/>
              </w:rPr>
              <w:t xml:space="preserve">&lt;243&gt;</w:t>
            </w:r>
            <w:r>
              <w:rPr>
                <w:lang w:val="nl-BE"/>
              </w:rPr>
              <w:t xml:space="preserve">lichaamsteunmatrasbeugel (9)</w:t>
            </w:r>
            <w:r>
              <w:rPr>
                <w:rStyle w:val="Tag"/>
                <w:lang w:val="nl-BE"/>
              </w:rPr>
              <w:t xml:space="preserve">&lt;/243&gt;</w:t>
            </w:r>
            <w:r>
              <w:rPr>
                <w:lang w:val="nl-BE"/>
              </w:rPr>
              <w:t xml:space="preserve">, en met een tweede uiteinde scharnierbaar verbonden aan de hoofdsteunmatrasbeugel (4) via een eerste scharnierpunt (H+);</w:t>
            </w:r>
          </w:p>
        </w:tc>
        <w:tc>
          <w:tcPr>
            <w:shd w:val="clear" w:color="auto" w:fill="F5DEB3"/>
          </w:tcPr>
          <w:p>
            <w:pPr>
              <w:rPr>
                <w:lang w:val="en-US"/>
              </w:rPr>
            </w:pPr>
            <w:r>
              <w:rPr>
                <w:lang w:val="en-US"/>
              </w:rPr>
              <w:t xml:space="preserve">a </w:t>
            </w:r>
            <w:r>
              <w:rPr>
                <w:rStyle w:val="Tag"/>
                <w:lang w:val="en-US"/>
              </w:rPr>
              <w:t xml:space="preserve">&lt;240&gt;</w:t>
            </w:r>
            <w:r>
              <w:rPr>
                <w:lang w:val="en-US"/>
              </w:rPr>
              <w:t xml:space="preserve">first body support coupling (8)</w:t>
            </w:r>
            <w:r>
              <w:rPr>
                <w:rStyle w:val="Tag"/>
                <w:lang w:val="en-US"/>
              </w:rPr>
              <w:t xml:space="preserve">&lt;/240&gt;</w:t>
            </w:r>
            <w:r>
              <w:rPr>
                <w:lang w:val="en-US"/>
              </w:rPr>
              <w:t xml:space="preserve"> having a first end hingedly connected to the </w:t>
            </w:r>
            <w:r>
              <w:rPr>
                <w:rStyle w:val="Tag"/>
                <w:lang w:val="en-US"/>
              </w:rPr>
              <w:t xml:space="preserve">&lt;243&gt;</w:t>
            </w:r>
            <w:r>
              <w:rPr>
                <w:lang w:val="en-US"/>
              </w:rPr>
              <w:t xml:space="preserve">body support mattress bracket (9)</w:t>
            </w:r>
            <w:r>
              <w:rPr>
                <w:rStyle w:val="Tag"/>
                <w:lang w:val="en-US"/>
              </w:rPr>
              <w:t xml:space="preserve">&lt;/243&gt;</w:t>
            </w:r>
            <w:r>
              <w:rPr>
                <w:lang w:val="en-US"/>
              </w:rPr>
              <w:t xml:space="preserve">, and with a second end hingedly connected to the head support mattress bracket (4) via a first hinge point (H+);</w:t>
            </w:r>
          </w:p>
        </w:tc>
      </w:tr>
      <w:tr>
        <w:tc>
          <w:tcPr>
            <w:shd w:val="clear" w:color="auto" w:fill="F5DEB3"/>
          </w:tcPr>
          <w:p>
            <w:pPr>
              <w:rPr>
                <w:lang w:val="nl-BE"/>
              </w:rPr>
            </w:pPr>
            <w:r>
              <w:rPr>
                <w:rStyle w:val="SegmentID"/>
                <w:lang w:val="nl-BE"/>
              </w:rPr>
              <w:t xml:space="preserve">213</w:t>
            </w:r>
            <w:r>
              <w:rPr>
                <w:rStyle w:val="TransUnitID"/>
                <w:lang w:val="nl-BE"/>
              </w:rPr>
              <w:t xml:space="preserve">3999f0c0-3cf8-4bf6-903e-2355798b45aa</w:t>
            </w:r>
          </w:p>
        </w:tc>
        <w:tc>
          <w:tcPr>
            <w:shd w:val="clear" w:color="auto" w:fill="F5DEB3"/>
          </w:tcPr>
          <w:p>
            <w:pPr>
              <w:rPr>
                <w:lang w:val="nl-BE"/>
              </w:rPr>
            </w:pPr>
            <w:r>
              <w:rPr>
                <w:lang w:val="nl-BE"/>
              </w:rPr>
              <w:t xml:space="preserve">Translated (92%)</w:t>
            </w:r>
          </w:p>
        </w:tc>
        <w:tc>
          <w:tcPr>
            <w:shd w:val="clear" w:color="auto" w:fill="F5DEB3"/>
          </w:tcPr>
          <w:p>
            <w:pPr>
              <w:rPr>
                <w:lang w:val="nl-BE"/>
              </w:rPr>
            </w:pPr>
            <w:r>
              <w:rPr>
                <w:lang w:val="nl-BE"/>
              </w:rPr>
              <w:t xml:space="preserve">een </w:t>
            </w:r>
            <w:r>
              <w:rPr>
                <w:rStyle w:val="Tag"/>
                <w:lang w:val="nl-BE"/>
              </w:rPr>
              <w:t xml:space="preserve">&lt;246&gt;</w:t>
            </w:r>
            <w:r>
              <w:rPr>
                <w:lang w:val="nl-BE"/>
              </w:rPr>
              <w:t xml:space="preserve">tweede lichaamsteunkoppeling (5, 6) </w:t>
            </w:r>
            <w:r>
              <w:rPr>
                <w:rStyle w:val="Tag"/>
                <w:lang w:val="nl-BE"/>
              </w:rPr>
              <w:t xml:space="preserve">&lt;/246&gt;</w:t>
            </w:r>
            <w:r>
              <w:rPr>
                <w:lang w:val="nl-BE"/>
              </w:rPr>
              <w:t xml:space="preserve">met een eerste uiteinde scharnierbaar verbonden aan de basisliggers (1) en met een tweede uiteinde scharnierbaar verbonden aan de lichaamsteunmatrasbeugel (9);</w:t>
            </w:r>
          </w:p>
        </w:tc>
        <w:tc>
          <w:tcPr>
            <w:shd w:val="clear" w:color="auto" w:fill="F5DEB3"/>
          </w:tcPr>
          <w:p>
            <w:pPr>
              <w:rPr>
                <w:lang w:val="en-US"/>
              </w:rPr>
            </w:pPr>
            <w:r>
              <w:rPr>
                <w:lang w:val="en-US"/>
              </w:rPr>
              <w:t xml:space="preserve">a </w:t>
            </w:r>
            <w:r>
              <w:rPr>
                <w:rStyle w:val="Tag"/>
                <w:lang w:val="en-US"/>
              </w:rPr>
              <w:t xml:space="preserve">&lt;246&gt;</w:t>
            </w:r>
            <w:r>
              <w:rPr>
                <w:lang w:val="en-US"/>
              </w:rPr>
              <w:t xml:space="preserve">second body support coupling (5, 6)</w:t>
            </w:r>
            <w:r>
              <w:rPr>
                <w:rStyle w:val="Tag"/>
                <w:lang w:val="en-US"/>
              </w:rPr>
              <w:t xml:space="preserve">&lt;/246&gt;</w:t>
            </w:r>
            <w:r>
              <w:rPr>
                <w:lang w:val="en-US"/>
              </w:rPr>
              <w:t xml:space="preserve"> having a first end hingedly connected to the base beams (1) and with a second end hingedly connected to the body support mattress bracket (9);</w:t>
            </w:r>
          </w:p>
        </w:tc>
      </w:tr>
      <w:tr>
        <w:tc>
          <w:tcPr>
            <w:shd w:val="clear" w:color="auto" w:fill="F5DEB3"/>
          </w:tcPr>
          <w:p>
            <w:pPr>
              <w:rPr>
                <w:lang w:val="nl-BE"/>
              </w:rPr>
            </w:pPr>
            <w:r>
              <w:rPr>
                <w:rStyle w:val="SegmentID"/>
                <w:lang w:val="nl-BE"/>
              </w:rPr>
              <w:t xml:space="preserve">214 a a</w:t>
            </w:r>
            <w:r>
              <w:rPr>
                <w:rStyle w:val="TransUnitID"/>
                <w:lang w:val="nl-BE"/>
              </w:rPr>
              <w:t xml:space="preserve">b7a7c5b7-74fd-49bc-b966-238670fc6cd7</w:t>
            </w:r>
          </w:p>
        </w:tc>
        <w:tc>
          <w:tcPr>
            <w:shd w:val="clear" w:color="auto" w:fill="F5DEB3"/>
          </w:tcPr>
          <w:p>
            <w:pPr>
              <w:rPr>
                <w:lang w:val="nl-BE"/>
              </w:rPr>
            </w:pPr>
            <w:r>
              <w:rPr>
                <w:lang w:val="nl-BE"/>
              </w:rPr>
              <w:t xml:space="preserve">Translated (90%)</w:t>
            </w:r>
          </w:p>
        </w:tc>
        <w:tc>
          <w:tcPr>
            <w:shd w:val="clear" w:color="auto" w:fill="F5DEB3"/>
          </w:tcPr>
          <w:p>
            <w:pPr>
              <w:rPr>
                <w:lang w:val="nl-BE"/>
              </w:rPr>
            </w:pPr>
            <w:r>
              <w:rPr>
                <w:lang w:val="nl-BE"/>
              </w:rPr>
              <w:t xml:space="preserve">een voetgedeelte, omvattende een </w:t>
            </w:r>
            <w:r>
              <w:rPr>
                <w:rStyle w:val="Tag"/>
                <w:lang w:val="nl-BE"/>
              </w:rPr>
              <w:t xml:space="preserve">&lt;249&gt;</w:t>
            </w:r>
            <w:r>
              <w:rPr>
                <w:lang w:val="nl-BE"/>
              </w:rPr>
              <w:t xml:space="preserve">voetstuk (12) </w:t>
            </w:r>
            <w:r>
              <w:rPr>
                <w:rStyle w:val="Tag"/>
                <w:lang w:val="nl-BE"/>
              </w:rPr>
              <w:t xml:space="preserve">&lt;/249&gt;</w:t>
            </w:r>
            <w:r>
              <w:rPr>
                <w:lang w:val="nl-BE"/>
              </w:rPr>
              <w:t xml:space="preserve">en een voetstukbeugel (11),</w:t>
            </w:r>
          </w:p>
        </w:tc>
        <w:tc>
          <w:tcPr>
            <w:shd w:val="clear" w:color="auto" w:fill="F5DEB3"/>
          </w:tcPr>
          <w:p>
            <w:pPr>
              <w:rPr>
                <w:lang w:val="en-US"/>
              </w:rPr>
            </w:pPr>
            <w:r>
              <w:rPr>
                <w:lang w:val="en-US"/>
              </w:rPr>
              <w:t xml:space="preserve">a foot portion, comprising a </w:t>
            </w:r>
            <w:r>
              <w:rPr>
                <w:rStyle w:val="Tag"/>
                <w:lang w:val="en-US"/>
              </w:rPr>
              <w:t xml:space="preserve">&lt;249&gt;</w:t>
            </w:r>
            <w:r>
              <w:rPr>
                <w:lang w:val="en-US"/>
              </w:rPr>
              <w:t xml:space="preserve">foot member (12)</w:t>
            </w:r>
            <w:r>
              <w:rPr>
                <w:rStyle w:val="Tag"/>
                <w:lang w:val="en-US"/>
              </w:rPr>
              <w:t xml:space="preserve">&lt;/249&gt;</w:t>
            </w:r>
            <w:r>
              <w:rPr>
                <w:lang w:val="en-US"/>
              </w:rPr>
              <w:t xml:space="preserve"> and a foot member bracket (11),</w:t>
            </w:r>
          </w:p>
        </w:tc>
      </w:tr>
      <w:tr>
        <w:tc>
          <w:tcPr>
            <w:shd w:val="clear" w:color="auto" w:fill="F5DEB3"/>
          </w:tcPr>
          <w:p>
            <w:pPr>
              <w:rPr>
                <w:lang w:val="nl-BE"/>
              </w:rPr>
            </w:pPr>
            <w:r>
              <w:rPr>
                <w:rStyle w:val="SegmentID"/>
                <w:lang w:val="nl-BE"/>
              </w:rPr>
              <w:t xml:space="preserve">214 a b</w:t>
            </w:r>
            <w:r>
              <w:rPr>
                <w:rStyle w:val="TransUnitID"/>
                <w:lang w:val="nl-BE"/>
              </w:rPr>
              <w:t xml:space="preserve">b7a7c5b7-74fd-49bc-b966-238670fc6cd7</w:t>
            </w:r>
          </w:p>
        </w:tc>
        <w:tc>
          <w:tcPr>
            <w:shd w:val="clear" w:color="auto" w:fill="F5DEB3"/>
          </w:tcPr>
          <w:p>
            <w:pPr>
              <w:rPr>
                <w:lang w:val="nl-BE"/>
              </w:rPr>
            </w:pPr>
            <w:r>
              <w:rPr>
                <w:lang w:val="nl-BE"/>
              </w:rPr>
              <w:t xml:space="preserve">Translated (91%)</w:t>
            </w:r>
          </w:p>
        </w:tc>
        <w:tc>
          <w:tcPr>
            <w:shd w:val="clear" w:color="auto" w:fill="F5DEB3"/>
          </w:tcPr>
          <w:p>
            <w:pPr>
              <w:rPr>
                <w:lang w:val="nl-BE"/>
              </w:rPr>
            </w:pPr>
            <w:r>
              <w:rPr>
                <w:lang w:val="nl-BE"/>
              </w:rPr>
              <w:t xml:space="preserve">waarbij de voetstukbeugel (12) verbonden is aan de lichaamsteunmatrasbeugel (9), en waarbij het voetstuk (12) pivoteerbaar verbonden is aan de </w:t>
            </w:r>
            <w:r>
              <w:rPr>
                <w:rStyle w:val="Tag"/>
                <w:lang w:val="nl-BE"/>
              </w:rPr>
              <w:t xml:space="preserve">&lt;252&gt;</w:t>
            </w:r>
            <w:r>
              <w:rPr>
                <w:lang w:val="nl-BE"/>
              </w:rPr>
              <w:t xml:space="preserve">voetstukbeugel (11) </w:t>
            </w:r>
            <w:r>
              <w:rPr>
                <w:rStyle w:val="Tag"/>
                <w:lang w:val="nl-BE"/>
              </w:rPr>
              <w:t xml:space="preserve">&lt;/252&gt;</w:t>
            </w:r>
            <w:r>
              <w:rPr>
                <w:lang w:val="nl-BE"/>
              </w:rPr>
              <w:t xml:space="preserve">aan een pivotpunt (Q) aan een eerste uiteinde van het voetstuk (12),</w:t>
            </w:r>
          </w:p>
        </w:tc>
        <w:tc>
          <w:tcPr>
            <w:shd w:val="clear" w:color="auto" w:fill="F5DEB3"/>
          </w:tcPr>
          <w:p>
            <w:pPr>
              <w:rPr>
                <w:lang w:val="en-US"/>
              </w:rPr>
            </w:pPr>
            <w:r>
              <w:rPr>
                <w:lang w:val="en-US"/>
              </w:rPr>
              <w:t xml:space="preserve">wherein the foot member bracket (12) is connected to the body support mattress bracket (9), and wherein the foot member (12) is hingedly connected to the </w:t>
            </w:r>
            <w:r>
              <w:rPr>
                <w:rStyle w:val="Tag"/>
                <w:lang w:val="en-US"/>
              </w:rPr>
              <w:t xml:space="preserve">&lt;252&gt;</w:t>
            </w:r>
            <w:r>
              <w:rPr>
                <w:lang w:val="en-US"/>
              </w:rPr>
              <w:t xml:space="preserve">foot member bracket (11)</w:t>
            </w:r>
            <w:r>
              <w:rPr>
                <w:rStyle w:val="Tag"/>
                <w:lang w:val="en-US"/>
              </w:rPr>
              <w:t xml:space="preserve">&lt;/252&gt;</w:t>
            </w:r>
            <w:r>
              <w:rPr>
                <w:lang w:val="en-US"/>
              </w:rPr>
              <w:t xml:space="preserve"> at a hinge point at a first end of the foot member (12),</w:t>
            </w:r>
          </w:p>
        </w:tc>
      </w:tr>
      <w:tr>
        <w:tc>
          <w:tcPr>
            <w:shd w:val="clear" w:color="auto" w:fill="F5DEB3"/>
          </w:tcPr>
          <w:p>
            <w:pPr>
              <w:rPr>
                <w:lang w:val="nl-BE"/>
              </w:rPr>
            </w:pPr>
            <w:r>
              <w:rPr>
                <w:rStyle w:val="SegmentID"/>
                <w:lang w:val="nl-BE"/>
              </w:rPr>
              <w:t xml:space="preserve">214 b</w:t>
            </w:r>
            <w:r>
              <w:rPr>
                <w:rStyle w:val="TransUnitID"/>
                <w:lang w:val="nl-BE"/>
              </w:rPr>
              <w:t xml:space="preserve">b7a7c5b7-74fd-49bc-b966-238670fc6cd7</w:t>
            </w:r>
          </w:p>
        </w:tc>
        <w:tc>
          <w:tcPr>
            <w:shd w:val="clear" w:color="auto" w:fill="F5DEB3"/>
          </w:tcPr>
          <w:p>
            <w:pPr>
              <w:rPr>
                <w:lang w:val="nl-BE"/>
              </w:rPr>
            </w:pPr>
            <w:r>
              <w:rPr>
                <w:lang w:val="nl-BE"/>
              </w:rPr>
              <w:t xml:space="preserve">Translated (98%)</w:t>
            </w:r>
          </w:p>
        </w:tc>
        <w:tc>
          <w:tcPr>
            <w:shd w:val="clear" w:color="auto" w:fill="F5DEB3"/>
          </w:tcPr>
          <w:p>
            <w:pPr>
              <w:rPr>
                <w:lang w:val="nl-BE"/>
              </w:rPr>
            </w:pPr>
            <w:r>
              <w:rPr>
                <w:lang w:val="nl-BE"/>
              </w:rPr>
              <w:t xml:space="preserve">waarbij het eerste uiteinde van het voetstuk (12) tegenoverliggend is aan een tweede uiteinde van het voetstuk (12) omvattend een voetsteun voor het rusten op een grondoppervlak in uiteengeklapte toestand van het geraamte;</w:t>
            </w:r>
          </w:p>
        </w:tc>
        <w:tc>
          <w:tcPr>
            <w:shd w:val="clear" w:color="auto" w:fill="F5DEB3"/>
          </w:tcPr>
          <w:p>
            <w:pPr>
              <w:rPr>
                <w:lang w:val="en-US"/>
              </w:rPr>
            </w:pPr>
            <w:r>
              <w:rPr>
                <w:lang w:val="en-US"/>
              </w:rPr>
              <w:t xml:space="preserve">wherein the first end of the foot member (12) is opposed to a second end of the foot member (12) comprising a footrest for resting on a ground surface in the unfolded state of the framework;</w:t>
            </w:r>
          </w:p>
        </w:tc>
      </w:tr>
      <w:tr>
        <w:tc>
          <w:tcPr>
            <w:shd w:val="clear" w:color="auto" w:fill="F5DEB3"/>
          </w:tcPr>
          <w:p>
            <w:pPr>
              <w:rPr>
                <w:lang w:val="nl-BE"/>
              </w:rPr>
            </w:pPr>
            <w:r>
              <w:rPr>
                <w:rStyle w:val="SegmentID"/>
                <w:lang w:val="nl-BE"/>
              </w:rPr>
              <w:t xml:space="preserve">215 a</w:t>
            </w:r>
            <w:r>
              <w:rPr>
                <w:rStyle w:val="TransUnitID"/>
                <w:lang w:val="nl-BE"/>
              </w:rPr>
              <w:t xml:space="preserve">90c5fe97-951f-4cbd-b501-f28d893322c9</w:t>
            </w:r>
          </w:p>
        </w:tc>
        <w:tc>
          <w:tcPr>
            <w:shd w:val="clear" w:color="auto" w:fill="F5DEB3"/>
          </w:tcPr>
          <w:p>
            <w:pPr>
              <w:rPr>
                <w:lang w:val="nl-BE"/>
              </w:rPr>
            </w:pPr>
            <w:r>
              <w:rPr>
                <w:lang w:val="nl-BE"/>
              </w:rPr>
              <w:t xml:space="preserve">Translated (95%)</w:t>
            </w:r>
          </w:p>
        </w:tc>
        <w:tc>
          <w:tcPr>
            <w:shd w:val="clear" w:color="auto" w:fill="F5DEB3"/>
          </w:tcPr>
          <w:p>
            <w:pPr>
              <w:rPr>
                <w:lang w:val="nl-BE"/>
              </w:rPr>
            </w:pPr>
            <w:r>
              <w:rPr>
                <w:lang w:val="nl-BE"/>
              </w:rPr>
              <w:t xml:space="preserve">een synchronisatiekoppeling (10) met een eerste uiteinde scharnierbaar verbonden met het voetstuk (12) en met een tweede uiteinde scharnierbaar verbonden met de eerste lichaamsteunkoppeling (8),</w:t>
            </w:r>
          </w:p>
        </w:tc>
        <w:tc>
          <w:tcPr>
            <w:shd w:val="clear" w:color="auto" w:fill="F5DEB3"/>
          </w:tcPr>
          <w:p>
            <w:pPr>
              <w:rPr>
                <w:lang w:val="en-US"/>
              </w:rPr>
            </w:pPr>
            <w:r>
              <w:rPr>
                <w:lang w:val="en-US"/>
              </w:rPr>
              <w:t xml:space="preserve">a synchronization coupling (10) having a first end hingedly connected to the foot member (12) and with a second end hingedly connected to the first body support coupling (8),</w:t>
            </w:r>
          </w:p>
        </w:tc>
      </w:tr>
      <w:tr>
        <w:tc>
          <w:tcPr>
            <w:shd w:val="clear" w:color="auto" w:fill="F5DEB3"/>
          </w:tcPr>
          <w:p>
            <w:pPr>
              <w:rPr>
                <w:lang w:val="nl-BE"/>
              </w:rPr>
            </w:pPr>
            <w:r>
              <w:rPr>
                <w:rStyle w:val="SegmentID"/>
                <w:lang w:val="nl-BE"/>
              </w:rPr>
              <w:t xml:space="preserve">215 b a</w:t>
            </w:r>
            <w:r>
              <w:rPr>
                <w:rStyle w:val="TransUnitID"/>
                <w:lang w:val="nl-BE"/>
              </w:rPr>
              <w:t xml:space="preserve">90c5fe97-951f-4cbd-b501-f28d893322c9</w:t>
            </w:r>
          </w:p>
        </w:tc>
        <w:tc>
          <w:tcPr>
            <w:shd w:val="clear" w:color="auto" w:fill="F5DEB3"/>
          </w:tcPr>
          <w:p>
            <w:pPr>
              <w:rPr>
                <w:lang w:val="nl-BE"/>
              </w:rPr>
            </w:pPr>
            <w:r>
              <w:rPr>
                <w:lang w:val="nl-BE"/>
              </w:rPr>
              <w:t xml:space="preserve">Translated (93%)</w:t>
            </w:r>
          </w:p>
        </w:tc>
        <w:tc>
          <w:tcPr>
            <w:shd w:val="clear" w:color="auto" w:fill="F5DEB3"/>
          </w:tcPr>
          <w:p>
            <w:pPr>
              <w:rPr>
                <w:lang w:val="nl-BE"/>
              </w:rPr>
            </w:pPr>
            <w:r>
              <w:rPr>
                <w:lang w:val="nl-BE"/>
              </w:rPr>
              <w:t xml:space="preserve">waarbij de </w:t>
            </w:r>
            <w:r>
              <w:rPr>
                <w:rStyle w:val="Tag"/>
                <w:lang w:val="nl-BE"/>
              </w:rPr>
              <w:t xml:space="preserve">&lt;255&gt;</w:t>
            </w:r>
            <w:r>
              <w:rPr>
                <w:lang w:val="nl-BE"/>
              </w:rPr>
              <w:t xml:space="preserve">synchronisatiekoppeling (10) </w:t>
            </w:r>
            <w:r>
              <w:rPr>
                <w:rStyle w:val="Tag"/>
                <w:lang w:val="nl-BE"/>
              </w:rPr>
              <w:t xml:space="preserve">&lt;/255&gt;</w:t>
            </w:r>
            <w:r>
              <w:rPr>
                <w:lang w:val="nl-BE"/>
              </w:rPr>
              <w:t xml:space="preserve">verbonden is met het voetstuk (12) via een tweede scharnierpunt (O) aan het eerste uiteinde van het voetstuk,</w:t>
            </w:r>
          </w:p>
        </w:tc>
        <w:tc>
          <w:tcPr>
            <w:shd w:val="clear" w:color="auto" w:fill="F5DEB3"/>
          </w:tcPr>
          <w:p>
            <w:pPr>
              <w:rPr>
                <w:lang w:val="en-US"/>
              </w:rPr>
            </w:pPr>
            <w:r>
              <w:rPr>
                <w:lang w:val="en-US"/>
              </w:rPr>
              <w:t xml:space="preserve">wherein the </w:t>
            </w:r>
            <w:r>
              <w:rPr>
                <w:rStyle w:val="Tag"/>
                <w:lang w:val="en-US"/>
              </w:rPr>
              <w:t xml:space="preserve">&lt;255&gt;</w:t>
            </w:r>
            <w:r>
              <w:rPr>
                <w:lang w:val="en-US"/>
              </w:rPr>
              <w:t xml:space="preserve">synchronization coupling (10)</w:t>
            </w:r>
            <w:r>
              <w:rPr>
                <w:rStyle w:val="Tag"/>
                <w:lang w:val="en-US"/>
              </w:rPr>
              <w:t xml:space="preserve">&lt;/255&gt;</w:t>
            </w:r>
            <w:r>
              <w:rPr>
                <w:lang w:val="en-US"/>
              </w:rPr>
              <w:t xml:space="preserve"> is connected to the foot member (12) via a second hinge point (O) at the first end of the foot member,</w:t>
            </w:r>
          </w:p>
        </w:tc>
      </w:tr>
      <w:tr>
        <w:tc>
          <w:tcPr>
            <w:shd w:val="clear" w:color="auto" w:fill="F5DEB3"/>
          </w:tcPr>
          <w:p>
            <w:pPr>
              <w:rPr>
                <w:lang w:val="nl-BE"/>
              </w:rPr>
            </w:pPr>
            <w:r>
              <w:rPr>
                <w:rStyle w:val="SegmentID"/>
                <w:lang w:val="nl-BE"/>
              </w:rPr>
              <w:t xml:space="preserve">215 b b</w:t>
            </w:r>
            <w:r>
              <w:rPr>
                <w:rStyle w:val="TransUnitID"/>
                <w:lang w:val="nl-BE"/>
              </w:rPr>
              <w:t xml:space="preserve">90c5fe97-951f-4cbd-b501-f28d893322c9</w:t>
            </w:r>
          </w:p>
        </w:tc>
        <w:tc>
          <w:tcPr>
            <w:shd w:val="clear" w:color="auto" w:fill="F5DEB3"/>
          </w:tcPr>
          <w:p>
            <w:pPr>
              <w:rPr>
                <w:lang w:val="nl-BE"/>
              </w:rPr>
            </w:pPr>
            <w:r>
              <w:rPr>
                <w:lang w:val="nl-BE"/>
              </w:rPr>
              <w:t xml:space="preserve">Translated (94%)</w:t>
            </w:r>
          </w:p>
        </w:tc>
        <w:tc>
          <w:tcPr>
            <w:shd w:val="clear" w:color="auto" w:fill="F5DEB3"/>
          </w:tcPr>
          <w:p>
            <w:pPr>
              <w:rPr>
                <w:lang w:val="nl-BE"/>
              </w:rPr>
            </w:pPr>
            <w:r>
              <w:rPr>
                <w:lang w:val="nl-BE"/>
              </w:rPr>
              <w:t xml:space="preserve">waarbij het </w:t>
            </w:r>
            <w:r>
              <w:rPr>
                <w:rStyle w:val="Tag"/>
                <w:lang w:val="nl-BE"/>
              </w:rPr>
              <w:t xml:space="preserve">&lt;258&gt;</w:t>
            </w:r>
            <w:r>
              <w:rPr>
                <w:lang w:val="nl-BE"/>
              </w:rPr>
              <w:t xml:space="preserve">tweede scharnierpunt (O)</w:t>
            </w:r>
            <w:r>
              <w:rPr>
                <w:rStyle w:val="Tag"/>
                <w:lang w:val="nl-BE"/>
              </w:rPr>
              <w:t xml:space="preserve">&lt;/258&gt;</w:t>
            </w:r>
            <w:r>
              <w:rPr>
                <w:lang w:val="nl-BE"/>
              </w:rPr>
              <w:t xml:space="preserve"> meer distaal gepositioneerd is ten opzichte van de voetsteun dan het pivotpunt (Q).</w:t>
            </w:r>
          </w:p>
        </w:tc>
        <w:tc>
          <w:tcPr>
            <w:shd w:val="clear" w:color="auto" w:fill="F5DEB3"/>
          </w:tcPr>
          <w:p>
            <w:pPr>
              <w:rPr>
                <w:lang w:val="en-US"/>
              </w:rPr>
            </w:pPr>
            <w:r>
              <w:rPr>
                <w:lang w:val="en-US"/>
              </w:rPr>
              <w:t xml:space="preserve">wherein the </w:t>
            </w:r>
            <w:r>
              <w:rPr>
                <w:rStyle w:val="Tag"/>
                <w:lang w:val="en-US"/>
              </w:rPr>
              <w:t xml:space="preserve">&lt;258&gt;</w:t>
            </w:r>
            <w:r>
              <w:rPr>
                <w:lang w:val="en-US"/>
              </w:rPr>
              <w:t xml:space="preserve">second hinge point (O)</w:t>
            </w:r>
            <w:r>
              <w:rPr>
                <w:rStyle w:val="Tag"/>
                <w:lang w:val="en-US"/>
              </w:rPr>
              <w:t xml:space="preserve">&lt;/258&gt;</w:t>
            </w:r>
            <w:r>
              <w:rPr>
                <w:lang w:val="en-US"/>
              </w:rPr>
              <w:t xml:space="preserve"> is positioned more distally with respect to the footrest than the hinge point (Q).</w:t>
            </w:r>
          </w:p>
        </w:tc>
      </w:tr>
      <w:tr>
        <w:tc>
          <w:tcPr>
            <w:shd w:val="clear" w:color="auto" w:fill="FFFFFF"/>
          </w:tcPr>
          <w:p>
            <w:pPr>
              <w:rPr>
                <w:lang w:val="nl-BE"/>
              </w:rPr>
            </w:pPr>
            <w:r>
              <w:rPr>
                <w:rStyle w:val="SegmentID"/>
                <w:lang w:val="nl-BE"/>
              </w:rPr>
              <w:t xml:space="preserve">216</w:t>
            </w:r>
            <w:r>
              <w:rPr>
                <w:rStyle w:val="TransUnitID"/>
                <w:lang w:val="nl-BE"/>
              </w:rPr>
              <w:t xml:space="preserve">656bb277-5a01-41bb-b28e-87c41e9beb17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de voorgaande conclusie 1, waarbij de synchronisatiekoppeling (10) verbonden is aan het eerste uiteinde van de eerste lichaamsteunkoppeling (8) op een eerste koppelpunt (L), waarbij de eerste lichaamsteunkoppeling (8) is verbonden aan de lichaamsteunmatrasbeugel (9) op een </w:t>
            </w:r>
            <w:r>
              <w:rPr>
                <w:rStyle w:val="Tag"/>
                <w:lang w:val="nl-BE"/>
              </w:rPr>
              <w:t xml:space="preserve">&lt;261&gt;</w:t>
            </w:r>
            <w:r>
              <w:rPr>
                <w:lang w:val="nl-BE"/>
              </w:rPr>
              <w:t xml:space="preserve">tweede koppelpunt (K)</w:t>
            </w:r>
            <w:r>
              <w:rPr>
                <w:rStyle w:val="Tag"/>
                <w:lang w:val="nl-BE"/>
              </w:rPr>
              <w:t xml:space="preserve">&lt;/261&gt;</w:t>
            </w:r>
            <w:r>
              <w:rPr>
                <w:lang w:val="nl-BE"/>
              </w:rPr>
              <w:t xml:space="preserve">, waarbij het tweede koppelpunt (K) meer extremaal naar het eerste uiteinde van de eerste lichaamsteunkoppeling (8) gepositioneerd is dan het </w:t>
            </w:r>
            <w:r>
              <w:rPr>
                <w:rStyle w:val="Tag"/>
                <w:lang w:val="nl-BE"/>
              </w:rPr>
              <w:t xml:space="preserve">&lt;264&gt;</w:t>
            </w:r>
            <w:r>
              <w:rPr>
                <w:lang w:val="nl-BE"/>
              </w:rPr>
              <w:t xml:space="preserve">eerste koppelpunt (L)</w:t>
            </w:r>
            <w:r>
              <w:rPr>
                <w:rStyle w:val="Tag"/>
                <w:lang w:val="nl-BE"/>
              </w:rPr>
              <w:t xml:space="preserve">&lt;/264&gt;</w:t>
            </w:r>
            <w:r>
              <w:rPr>
                <w:lang w:val="nl-BE"/>
              </w:rPr>
              <w:t xml:space="preserve">, en waarbij het eerste koppelpunt (L) zich off-axis bevindt ten opzichte van het tweede koppelpunt (K) en het eerste scharnierpunt (H+).</w:t>
            </w:r>
          </w:p>
        </w:tc>
        <w:tc>
          <w:tcPr>
            <w:shd w:val="clear" w:color="auto" w:fill="FFFFFF"/>
          </w:tcPr>
          <w:p>
            <w:pPr>
              <w:rPr>
                <w:lang w:val="en-US"/>
              </w:rPr>
            </w:pPr>
            <w:r>
              <w:rPr>
                <w:lang w:val="en-US"/>
              </w:rPr>
              <w:t xml:space="preserve">The folding framework according to the preceding claim 1, wherein the synchronization coupling (10) is connected to the first end of the first body support coupling (8) at a first coupling point (L), wherein the first body support coupling (8) is connected to the body support mattress bracket (9) at a </w:t>
            </w:r>
            <w:r>
              <w:rPr>
                <w:rStyle w:val="Tag"/>
                <w:lang w:val="en-US"/>
              </w:rPr>
              <w:t xml:space="preserve">&lt;261&gt;</w:t>
            </w:r>
            <w:r>
              <w:rPr>
                <w:lang w:val="en-US"/>
              </w:rPr>
              <w:t xml:space="preserve">second coupling point (K)</w:t>
            </w:r>
            <w:r>
              <w:rPr>
                <w:rStyle w:val="Tag"/>
                <w:lang w:val="en-US"/>
              </w:rPr>
              <w:t xml:space="preserve">&lt;/261&gt;</w:t>
            </w:r>
            <w:r>
              <w:rPr>
                <w:lang w:val="en-US"/>
              </w:rPr>
              <w:t xml:space="preserve">, wherein the second coupling point (K) is positioned more distally towards the first end of the first body support coupling (8) than the </w:t>
            </w:r>
            <w:r>
              <w:rPr>
                <w:rStyle w:val="Tag"/>
                <w:lang w:val="en-US"/>
              </w:rPr>
              <w:t xml:space="preserve">&lt;264&gt;</w:t>
            </w:r>
            <w:r>
              <w:rPr>
                <w:lang w:val="en-US"/>
              </w:rPr>
              <w:t xml:space="preserve">first coupling point (L)</w:t>
            </w:r>
            <w:r>
              <w:rPr>
                <w:rStyle w:val="Tag"/>
                <w:lang w:val="en-US"/>
              </w:rPr>
              <w:t xml:space="preserve">&lt;/264&gt;</w:t>
            </w:r>
            <w:r>
              <w:rPr>
                <w:lang w:val="en-US"/>
              </w:rPr>
              <w:t xml:space="preserve">, and wherein the first coupling point (L) is positioned off-axis relative to the second coupling point (K) and the first hinge point (H+).</w:t>
            </w:r>
          </w:p>
        </w:tc>
      </w:tr>
      <w:tr>
        <w:tc>
          <w:tcPr>
            <w:shd w:val="clear" w:color="auto" w:fill="FFFFFF"/>
          </w:tcPr>
          <w:p>
            <w:pPr>
              <w:rPr>
                <w:lang w:val="nl-BE"/>
              </w:rPr>
            </w:pPr>
            <w:r>
              <w:rPr>
                <w:rStyle w:val="SegmentID"/>
                <w:lang w:val="nl-BE"/>
              </w:rPr>
              <w:t xml:space="preserve">217</w:t>
            </w:r>
            <w:r>
              <w:rPr>
                <w:rStyle w:val="TransUnitID"/>
                <w:lang w:val="nl-BE"/>
              </w:rPr>
              <w:t xml:space="preserve">f2bd8253-5106-41f0-b939-86779ee2b415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of 2, waarbij de voetbeugel (11) en het voetstuk (12) pivoteerbaar verbonden zijn via het </w:t>
            </w:r>
            <w:r>
              <w:rPr>
                <w:rStyle w:val="Tag"/>
                <w:lang w:val="nl-BE"/>
              </w:rPr>
              <w:t xml:space="preserve">&lt;267&gt;</w:t>
            </w:r>
            <w:r>
              <w:rPr>
                <w:lang w:val="nl-BE"/>
              </w:rPr>
              <w:t xml:space="preserve">pivotpunt (Q) </w:t>
            </w:r>
            <w:r>
              <w:rPr>
                <w:rStyle w:val="Tag"/>
                <w:lang w:val="nl-BE"/>
              </w:rPr>
              <w:t xml:space="preserve">&lt;/267&gt;</w:t>
            </w:r>
            <w:r>
              <w:rPr>
                <w:lang w:val="nl-BE"/>
              </w:rPr>
              <w:t xml:space="preserve">en via een pen-in-groef mechanisme, omvattende een </w:t>
            </w:r>
            <w:r>
              <w:rPr>
                <w:rStyle w:val="Tag"/>
                <w:lang w:val="nl-BE"/>
              </w:rPr>
              <w:t xml:space="preserve">&lt;270&gt;</w:t>
            </w:r>
            <w:r>
              <w:rPr>
                <w:lang w:val="nl-BE"/>
              </w:rPr>
              <w:t xml:space="preserve">pen (P) </w:t>
            </w:r>
            <w:r>
              <w:rPr>
                <w:rStyle w:val="Tag"/>
                <w:lang w:val="nl-BE"/>
              </w:rPr>
              <w:t xml:space="preserve">&lt;/270&gt;</w:t>
            </w:r>
            <w:r>
              <w:rPr>
                <w:lang w:val="nl-BE"/>
              </w:rPr>
              <w:t xml:space="preserve">op één van de voetbeugel (11) of het voetstuk (12), bij voorkeur op de voetbeugel (11), en een groef op de ander van het voetstuk (12) of de voetbeugel (11), bij voorkeur op het voetstuk (12), waarbij de groef de vorm van een cirkelboog heeft en waarbij de pen (P) zich doorheen de groef uitsteekt en loodrecht op het vlak van de groef staat.</w:t>
            </w:r>
          </w:p>
        </w:tc>
        <w:tc>
          <w:tcPr>
            <w:shd w:val="clear" w:color="auto" w:fill="FFFFFF"/>
          </w:tcPr>
          <w:p>
            <w:pPr>
              <w:rPr>
                <w:lang w:val="en-US"/>
              </w:rPr>
            </w:pPr>
            <w:r>
              <w:rPr>
                <w:lang w:val="en-US"/>
              </w:rPr>
              <w:t xml:space="preserve">The folding framework according to any of the preceding claims 1 or 2, wherein the foot bracket (11) and the foot member (12) are hingedly connected via the </w:t>
            </w:r>
            <w:r>
              <w:rPr>
                <w:rStyle w:val="Tag"/>
                <w:lang w:val="en-US"/>
              </w:rPr>
              <w:t xml:space="preserve">&lt;267&gt;</w:t>
            </w:r>
            <w:r>
              <w:rPr>
                <w:lang w:val="en-US"/>
              </w:rPr>
              <w:t xml:space="preserve">hinge point (Q) </w:t>
            </w:r>
            <w:r>
              <w:rPr>
                <w:rStyle w:val="Tag"/>
                <w:lang w:val="en-US"/>
              </w:rPr>
              <w:t xml:space="preserve">&lt;/267&gt;</w:t>
            </w:r>
            <w:r>
              <w:rPr>
                <w:lang w:val="en-US"/>
              </w:rPr>
              <w:t xml:space="preserve">and via a pin-in-groove mechanism, comprising a </w:t>
            </w:r>
            <w:r>
              <w:rPr>
                <w:rStyle w:val="Tag"/>
                <w:lang w:val="en-US"/>
              </w:rPr>
              <w:t xml:space="preserve">&lt;270&gt;</w:t>
            </w:r>
            <w:r>
              <w:rPr>
                <w:lang w:val="en-US"/>
              </w:rPr>
              <w:t xml:space="preserve">pin (P) </w:t>
            </w:r>
            <w:r>
              <w:rPr>
                <w:rStyle w:val="Tag"/>
                <w:lang w:val="en-US"/>
              </w:rPr>
              <w:t xml:space="preserve">&lt;/270&gt;</w:t>
            </w:r>
            <w:r>
              <w:rPr>
                <w:lang w:val="en-US"/>
              </w:rPr>
              <w:t xml:space="preserve">on one of the foot bracket (11) or the foot member (12), preferably on the foot bracket (11), and a groove on the other of the foot member (12) or the foot bracket (11), preferably on the foot member (12), wherein the groove is in the shape of a circular arc and wherein the pin (P) protrudes through the groove and stands perpendicular to the plane of the groove.</w:t>
            </w:r>
          </w:p>
        </w:tc>
      </w:tr>
      <w:tr>
        <w:tc>
          <w:tcPr>
            <w:shd w:val="clear" w:color="auto" w:fill="FFFFFF"/>
          </w:tcPr>
          <w:p>
            <w:pPr>
              <w:rPr>
                <w:lang w:val="nl-BE"/>
              </w:rPr>
            </w:pPr>
            <w:r>
              <w:rPr>
                <w:rStyle w:val="SegmentID"/>
                <w:lang w:val="nl-BE"/>
              </w:rPr>
              <w:t xml:space="preserve">218</w:t>
            </w:r>
            <w:r>
              <w:rPr>
                <w:rStyle w:val="TransUnitID"/>
                <w:lang w:val="nl-BE"/>
              </w:rPr>
              <w:t xml:space="preserve">38604325-ae05-4ea3-ad76-3f740af30ead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3, waarbij de tweede hoofdsteunkoppeling (7) en de hoofdsteunmatrasbeugel (4) scharnierbaar verbonden zijn in een achtste scharnierpunt (H+), waarbij het achtste scharnierpunt en het eerste scharnierpunt (H+) eenzelfde scharnierpunt zijn.</w:t>
            </w:r>
          </w:p>
        </w:tc>
        <w:tc>
          <w:tcPr>
            <w:shd w:val="clear" w:color="auto" w:fill="FFFFFF"/>
          </w:tcPr>
          <w:p>
            <w:pPr>
              <w:rPr>
                <w:lang w:val="en-US"/>
              </w:rPr>
            </w:pPr>
            <w:r>
              <w:rPr>
                <w:lang w:val="en-US"/>
              </w:rPr>
              <w:t xml:space="preserve">The folding framework according to any of the preceding claims 1 to 3, wherein the second head support coupling (7) and the head support mattress bracket (4) are hingedly connected at an eighth hinge point (H+), wherein the eighth hinge point and the first hinge point (H+) are the same hinge point.</w:t>
            </w:r>
          </w:p>
        </w:tc>
      </w:tr>
      <w:tr>
        <w:tc>
          <w:tcPr>
            <w:shd w:val="clear" w:color="auto" w:fill="FFFFFF"/>
          </w:tcPr>
          <w:p>
            <w:pPr>
              <w:rPr>
                <w:lang w:val="nl-BE"/>
              </w:rPr>
            </w:pPr>
            <w:r>
              <w:rPr>
                <w:rStyle w:val="SegmentID"/>
                <w:lang w:val="nl-BE"/>
              </w:rPr>
              <w:t xml:space="preserve">219</w:t>
            </w:r>
            <w:r>
              <w:rPr>
                <w:rStyle w:val="TransUnitID"/>
                <w:lang w:val="nl-BE"/>
              </w:rPr>
              <w:t xml:space="preserve">237634b5-23d1-465a-b2e0-c6d267049680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4, waarbij de tweede hoofdsteunkoppeling (7) en de eerste lichaamsteunkoppeling (8) star verbonden zijn via één of meer </w:t>
            </w:r>
            <w:r>
              <w:rPr>
                <w:rStyle w:val="Tag"/>
                <w:lang w:val="nl-BE"/>
              </w:rPr>
              <w:t xml:space="preserve">&lt;273&gt;</w:t>
            </w:r>
            <w:r>
              <w:rPr>
                <w:lang w:val="nl-BE"/>
              </w:rPr>
              <w:t xml:space="preserve">koppelingsfixatiepunten (H, H+)</w:t>
            </w:r>
            <w:r>
              <w:rPr>
                <w:rStyle w:val="Tag"/>
                <w:lang w:val="nl-BE"/>
              </w:rPr>
              <w:t xml:space="preserve">&lt;/273&gt;</w:t>
            </w:r>
            <w:r>
              <w:rPr>
                <w:lang w:val="nl-BE"/>
              </w:rPr>
              <w:t xml:space="preserve">, bij voorkeur waarbij één van de koppelingsfixatiepunten het eerste scharnierpunt (H+) is.</w:t>
            </w:r>
          </w:p>
        </w:tc>
        <w:tc>
          <w:tcPr>
            <w:shd w:val="clear" w:color="auto" w:fill="FFFFFF"/>
          </w:tcPr>
          <w:p>
            <w:pPr>
              <w:rPr>
                <w:lang w:val="en-US"/>
              </w:rPr>
            </w:pPr>
            <w:r>
              <w:rPr>
                <w:lang w:val="en-US"/>
              </w:rPr>
              <w:t xml:space="preserve">The folding framework according to any of the preceding claims 1 to 4, wherein the second head support coupling (7) and the first body support coupling (8) are rigidly connected via one or more </w:t>
            </w:r>
            <w:r>
              <w:rPr>
                <w:rStyle w:val="Tag"/>
                <w:lang w:val="en-US"/>
              </w:rPr>
              <w:t xml:space="preserve">&lt;273&gt;</w:t>
            </w:r>
            <w:r>
              <w:rPr>
                <w:lang w:val="en-US"/>
              </w:rPr>
              <w:t xml:space="preserve">coupling fixing points (H, H+)</w:t>
            </w:r>
            <w:r>
              <w:rPr>
                <w:rStyle w:val="Tag"/>
                <w:lang w:val="en-US"/>
              </w:rPr>
              <w:t xml:space="preserve">&lt;/273&gt;</w:t>
            </w:r>
            <w:r>
              <w:rPr>
                <w:lang w:val="en-US"/>
              </w:rPr>
              <w:t xml:space="preserve">, preferably wherein one of the coupling fixing points is the first hinge point (H+).</w:t>
            </w:r>
          </w:p>
        </w:tc>
      </w:tr>
      <w:tr>
        <w:tc>
          <w:tcPr>
            <w:shd w:val="clear" w:color="auto" w:fill="FFFFFF"/>
          </w:tcPr>
          <w:p>
            <w:pPr>
              <w:rPr>
                <w:lang w:val="nl-BE"/>
              </w:rPr>
            </w:pPr>
            <w:r>
              <w:rPr>
                <w:rStyle w:val="SegmentID"/>
                <w:lang w:val="nl-BE"/>
              </w:rPr>
              <w:t xml:space="preserve">220</w:t>
            </w:r>
            <w:r>
              <w:rPr>
                <w:rStyle w:val="TransUnitID"/>
                <w:lang w:val="nl-BE"/>
              </w:rPr>
              <w:t xml:space="preserve">866ed5bd-9922-4b38-8a6a-6e015f885d46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5, waarbij de eerste hoofdsteunkoppeling (3) scharnierbaar verbonden is met de basisliggers (1) via een </w:t>
            </w:r>
            <w:r>
              <w:rPr>
                <w:rStyle w:val="Tag"/>
                <w:lang w:val="nl-BE"/>
              </w:rPr>
              <w:t xml:space="preserve">&lt;276&gt;</w:t>
            </w:r>
            <w:r>
              <w:rPr>
                <w:lang w:val="nl-BE"/>
              </w:rPr>
              <w:t xml:space="preserve">derde scharnierpunt (A)</w:t>
            </w:r>
            <w:r>
              <w:rPr>
                <w:rStyle w:val="Tag"/>
                <w:lang w:val="nl-BE"/>
              </w:rPr>
              <w:t xml:space="preserve">&lt;/276&gt;</w:t>
            </w:r>
            <w:r>
              <w:rPr>
                <w:lang w:val="nl-BE"/>
              </w:rPr>
              <w:t xml:space="preserve">, waarbij het derde scharnierpunt (A) gepositioneerd is aan een eerste uiteinde van de basisliggers (1), en waarbij de eerste hoofdsteunkoppeling (3) scharnierbaar verbonden is met de hoofdsteunmatrasbeugel (4) via een vierde scharnierpunt (B), waarbij het </w:t>
            </w:r>
            <w:r>
              <w:rPr>
                <w:rStyle w:val="Tag"/>
                <w:lang w:val="nl-BE"/>
              </w:rPr>
              <w:t xml:space="preserve">&lt;279&gt;</w:t>
            </w:r>
            <w:r>
              <w:rPr>
                <w:lang w:val="nl-BE"/>
              </w:rPr>
              <w:t xml:space="preserve">vierde scharnierpunt (B) </w:t>
            </w:r>
            <w:r>
              <w:rPr>
                <w:rStyle w:val="Tag"/>
                <w:lang w:val="nl-BE"/>
              </w:rPr>
              <w:t xml:space="preserve">&lt;/279&gt;</w:t>
            </w:r>
            <w:r>
              <w:rPr>
                <w:lang w:val="nl-BE"/>
              </w:rPr>
              <w:t xml:space="preserve">gepositioneerd is aan een eerste uiteinde van de hoofdsteunmatrasbeugel (4), waarbij genoemde eerste uiteinden van de basisliggers (1) en de hoofdsteunmatrasbeugel (4) zich distaal ten opzichte van de lichaamsteunmatrasbeugel (9) bevinden in uitgeklapte toestand van het geraamte.</w:t>
            </w:r>
          </w:p>
        </w:tc>
        <w:tc>
          <w:tcPr>
            <w:shd w:val="clear" w:color="auto" w:fill="FFFFFF"/>
          </w:tcPr>
          <w:p>
            <w:pPr>
              <w:rPr>
                <w:lang w:val="en-US"/>
              </w:rPr>
            </w:pPr>
            <w:r>
              <w:rPr>
                <w:lang w:val="en-US"/>
              </w:rPr>
              <w:t xml:space="preserve">The folding framework according to any of the preceding claims 1 to 5, wherein the first head support coupling (3) is hingedly connected to the base beams (1) via a </w:t>
            </w:r>
            <w:r>
              <w:rPr>
                <w:rStyle w:val="Tag"/>
                <w:lang w:val="en-US"/>
              </w:rPr>
              <w:t xml:space="preserve">&lt;276&gt;</w:t>
            </w:r>
            <w:r>
              <w:rPr>
                <w:lang w:val="en-US"/>
              </w:rPr>
              <w:t xml:space="preserve">third hinge point (A)</w:t>
            </w:r>
            <w:r>
              <w:rPr>
                <w:rStyle w:val="Tag"/>
                <w:lang w:val="en-US"/>
              </w:rPr>
              <w:t xml:space="preserve">&lt;/276&gt;</w:t>
            </w:r>
            <w:r>
              <w:rPr>
                <w:lang w:val="en-US"/>
              </w:rPr>
              <w:t xml:space="preserve">, wherein the third hinge point (A) is positioned at a first end of the base beams (1), and wherein the first head support coupling (3) is hingedly connected to the head support mattress bracket (4) via a fourth hinge point (B), wherein the </w:t>
            </w:r>
            <w:r>
              <w:rPr>
                <w:rStyle w:val="Tag"/>
                <w:lang w:val="en-US"/>
              </w:rPr>
              <w:t xml:space="preserve">&lt;279&gt;</w:t>
            </w:r>
            <w:r>
              <w:rPr>
                <w:lang w:val="en-US"/>
              </w:rPr>
              <w:t xml:space="preserve">fourth hinge point (B)</w:t>
            </w:r>
            <w:r>
              <w:rPr>
                <w:rStyle w:val="Tag"/>
                <w:lang w:val="en-US"/>
              </w:rPr>
              <w:t xml:space="preserve">&lt;/279&gt;</w:t>
            </w:r>
            <w:r>
              <w:rPr>
                <w:lang w:val="en-US"/>
              </w:rPr>
              <w:t xml:space="preserve"> is positioned at a first end of the head support mattress bracket (4), wherein said first ends of the base beams (1) and the head support mattress bracket (4) are located distal to the body support mattress bracket (9) in the unfolded state of the framework.</w:t>
            </w:r>
          </w:p>
        </w:tc>
      </w:tr>
      <w:tr>
        <w:tc>
          <w:tcPr>
            <w:shd w:val="clear" w:color="auto" w:fill="FFFFFF"/>
          </w:tcPr>
          <w:p>
            <w:pPr>
              <w:rPr>
                <w:lang w:val="nl-BE"/>
              </w:rPr>
            </w:pPr>
            <w:r>
              <w:rPr>
                <w:rStyle w:val="SegmentID"/>
                <w:lang w:val="nl-BE"/>
              </w:rPr>
              <w:t xml:space="preserve">221</w:t>
            </w:r>
            <w:r>
              <w:rPr>
                <w:rStyle w:val="TransUnitID"/>
                <w:lang w:val="nl-BE"/>
              </w:rPr>
              <w:t xml:space="preserve">ca80107c-856a-474d-813d-3257bf361308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6, waarbij de tweede hoofdsteunkoppeling (7) scharnierbaar verbonden is met de basisleggers (1) via een </w:t>
            </w:r>
            <w:r>
              <w:rPr>
                <w:rStyle w:val="Tag"/>
                <w:lang w:val="nl-BE"/>
              </w:rPr>
              <w:t xml:space="preserve">&lt;282&gt;</w:t>
            </w:r>
            <w:r>
              <w:rPr>
                <w:lang w:val="nl-BE"/>
              </w:rPr>
              <w:t xml:space="preserve">vijfde scharnierpunt (G) </w:t>
            </w:r>
            <w:r>
              <w:rPr>
                <w:rStyle w:val="Tag"/>
                <w:lang w:val="nl-BE"/>
              </w:rPr>
              <w:t xml:space="preserve">&lt;/282&gt;</w:t>
            </w:r>
            <w:r>
              <w:rPr>
                <w:lang w:val="nl-BE"/>
              </w:rPr>
              <w:t xml:space="preserve">aan een tweede uiteinde van de basisliggers (1), waarbij het </w:t>
            </w:r>
            <w:r>
              <w:rPr>
                <w:rStyle w:val="Tag"/>
                <w:lang w:val="nl-BE"/>
              </w:rPr>
              <w:t xml:space="preserve">&lt;285&gt;</w:t>
            </w:r>
            <w:r>
              <w:rPr>
                <w:lang w:val="nl-BE"/>
              </w:rPr>
              <w:t xml:space="preserve">eerste scharnierpunt (H+) </w:t>
            </w:r>
            <w:r>
              <w:rPr>
                <w:rStyle w:val="Tag"/>
                <w:lang w:val="nl-BE"/>
              </w:rPr>
              <w:t xml:space="preserve">&lt;/285&gt;</w:t>
            </w:r>
            <w:r>
              <w:rPr>
                <w:lang w:val="nl-BE"/>
              </w:rPr>
              <w:t xml:space="preserve">gepositioneerd is aan een tweede uiteinde van de hoofdsteunmatrasbeugel (4), en waarbij genoemde tweede uiteinden van de basisliggers (1) en de hoofdsteunmatrasbeugel (4) zich proximaal ten opzichte van de lichaamsteunmatrasbeugel (9) bevinden in uitgeklapte toestand van het geraamte.</w:t>
            </w:r>
          </w:p>
        </w:tc>
        <w:tc>
          <w:tcPr>
            <w:shd w:val="clear" w:color="auto" w:fill="FFFFFF"/>
          </w:tcPr>
          <w:p>
            <w:pPr>
              <w:rPr>
                <w:lang w:val="en-US"/>
              </w:rPr>
            </w:pPr>
            <w:r>
              <w:rPr>
                <w:lang w:val="en-US"/>
              </w:rPr>
              <w:t xml:space="preserve">The folding framework according to any of the preceding claims 1 to 6, wherein the second head support coupling (7) is hingedly connected to the base beams (1) via a </w:t>
            </w:r>
            <w:r>
              <w:rPr>
                <w:rStyle w:val="Tag"/>
                <w:lang w:val="en-US"/>
              </w:rPr>
              <w:t xml:space="preserve">&lt;282&gt;</w:t>
            </w:r>
            <w:r>
              <w:rPr>
                <w:lang w:val="en-US"/>
              </w:rPr>
              <w:t xml:space="preserve">fifth hinge point (G)</w:t>
            </w:r>
            <w:r>
              <w:rPr>
                <w:rStyle w:val="Tag"/>
                <w:lang w:val="en-US"/>
              </w:rPr>
              <w:t xml:space="preserve">&lt;/282&gt;</w:t>
            </w:r>
            <w:r>
              <w:rPr>
                <w:lang w:val="en-US"/>
              </w:rPr>
              <w:t xml:space="preserve"> at a second end of the base beams (1), wherein the </w:t>
            </w:r>
            <w:r>
              <w:rPr>
                <w:rStyle w:val="Tag"/>
                <w:lang w:val="en-US"/>
              </w:rPr>
              <w:t xml:space="preserve">&lt;285&gt;</w:t>
            </w:r>
            <w:r>
              <w:rPr>
                <w:lang w:val="en-US"/>
              </w:rPr>
              <w:t xml:space="preserve">first hinge point (H+)</w:t>
            </w:r>
            <w:r>
              <w:rPr>
                <w:rStyle w:val="Tag"/>
                <w:lang w:val="en-US"/>
              </w:rPr>
              <w:t xml:space="preserve">&lt;/285&gt;</w:t>
            </w:r>
            <w:r>
              <w:rPr>
                <w:lang w:val="en-US"/>
              </w:rPr>
              <w:t xml:space="preserve"> is positioned at a second end of the head support mattress bracket (4), and wherein said second ends of the base beams (1) and the head support mattress bracket (4) are located proximally relative to the body support mattress bracket (9) in the unfolded state of the framework.</w:t>
            </w:r>
          </w:p>
        </w:tc>
      </w:tr>
      <w:tr>
        <w:tc>
          <w:tcPr>
            <w:shd w:val="clear" w:color="auto" w:fill="FFFFFF"/>
          </w:tcPr>
          <w:p>
            <w:pPr>
              <w:rPr>
                <w:lang w:val="nl-BE"/>
              </w:rPr>
            </w:pPr>
            <w:r>
              <w:rPr>
                <w:rStyle w:val="SegmentID"/>
                <w:lang w:val="nl-BE"/>
              </w:rPr>
              <w:t xml:space="preserve">222</w:t>
            </w:r>
            <w:r>
              <w:rPr>
                <w:rStyle w:val="TransUnitID"/>
                <w:lang w:val="nl-BE"/>
              </w:rPr>
              <w:t xml:space="preserve">f284fea5-a137-4302-b8c9-45872925b223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7, waarbij de tweede lichaamsteunkoppeling (5, 6) een L-vormige draaistang (5) en een langwerpige stuurstang (6) omvat, waarbij de L-vormige draaistang (5) met een eerste uiteinde scharnierbaar verbonden is aan de basisliggers (1) via een </w:t>
            </w:r>
            <w:r>
              <w:rPr>
                <w:rStyle w:val="Tag"/>
                <w:lang w:val="nl-BE"/>
              </w:rPr>
              <w:t xml:space="preserve">&lt;288&gt;</w:t>
            </w:r>
            <w:r>
              <w:rPr>
                <w:lang w:val="nl-BE"/>
              </w:rPr>
              <w:t xml:space="preserve">zesde scharnierpunt (D)</w:t>
            </w:r>
            <w:r>
              <w:rPr>
                <w:rStyle w:val="Tag"/>
                <w:lang w:val="nl-BE"/>
              </w:rPr>
              <w:t xml:space="preserve">&lt;/288&gt;</w:t>
            </w:r>
            <w:r>
              <w:rPr>
                <w:lang w:val="nl-BE"/>
              </w:rPr>
              <w:t xml:space="preserve">, en waarbij de stuurstang (6) met een eerste uiteinde scharnierbaar verbonden is aan de lichaamsteunmatrasbeugel (9) via een zevende scharnierpunt (F), en waarbij de draaistang (5) en de stuurstang (6) onderling vast verbonden zijn aan een tweede uiteinde van de draaistang (5) en de stuurstang (6) via één of meer </w:t>
            </w:r>
            <w:r>
              <w:rPr>
                <w:rStyle w:val="Tag"/>
                <w:lang w:val="nl-BE"/>
              </w:rPr>
              <w:t xml:space="preserve">&lt;291&gt;</w:t>
            </w:r>
            <w:r>
              <w:rPr>
                <w:lang w:val="nl-BE"/>
              </w:rPr>
              <w:t xml:space="preserve">stangfixatiepunten (E)</w:t>
            </w:r>
            <w:r>
              <w:rPr>
                <w:rStyle w:val="Tag"/>
                <w:lang w:val="nl-BE"/>
              </w:rPr>
              <w:t xml:space="preserve">&lt;/291&gt;</w:t>
            </w:r>
            <w:r>
              <w:rPr>
                <w:lang w:val="nl-BE"/>
              </w:rPr>
              <w:t xml:space="preserve">, waarbij de stuurstang (6) in het verlengde ligt van een arm van de L-vormige draaistang (5).</w:t>
            </w:r>
          </w:p>
        </w:tc>
        <w:tc>
          <w:tcPr>
            <w:shd w:val="clear" w:color="auto" w:fill="FFFFFF"/>
          </w:tcPr>
          <w:p>
            <w:pPr>
              <w:rPr>
                <w:lang w:val="en-US"/>
              </w:rPr>
            </w:pPr>
            <w:r>
              <w:rPr>
                <w:lang w:val="en-US"/>
              </w:rPr>
              <w:t xml:space="preserve">The folding framework according to any of the preceding claims 1 to 7, wherein the second body support coupling (5, 6) comprises an L-shaped rotating rod (5) and an elongated steering rod (6), wherein the L-shaped rotating rod (5) is hingedly connected with a first end to the base beams (1) via a </w:t>
            </w:r>
            <w:r>
              <w:rPr>
                <w:rStyle w:val="Tag"/>
                <w:lang w:val="en-US"/>
              </w:rPr>
              <w:t xml:space="preserve">&lt;288&gt;</w:t>
            </w:r>
            <w:r>
              <w:rPr>
                <w:lang w:val="en-US"/>
              </w:rPr>
              <w:t xml:space="preserve">sixth hinge point (D)</w:t>
            </w:r>
            <w:r>
              <w:rPr>
                <w:rStyle w:val="Tag"/>
                <w:lang w:val="en-US"/>
              </w:rPr>
              <w:t xml:space="preserve">&lt;/288&gt;</w:t>
            </w:r>
            <w:r>
              <w:rPr>
                <w:lang w:val="en-US"/>
              </w:rPr>
              <w:t xml:space="preserve">, and wherein the steering rod (6) is hingedly connected with a first end to the body support mattress bracket (9) via a seventh hinge point (F), and wherein the rotating rod (5) and the steering rod (6) are fixedly connected to each other at a second end of the rotating rod (5) and the steering rod (6) via one or more </w:t>
            </w:r>
            <w:r>
              <w:rPr>
                <w:rStyle w:val="Tag"/>
                <w:lang w:val="en-US"/>
              </w:rPr>
              <w:t xml:space="preserve">&lt;291&gt;</w:t>
            </w:r>
            <w:r>
              <w:rPr>
                <w:lang w:val="en-US"/>
              </w:rPr>
              <w:t xml:space="preserve">rod fixing points (E)</w:t>
            </w:r>
            <w:r>
              <w:rPr>
                <w:rStyle w:val="Tag"/>
                <w:lang w:val="en-US"/>
              </w:rPr>
              <w:t xml:space="preserve">&lt;/291&gt;</w:t>
            </w:r>
            <w:r>
              <w:rPr>
                <w:lang w:val="en-US"/>
              </w:rPr>
              <w:t xml:space="preserve">, wherein the steering rod (6) extends in the prolongation of an arm of the L-shaped rotating rod (5).</w:t>
            </w:r>
          </w:p>
        </w:tc>
      </w:tr>
      <w:tr>
        <w:tc>
          <w:tcPr>
            <w:shd w:val="clear" w:color="auto" w:fill="FFFFFF"/>
          </w:tcPr>
          <w:p>
            <w:pPr>
              <w:rPr>
                <w:lang w:val="nl-BE"/>
              </w:rPr>
            </w:pPr>
            <w:r>
              <w:rPr>
                <w:rStyle w:val="SegmentID"/>
                <w:lang w:val="nl-BE"/>
              </w:rPr>
              <w:t xml:space="preserve">223</w:t>
            </w:r>
            <w:r>
              <w:rPr>
                <w:rStyle w:val="TransUnitID"/>
                <w:lang w:val="nl-BE"/>
              </w:rPr>
              <w:t xml:space="preserve">8b66c3ac-db8f-453a-ba64-f76a8a6c2e3b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8, waarbij de voetbeugel (11) star verbonden is aan de lichaamsteunmatrasbeugel (9) op twee of meer </w:t>
            </w:r>
            <w:r>
              <w:rPr>
                <w:rStyle w:val="Tag"/>
                <w:lang w:val="nl-BE"/>
              </w:rPr>
              <w:t xml:space="preserve">&lt;294&gt;</w:t>
            </w:r>
            <w:r>
              <w:rPr>
                <w:lang w:val="nl-BE"/>
              </w:rPr>
              <w:t xml:space="preserve">voetfixatiepunten (M, N)</w:t>
            </w:r>
            <w:r>
              <w:rPr>
                <w:rStyle w:val="Tag"/>
                <w:lang w:val="nl-BE"/>
              </w:rPr>
              <w:t xml:space="preserve">&lt;/294&gt;</w:t>
            </w:r>
            <w:r>
              <w:rPr>
                <w:lang w:val="nl-BE"/>
              </w:rPr>
              <w:t xml:space="preserve">.</w:t>
            </w:r>
          </w:p>
        </w:tc>
        <w:tc>
          <w:tcPr>
            <w:shd w:val="clear" w:color="auto" w:fill="FFFFFF"/>
          </w:tcPr>
          <w:p>
            <w:pPr>
              <w:rPr>
                <w:lang w:val="en-US"/>
              </w:rPr>
            </w:pPr>
            <w:r>
              <w:rPr>
                <w:lang w:val="en-US"/>
              </w:rPr>
              <w:t xml:space="preserve">The folding framework according to any of the preceding claims 1 to 8, wherein the foot bracket (11) is rigidly connected to the body support mattress bracket (9) at two or more </w:t>
            </w:r>
            <w:r>
              <w:rPr>
                <w:rStyle w:val="Tag"/>
                <w:lang w:val="en-US"/>
              </w:rPr>
              <w:t xml:space="preserve">&lt;294&gt;</w:t>
            </w:r>
            <w:r>
              <w:rPr>
                <w:lang w:val="en-US"/>
              </w:rPr>
              <w:t xml:space="preserve">foot fixing points (M, N)</w:t>
            </w:r>
            <w:r>
              <w:rPr>
                <w:rStyle w:val="Tag"/>
                <w:lang w:val="en-US"/>
              </w:rPr>
              <w:t xml:space="preserve">&lt;/294&gt;</w:t>
            </w:r>
            <w:r>
              <w:rPr>
                <w:lang w:val="en-US"/>
              </w:rPr>
              <w:t xml:space="preserve">.</w:t>
            </w:r>
          </w:p>
        </w:tc>
      </w:tr>
      <w:tr>
        <w:tc>
          <w:tcPr>
            <w:shd w:val="clear" w:color="auto" w:fill="FFFFFF"/>
          </w:tcPr>
          <w:p>
            <w:pPr>
              <w:rPr>
                <w:lang w:val="nl-BE"/>
              </w:rPr>
            </w:pPr>
            <w:r>
              <w:rPr>
                <w:rStyle w:val="SegmentID"/>
                <w:lang w:val="nl-BE"/>
              </w:rPr>
              <w:t xml:space="preserve">224</w:t>
            </w:r>
            <w:r>
              <w:rPr>
                <w:rStyle w:val="TransUnitID"/>
                <w:lang w:val="nl-BE"/>
              </w:rPr>
              <w:t xml:space="preserve">c55c0526-52ab-4b95-8aa8-cef50fdd1e5e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9, waarbij de lichaamsteunmatrasbeugel (9) voorzien is van één of meer </w:t>
            </w:r>
            <w:r>
              <w:rPr>
                <w:rStyle w:val="Tag"/>
                <w:lang w:val="nl-BE"/>
              </w:rPr>
              <w:t xml:space="preserve">&lt;297&gt;</w:t>
            </w:r>
            <w:r>
              <w:rPr>
                <w:lang w:val="nl-BE"/>
              </w:rPr>
              <w:t xml:space="preserve">stopelementen (J) </w:t>
            </w:r>
            <w:r>
              <w:rPr>
                <w:rStyle w:val="Tag"/>
                <w:lang w:val="nl-BE"/>
              </w:rPr>
              <w:t xml:space="preserve">&lt;/297&gt;</w:t>
            </w:r>
            <w:r>
              <w:rPr>
                <w:lang w:val="nl-BE"/>
              </w:rPr>
              <w:t xml:space="preserve">die zich lateraal uitstrekken, en gepositioneerd zijn zodanig dat de eerste lichaamsteunkoppeling (8) tegen de stopelementen (J) komt te rusten wanneer de hoofdsteunmatrasbeugel (4) en de lichaamsteunmatrasbeugel (9) in elkaars verlengde liggen in uitgeklapte toestand van het geraamte, en de stopelementen (J) de eerste lichaamsteunkoppeling (8) verdere rotatie verhinderen.</w:t>
            </w:r>
          </w:p>
        </w:tc>
        <w:tc>
          <w:tcPr>
            <w:shd w:val="clear" w:color="auto" w:fill="FFFFFF"/>
          </w:tcPr>
          <w:p>
            <w:pPr>
              <w:rPr>
                <w:lang w:val="en-US"/>
              </w:rPr>
            </w:pPr>
            <w:r>
              <w:rPr>
                <w:lang w:val="en-US"/>
              </w:rPr>
              <w:t xml:space="preserve">The folding framework according to any of the preceding claims 1 to 9, wherein the body support mattress bracket (9) is provided with one or more </w:t>
            </w:r>
            <w:r>
              <w:rPr>
                <w:rStyle w:val="Tag"/>
                <w:lang w:val="en-US"/>
              </w:rPr>
              <w:t xml:space="preserve">&lt;297&gt;</w:t>
            </w:r>
            <w:r>
              <w:rPr>
                <w:lang w:val="en-US"/>
              </w:rPr>
              <w:t xml:space="preserve">stop elements (J) </w:t>
            </w:r>
            <w:r>
              <w:rPr>
                <w:rStyle w:val="Tag"/>
                <w:lang w:val="en-US"/>
              </w:rPr>
              <w:t xml:space="preserve">&lt;/297&gt;</w:t>
            </w:r>
            <w:r>
              <w:rPr>
                <w:lang w:val="en-US"/>
              </w:rPr>
              <w:t xml:space="preserve">that extend laterally, and are positioned such that the first body support coupling (8) comes to rest against the stop elements (J) when the head support mattress bracket (4) and the body support mattress bracket (9) are in line with each other in the unfolded state of the framework, and the stop elements (J) prevent further rotation of the first body support coupling (8).</w:t>
            </w:r>
          </w:p>
        </w:tc>
      </w:tr>
      <w:tr>
        <w:tc>
          <w:tcPr>
            <w:shd w:val="clear" w:color="auto" w:fill="FFFFFF"/>
          </w:tcPr>
          <w:p>
            <w:pPr>
              <w:rPr>
                <w:lang w:val="nl-BE"/>
              </w:rPr>
            </w:pPr>
            <w:r>
              <w:rPr>
                <w:rStyle w:val="SegmentID"/>
                <w:lang w:val="nl-BE"/>
              </w:rPr>
              <w:t xml:space="preserve">225</w:t>
            </w:r>
            <w:r>
              <w:rPr>
                <w:rStyle w:val="TransUnitID"/>
                <w:lang w:val="nl-BE"/>
              </w:rPr>
              <w:t xml:space="preserve">a136f27a-03fc-45bb-8567-679c9dc0e02e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10, waarbij de eerste hoofdsteunkoppeling (3) L-vormig is, en twee armen omvat dewelke vanuit een centrale verbinding uitstrekken, waarbij een eerste van de armen eindigt in het eerste uiteinde van de eerste hoofdsteunkoppeling (3), waarbij het tweede uiteinde ter hoogte van de centrale verbinding gepositioneerd is en een derde scharnierpunt (A) omvat waarmee de eerste hoofdsteunkoppeling (3) scharnierbaar verbonden is met de basisliggers (1), en waarbij een tweede van de armen voorzien is van een star aanslagelement (2), waarbij het </w:t>
            </w:r>
            <w:r>
              <w:rPr>
                <w:rStyle w:val="Tag"/>
                <w:lang w:val="nl-BE"/>
              </w:rPr>
              <w:t xml:space="preserve">&lt;300&gt;</w:t>
            </w:r>
            <w:r>
              <w:rPr>
                <w:lang w:val="nl-BE"/>
              </w:rPr>
              <w:t xml:space="preserve">aanslagelement (2) in </w:t>
            </w:r>
            <w:r>
              <w:rPr>
                <w:rStyle w:val="Tag"/>
                <w:lang w:val="nl-BE"/>
              </w:rPr>
              <w:t xml:space="preserve">&lt;/300&gt;</w:t>
            </w:r>
            <w:r>
              <w:rPr>
                <w:lang w:val="nl-BE"/>
              </w:rPr>
              <w:t xml:space="preserve">ingeklapte toestand van het geraamte rust op een eerste uiteinde van de basisliggers (1), hetwelk eerste uiteinde van de basisliggers (1) zich distaal ten opzichte van de lichaamsteunmatrasbeugel (9) bevindt in uitgeklapte toestand van het geraamte, waarbij het star aanslagelement bij voorkeur aan een </w:t>
            </w:r>
            <w:r>
              <w:rPr>
                <w:rStyle w:val="Tag"/>
                <w:lang w:val="nl-BE"/>
              </w:rPr>
              <w:t xml:space="preserve">&lt;303&gt;</w:t>
            </w:r>
            <w:r>
              <w:rPr>
                <w:lang w:val="nl-BE"/>
              </w:rPr>
              <w:t xml:space="preserve">aanslagfixatiepunt (C) </w:t>
            </w:r>
            <w:r>
              <w:rPr>
                <w:rStyle w:val="Tag"/>
                <w:lang w:val="nl-BE"/>
              </w:rPr>
              <w:t xml:space="preserve">&lt;/303&gt;</w:t>
            </w:r>
            <w:r>
              <w:rPr>
                <w:lang w:val="nl-BE"/>
              </w:rPr>
              <w:t xml:space="preserve">aan het uiteinde van de tweede van de armen star verbonden is aan de eerste hoofdsteunkoppeling (3).</w:t>
            </w:r>
          </w:p>
        </w:tc>
        <w:tc>
          <w:tcPr>
            <w:shd w:val="clear" w:color="auto" w:fill="FFFFFF"/>
          </w:tcPr>
          <w:p>
            <w:pPr>
              <w:rPr>
                <w:lang w:val="en-US"/>
              </w:rPr>
            </w:pPr>
            <w:r>
              <w:rPr>
                <w:lang w:val="en-US"/>
              </w:rPr>
              <w:t xml:space="preserve">The folding framework according to any of the preceding claims 1 to 10, wherein the first head support coupling (3) is L-shaped, and comprises two arms extending from a central connection, wherein a first of the arms ends in the first end of the first head support coupling (3), wherein the second end is positioned at the level of the central connection and comprises a third hinge point (A) with which the first head support coupling (3) is hingedly connected to the base beams (1), and wherein a second of the arms is provided with a rigid stop element (2), wherein the </w:t>
            </w:r>
            <w:r>
              <w:rPr>
                <w:rStyle w:val="Tag"/>
                <w:lang w:val="en-US"/>
              </w:rPr>
              <w:t xml:space="preserve">&lt;300&gt;</w:t>
            </w:r>
            <w:r>
              <w:rPr>
                <w:lang w:val="en-US"/>
              </w:rPr>
              <w:t xml:space="preserve">stop element (2), in</w:t>
            </w:r>
            <w:r>
              <w:rPr>
                <w:rStyle w:val="Tag"/>
                <w:lang w:val="en-US"/>
              </w:rPr>
              <w:t xml:space="preserve">&lt;/300&gt;</w:t>
            </w:r>
            <w:r>
              <w:rPr>
                <w:lang w:val="en-US"/>
              </w:rPr>
              <w:t xml:space="preserve"> the folded state of the framework, rests on a first end of the base beams (1), which first end of the base beams (1) is located distally with respect to the body support mattress bracket (9) in the unfolded state of the framework, wherein the rigid stop element is preferably rigidly connected at a </w:t>
            </w:r>
            <w:r>
              <w:rPr>
                <w:rStyle w:val="Tag"/>
                <w:lang w:val="en-US"/>
              </w:rPr>
              <w:t xml:space="preserve">&lt;303&gt;</w:t>
            </w:r>
            <w:r>
              <w:rPr>
                <w:lang w:val="en-US"/>
              </w:rPr>
              <w:t xml:space="preserve">stop fixing point (C)</w:t>
            </w:r>
            <w:r>
              <w:rPr>
                <w:rStyle w:val="Tag"/>
                <w:lang w:val="en-US"/>
              </w:rPr>
              <w:t xml:space="preserve">&lt;/303&gt;</w:t>
            </w:r>
            <w:r>
              <w:rPr>
                <w:lang w:val="en-US"/>
              </w:rPr>
              <w:t xml:space="preserve"> at the end of the second of the arms to the first head support coupling (3).</w:t>
            </w:r>
          </w:p>
        </w:tc>
      </w:tr>
      <w:tr>
        <w:tc>
          <w:tcPr>
            <w:shd w:val="clear" w:color="auto" w:fill="FFFFFF"/>
          </w:tcPr>
          <w:p>
            <w:pPr>
              <w:rPr>
                <w:lang w:val="nl-BE"/>
              </w:rPr>
            </w:pPr>
            <w:r>
              <w:rPr>
                <w:rStyle w:val="SegmentID"/>
                <w:lang w:val="nl-BE"/>
              </w:rPr>
              <w:t xml:space="preserve">226</w:t>
            </w:r>
            <w:r>
              <w:rPr>
                <w:rStyle w:val="TransUnitID"/>
                <w:lang w:val="nl-BE"/>
              </w:rPr>
              <w:t xml:space="preserve">602d0122-62bf-4652-bd69-65b82c22e9a9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11, verder omvattende een hoofdsteunmatraskader (14) voor het ontvangen en ondersteunen van een matras, het </w:t>
            </w:r>
            <w:r>
              <w:rPr>
                <w:rStyle w:val="Tag"/>
                <w:lang w:val="nl-BE"/>
              </w:rPr>
              <w:t xml:space="preserve">&lt;306&gt;</w:t>
            </w:r>
            <w:r>
              <w:rPr>
                <w:lang w:val="nl-BE"/>
              </w:rPr>
              <w:t xml:space="preserve">hoofdsteunmatraskader (14) </w:t>
            </w:r>
            <w:r>
              <w:rPr>
                <w:rStyle w:val="Tag"/>
                <w:lang w:val="nl-BE"/>
              </w:rPr>
              <w:t xml:space="preserve">&lt;/306&gt;</w:t>
            </w:r>
            <w:r>
              <w:rPr>
                <w:lang w:val="nl-BE"/>
              </w:rPr>
              <w:t xml:space="preserve">voorzien aan de hoofdsteunmatrasbeugel (4), en een lichaamsteunmatraskader (15) voor het ontvangen en ondersteunen van een matras, het </w:t>
            </w:r>
            <w:r>
              <w:rPr>
                <w:rStyle w:val="Tag"/>
                <w:lang w:val="nl-BE"/>
              </w:rPr>
              <w:t xml:space="preserve">&lt;309&gt;</w:t>
            </w:r>
            <w:r>
              <w:rPr>
                <w:lang w:val="nl-BE"/>
              </w:rPr>
              <w:t xml:space="preserve">lichaamsteunmatraskader (15) </w:t>
            </w:r>
            <w:r>
              <w:rPr>
                <w:rStyle w:val="Tag"/>
                <w:lang w:val="nl-BE"/>
              </w:rPr>
              <w:t xml:space="preserve">&lt;/309&gt;</w:t>
            </w:r>
            <w:r>
              <w:rPr>
                <w:lang w:val="nl-BE"/>
              </w:rPr>
              <w:t xml:space="preserve">voorzien aan de lichaamsteunmatrasbeugel (9).</w:t>
            </w:r>
          </w:p>
        </w:tc>
        <w:tc>
          <w:tcPr>
            <w:shd w:val="clear" w:color="auto" w:fill="FFFFFF"/>
          </w:tcPr>
          <w:p>
            <w:pPr>
              <w:rPr>
                <w:lang w:val="en-US"/>
              </w:rPr>
            </w:pPr>
            <w:r>
              <w:rPr>
                <w:lang w:val="en-US"/>
              </w:rPr>
              <w:t xml:space="preserve">The folding framework according to any of the preceding claims 1 to 11, further comprising a head support mattress frame (14) for receiving and supporting a mattress, the </w:t>
            </w:r>
            <w:r>
              <w:rPr>
                <w:rStyle w:val="Tag"/>
                <w:lang w:val="en-US"/>
              </w:rPr>
              <w:t xml:space="preserve">&lt;306&gt;</w:t>
            </w:r>
            <w:r>
              <w:rPr>
                <w:lang w:val="en-US"/>
              </w:rPr>
              <w:t xml:space="preserve">head support mattress frame (14) </w:t>
            </w:r>
            <w:r>
              <w:rPr>
                <w:rStyle w:val="Tag"/>
                <w:lang w:val="en-US"/>
              </w:rPr>
              <w:t xml:space="preserve">&lt;/306&gt;</w:t>
            </w:r>
            <w:r>
              <w:rPr>
                <w:lang w:val="en-US"/>
              </w:rPr>
              <w:t xml:space="preserve">provided on the head support mattress bracket (4), and a body support mattress frame (15) for receiving and supporting a mattress, the </w:t>
            </w:r>
            <w:r>
              <w:rPr>
                <w:rStyle w:val="Tag"/>
                <w:lang w:val="en-US"/>
              </w:rPr>
              <w:t xml:space="preserve">&lt;309&gt;</w:t>
            </w:r>
            <w:r>
              <w:rPr>
                <w:lang w:val="en-US"/>
              </w:rPr>
              <w:t xml:space="preserve">body support mattress frame (15) </w:t>
            </w:r>
            <w:r>
              <w:rPr>
                <w:rStyle w:val="Tag"/>
                <w:lang w:val="en-US"/>
              </w:rPr>
              <w:t xml:space="preserve">&lt;/309&gt;</w:t>
            </w:r>
            <w:r>
              <w:rPr>
                <w:lang w:val="en-US"/>
              </w:rPr>
              <w:t xml:space="preserve">provided on the body support mattress bracket (9).</w:t>
            </w:r>
          </w:p>
        </w:tc>
      </w:tr>
      <w:tr>
        <w:tc>
          <w:tcPr>
            <w:shd w:val="clear" w:color="auto" w:fill="FFFFFF"/>
          </w:tcPr>
          <w:p>
            <w:pPr>
              <w:rPr>
                <w:lang w:val="nl-BE"/>
              </w:rPr>
            </w:pPr>
            <w:r>
              <w:rPr>
                <w:rStyle w:val="SegmentID"/>
                <w:lang w:val="nl-BE"/>
              </w:rPr>
              <w:t xml:space="preserve">227</w:t>
            </w:r>
            <w:r>
              <w:rPr>
                <w:rStyle w:val="TransUnitID"/>
                <w:lang w:val="nl-BE"/>
              </w:rPr>
              <w:t xml:space="preserve">d7df7c27-5e6c-4fcd-af05-02d109376fcb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12, waarbij de eerste lichaamsteunkoppeling (8) aan beide laterale zijden van het geraamte verbonden zijn via een koppelstang (13), bij voorkeur de koppelstang (13) star verbonden aan de eerste lichaamsteunkoppeling (8) via één of meer </w:t>
            </w:r>
            <w:r>
              <w:rPr>
                <w:rStyle w:val="Tag"/>
                <w:lang w:val="nl-BE"/>
              </w:rPr>
              <w:t xml:space="preserve">&lt;312&gt;</w:t>
            </w:r>
            <w:r>
              <w:rPr>
                <w:lang w:val="nl-BE"/>
              </w:rPr>
              <w:t xml:space="preserve">koppelfixatiepunten (I)</w:t>
            </w:r>
            <w:r>
              <w:rPr>
                <w:rStyle w:val="Tag"/>
                <w:lang w:val="nl-BE"/>
              </w:rPr>
              <w:t xml:space="preserve">&lt;/312&gt;</w:t>
            </w:r>
            <w:r>
              <w:rPr>
                <w:lang w:val="nl-BE"/>
              </w:rPr>
              <w:t xml:space="preserve">, dewelke evenwijdig ligt met het vlak gedefinieerd door de basisliggers en substantieel loodrecht staat op de hoofdsteunzijden, waarbij de koppelstang (13) in uitgeklapte toestand van het geraamte tegen de onderzijde van de hoofdsteunmatrasbeugel aanligt.</w:t>
            </w:r>
          </w:p>
        </w:tc>
        <w:tc>
          <w:tcPr>
            <w:shd w:val="clear" w:color="auto" w:fill="FFFFFF"/>
          </w:tcPr>
          <w:p>
            <w:pPr>
              <w:rPr>
                <w:lang w:val="en-US"/>
              </w:rPr>
            </w:pPr>
            <w:r>
              <w:rPr>
                <w:lang w:val="en-US"/>
              </w:rPr>
              <w:t xml:space="preserve">The folding framework according to any of the preceding claims 1 to 12, wherein the first body support coupling (8) is connected to both lateral sides of the framework via a coupling rod (13), preferably the coupling rod (13) is rigidly connected to the first body support coupling (8) via one or more </w:t>
            </w:r>
            <w:r>
              <w:rPr>
                <w:rStyle w:val="Tag"/>
                <w:lang w:val="en-US"/>
              </w:rPr>
              <w:t xml:space="preserve">&lt;312&gt;</w:t>
            </w:r>
            <w:r>
              <w:rPr>
                <w:lang w:val="en-US"/>
              </w:rPr>
              <w:t xml:space="preserve">coupling fixing points (I)</w:t>
            </w:r>
            <w:r>
              <w:rPr>
                <w:rStyle w:val="Tag"/>
                <w:lang w:val="en-US"/>
              </w:rPr>
              <w:t xml:space="preserve">&lt;/312&gt;</w:t>
            </w:r>
            <w:r>
              <w:rPr>
                <w:lang w:val="en-US"/>
              </w:rPr>
              <w:t xml:space="preserve">, which is parallel to the plane defined by the base beams and substantially perpendicular to the head support sides, wherein the coupling rod (13) in the unfolded state of the framework abuts against the underside of the head support mattress bracket.</w:t>
            </w:r>
          </w:p>
        </w:tc>
      </w:tr>
      <w:tr>
        <w:tc>
          <w:tcPr>
            <w:shd w:val="clear" w:color="auto" w:fill="FFFFFF"/>
          </w:tcPr>
          <w:p>
            <w:pPr>
              <w:rPr>
                <w:lang w:val="nl-BE"/>
              </w:rPr>
            </w:pPr>
            <w:r>
              <w:rPr>
                <w:rStyle w:val="SegmentID"/>
                <w:lang w:val="nl-BE"/>
              </w:rPr>
              <w:t xml:space="preserve">228</w:t>
            </w:r>
            <w:r>
              <w:rPr>
                <w:rStyle w:val="TransUnitID"/>
                <w:lang w:val="nl-BE"/>
              </w:rPr>
              <w:t xml:space="preserve">52a8384a-bc6a-459f-aefa-f962fa997199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13, waarbij één of meerdere onderdelen van het geraamte aan beide zijden optioneel gekoppeld zijn in één stuk, bij voorkeur via een afzonderlijk verbindingselement of verbindingsstang.</w:t>
            </w:r>
          </w:p>
        </w:tc>
        <w:tc>
          <w:tcPr>
            <w:shd w:val="clear" w:color="auto" w:fill="FFFFFF"/>
          </w:tcPr>
          <w:p>
            <w:pPr>
              <w:rPr>
                <w:lang w:val="en-US"/>
              </w:rPr>
            </w:pPr>
            <w:r>
              <w:rPr>
                <w:lang w:val="en-US"/>
              </w:rPr>
              <w:t xml:space="preserve">The folding framework according to any of the preceding claims 1 to 13, wherein one or more parts of the framework on both sides are optionally connected in one piece, preferably via a separate connecting element or connecting rod.</w:t>
            </w:r>
          </w:p>
        </w:tc>
      </w:tr>
      <w:tr>
        <w:tc>
          <w:tcPr>
            <w:shd w:val="clear" w:color="auto" w:fill="FFFFFF"/>
          </w:tcPr>
          <w:p>
            <w:pPr>
              <w:rPr>
                <w:lang w:val="nl-BE"/>
              </w:rPr>
            </w:pPr>
            <w:r>
              <w:rPr>
                <w:rStyle w:val="SegmentID"/>
                <w:lang w:val="nl-BE"/>
              </w:rPr>
              <w:t xml:space="preserve">229</w:t>
            </w:r>
            <w:r>
              <w:rPr>
                <w:rStyle w:val="TransUnitID"/>
                <w:lang w:val="nl-BE"/>
              </w:rPr>
              <w:t xml:space="preserve">af0a80dd-2dd4-40bf-9f4a-5a9a7ecadaa8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14, waarbij het geraamte in ingeklapte toestand een maximale hoogte heeft van 30 cm, bij voorkeur maximaal 25 cm.</w:t>
            </w:r>
          </w:p>
        </w:tc>
        <w:tc>
          <w:tcPr>
            <w:shd w:val="clear" w:color="auto" w:fill="FFFFFF"/>
          </w:tcPr>
          <w:p>
            <w:pPr>
              <w:rPr>
                <w:lang w:val="en-US"/>
              </w:rPr>
            </w:pPr>
            <w:r>
              <w:rPr>
                <w:lang w:val="en-US"/>
              </w:rPr>
              <w:t xml:space="preserve">The folding framework according to any of the preceding claims 1 to 14, wherein the framework in a folded state has a maximum height of 30 cm, preferably a maximum of 25 cm.</w:t>
            </w:r>
          </w:p>
        </w:tc>
      </w:tr>
      <w:tr>
        <w:tc>
          <w:tcPr>
            <w:shd w:val="clear" w:color="auto" w:fill="FFFFFF"/>
          </w:tcPr>
          <w:p>
            <w:pPr>
              <w:rPr>
                <w:lang w:val="nl-BE"/>
              </w:rPr>
            </w:pPr>
            <w:r>
              <w:rPr>
                <w:rStyle w:val="SegmentID"/>
                <w:lang w:val="nl-BE"/>
              </w:rPr>
              <w:t xml:space="preserve">230</w:t>
            </w:r>
            <w:r>
              <w:rPr>
                <w:rStyle w:val="TransUnitID"/>
                <w:lang w:val="nl-BE"/>
              </w:rPr>
              <w:t xml:space="preserve">31750ecd-7d02-4117-9607-f16ca9059532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Opklapmeubel, bij voorkeur een bank of zetelbank, omvattende een zitgedeelte en optioneel een ruggedeelte, waarbij het zitgedeelte een holle omkasting omvat waarin het uitklapbaar geraamte volgens één van de voorgaande conclusies 1 tot en met 15 bevestigd is met de basisliggers (1) aan de binnenzijde van de holle omkasting.</w:t>
            </w:r>
          </w:p>
        </w:tc>
        <w:tc>
          <w:tcPr>
            <w:shd w:val="clear" w:color="auto" w:fill="FFFFFF"/>
          </w:tcPr>
          <w:p>
            <w:pPr>
              <w:rPr>
                <w:lang w:val="en-US"/>
              </w:rPr>
            </w:pPr>
            <w:r>
              <w:rPr>
                <w:lang w:val="en-US"/>
              </w:rPr>
              <w:t xml:space="preserve">Piece of folding furniture, preferably a </w:t>
            </w:r>
            <w:commentRangeStart w:id="9"/>
            <w:r>
              <w:rPr>
                <w:lang w:val="en-US"/>
              </w:rPr>
              <w:t xml:space="preserve">sofa or sofa bed</w:t>
            </w:r>
            <w:commentRangeEnd w:id="9"/>
            <w:r>
              <w:rPr>
                <w:rStyle w:val="CommentReference"/>
              </w:rPr>
              <w:commentReference w:id="9"/>
            </w:r>
            <w:r>
              <w:rPr>
                <w:lang w:val="en-US"/>
              </w:rPr>
              <w:t xml:space="preserve">, comprising a seat portion and optionally a back portion, wherein the seat portion includes a hollow housing in which the folding framework according to any of the preceding claims 1 to 15 is secured with the base beams (1) on the inside of the hollow housing.</w:t>
            </w:r>
          </w:p>
        </w:tc>
      </w:tr>
      <w:tr>
        <w:tc>
          <w:tcPr>
            <w:shd w:val="clear" w:color="auto" w:fill="#98FB98"/>
          </w:tcPr>
          <w:p>
            <w:pPr>
              <w:rPr>
                <w:lang w:val="nl-BE"/>
              </w:rPr>
            </w:pPr>
            <w:r>
              <w:rPr>
                <w:rStyle w:val="SegmentID"/>
                <w:lang w:val="nl-BE"/>
              </w:rPr>
              <w:t xml:space="preserve">231</w:t>
            </w:r>
            <w:r>
              <w:rPr>
                <w:rStyle w:val="TransUnitID"/>
                <w:lang w:val="nl-BE"/>
              </w:rPr>
              <w:t xml:space="preserve">635569a6-2961-426b-af35-a49ca09aa1f7</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Uitklapbaar geraamte voor opklapmeubel</w:t>
            </w:r>
          </w:p>
        </w:tc>
        <w:tc>
          <w:tcPr>
            <w:shd w:val="clear" w:color="auto" w:fill="#98FB98"/>
          </w:tcPr>
          <w:p>
            <w:pPr>
              <w:rPr>
                <w:lang w:val="en-US"/>
              </w:rPr>
            </w:pPr>
            <w:r>
              <w:rPr>
                <w:lang w:val="en-US"/>
              </w:rPr>
              <w:t xml:space="preserve">Folding framework for folding furniture</w:t>
            </w:r>
          </w:p>
        </w:tc>
      </w:tr>
      <w:tr>
        <w:tc>
          <w:tcPr>
            <w:shd w:val="clear" w:color="auto" w:fill="#98FB98"/>
          </w:tcPr>
          <w:p>
            <w:pPr>
              <w:rPr>
                <w:lang w:val="nl-BE"/>
              </w:rPr>
            </w:pPr>
            <w:r>
              <w:rPr>
                <w:rStyle w:val="SegmentID"/>
                <w:lang w:val="nl-BE"/>
              </w:rPr>
              <w:t xml:space="preserve">232</w:t>
            </w:r>
            <w:r>
              <w:rPr>
                <w:rStyle w:val="TransUnitID"/>
                <w:lang w:val="nl-BE"/>
              </w:rPr>
              <w:t xml:space="preserve">df8cb9bb-c911-4c3f-af36-1dff2c288400</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UITTREKSEL</w:t>
            </w:r>
          </w:p>
        </w:tc>
        <w:tc>
          <w:tcPr>
            <w:shd w:val="clear" w:color="auto" w:fill="#98FB98"/>
          </w:tcPr>
          <w:p>
            <w:pPr>
              <w:rPr>
                <w:lang w:val="en-US"/>
              </w:rPr>
            </w:pPr>
            <w:r>
              <w:rPr>
                <w:lang w:val="en-US"/>
              </w:rPr>
              <w:t xml:space="preserve">ABSTRACT</w:t>
            </w:r>
          </w:p>
        </w:tc>
      </w:tr>
      <w:tr>
        <w:tc>
          <w:tcPr>
            <w:shd w:val="clear" w:color="auto" w:fill="D3D3D3"/>
          </w:tcPr>
          <w:p>
            <w:pPr>
              <w:rPr>
                <w:lang w:val="nl-BE"/>
              </w:rPr>
            </w:pPr>
            <w:r>
              <w:rPr>
                <w:rStyle w:val="SegmentID"/>
                <w:lang w:val="nl-BE"/>
              </w:rPr>
              <w:t xml:space="preserve">233</w:t>
            </w:r>
            <w:r>
              <w:rPr>
                <w:rStyle w:val="TransUnitID"/>
                <w:lang w:val="nl-BE"/>
              </w:rPr>
              <w:t xml:space="preserve">b94e65a3-a09e-4788-bc54-3efd84ca2ce9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D3D3D3"/>
          </w:tcPr>
          <w:p>
            <w:pPr>
              <w:rPr>
                <w:lang w:val="en-US"/>
              </w:rPr>
            </w:pPr>
            <w:r>
              <w:rPr>
                <w:lang w:val="en-US"/>
              </w:rPr>
              <w:t xml:space="preserve">The invention relates to a folding framework for an item of folding furniture such as a sofa bed, as well as an item of folding furniture comprising this framework.</w:t>
            </w: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nitials="M" w:author="mbeijer" w:date="2024-08-11T15:53:48.8358755+01:00" w:id="0">
    <w:p>
      <w:pPr>
        <w:pStyle w:val="CommentText"/>
      </w:pPr>
      <w:r>
        <w:rPr>
          <w:rStyle w:val="CommentReference"/>
        </w:rPr>
        <w:annotationRef/>
      </w:r>
      <w:r>
        <w:t>I had never heard the word "zetelbank" before and am wondering if it is specifically Belgian Dutch. I thought that it meant "sofa", but from the context it seems to (sometimes) mean "sofa bed". Please check all sentences with "zetelbank" ("zetelbank of bedank", "bank of zetelbank", etc.) and confirm I have translated it correctly.</w:t>
      </w:r>
    </w:p>
  </w:comment>
  <w:comment w:initials="M" w:author="mbeijer" w:date="2024-08-09T22:45:15.8654723+01:00" w:id="1">
    <w:p>
      <w:pPr>
        <w:pStyle w:val="CommentText"/>
      </w:pPr>
      <w:r>
        <w:rPr>
          <w:rStyle w:val="CommentReference"/>
        </w:rPr>
        <w:annotationRef/>
      </w:r>
      <w:r>
        <w:t>bedank &gt; bedbank</w:t>
      </w:r>
    </w:p>
  </w:comment>
  <w:comment w:initials="M" w:author="mbeijer" w:date="2024-08-11T15:33:24.9488529+01:00" w:id="2">
    <w:p>
      <w:pPr>
        <w:pStyle w:val="CommentText"/>
      </w:pPr>
      <w:r>
        <w:rPr>
          <w:rStyle w:val="CommentReference"/>
        </w:rPr>
        <w:annotationRef/>
      </w:r>
      <w:r>
        <w:t>zetelbank of bedbank</w:t>
      </w:r>
    </w:p>
  </w:comment>
  <w:comment w:initials="M" w:author="mbeijer" w:date="2024-08-08T23:10:28.2140926+01:00" w:id="3">
    <w:p>
      <w:pPr>
        <w:pStyle w:val="CommentText"/>
      </w:pPr>
      <w:r>
        <w:rPr>
          <w:rStyle w:val="CommentReference"/>
        </w:rPr>
        <w:annotationRef/>
      </w:r>
      <w:r>
        <w:t>"10" = probably just a typo</w:t>
      </w:r>
    </w:p>
  </w:comment>
  <w:comment w:initials="M" w:author="mbeijer" w:date="2024-08-08T23:12:42.7789907+01:00" w:id="4">
    <w:p>
      <w:pPr>
        <w:pStyle w:val="CommentText"/>
      </w:pPr>
      <w:r>
        <w:rPr>
          <w:rStyle w:val="CommentReference"/>
        </w:rPr>
        <w:annotationRef/>
      </w:r>
      <w:r>
        <w:t>Hierbij kan elk kenmerk beschreven hierin betrekking hebben op elk aspect, zelf[s] wanneer het kenmerk in conjunctie met een bepaald aspect [of] van de huidige uitvinding wordt beschreven. &gt; Hierbij kan elk kenmerk beschreven hierin betrekking hebben op elk aspect, ZELFS wanneer het kenmerk in conjunctie met een bepaald aspect van de huidige uitvinding wordt beschreven.</w:t>
      </w:r>
    </w:p>
  </w:comment>
  <w:comment w:initials="M" w:author="mbeijer" w:date="2024-08-11T15:33:14.0130686+01:00" w:id="5">
    <w:p>
      <w:pPr>
        <w:pStyle w:val="CommentText"/>
      </w:pPr>
      <w:r>
        <w:rPr>
          <w:rStyle w:val="CommentReference"/>
        </w:rPr>
        <w:annotationRef/>
      </w:r>
      <w:r>
        <w:t>zetelbank of bedbank</w:t>
      </w:r>
    </w:p>
  </w:comment>
  <w:comment w:initials="M" w:author="mbeijer" w:date="2024-08-11T15:33:51.888228+01:00" w:id="6">
    <w:p>
      <w:pPr>
        <w:pStyle w:val="CommentText"/>
      </w:pPr>
      <w:r>
        <w:rPr>
          <w:rStyle w:val="CommentReference"/>
        </w:rPr>
        <w:annotationRef/>
      </w:r>
      <w:r>
        <w:t>bank of zetelbank</w:t>
      </w:r>
    </w:p>
  </w:comment>
  <w:comment w:initials="M" w:author="mbeijer" w:date="2024-08-09T23:38:07.7417724+01:00" w:id="7">
    <w:p>
      <w:pPr>
        <w:pStyle w:val="CommentText"/>
      </w:pPr>
      <w:r>
        <w:rPr>
          <w:rStyle w:val="CommentReference"/>
        </w:rPr>
        <w:annotationRef/>
      </w:r>
      <w:r>
        <w:t>There is something wrong with this sentence:
"De uitvinding bestaat uit het creëren van een mechanisme dat heel eenvoudig van bank naar bed kan worden getransformeerd, en voorzien een ​​nieuwe kinematica om het naar voren gemakkelijk te kunnen hanteren, en kan bijvoorbeeld ook gefixeerd worden aan een muur of wand, ter betere ondersteuning en stabiliteit voor krachtverdeling."
I did my best, but since it is ungrammatical, I am only guessing what it might mean.</w:t>
      </w:r>
    </w:p>
  </w:comment>
  <w:comment w:initials="M" w:author="mbeijer" w:date="2024-08-11T15:34:24.4643898+01:00" w:id="8">
    <w:p>
      <w:pPr>
        <w:pStyle w:val="CommentText"/>
      </w:pPr>
      <w:r>
        <w:rPr>
          <w:rStyle w:val="CommentReference"/>
        </w:rPr>
        <w:annotationRef/>
      </w:r>
      <w:r>
        <w:t>zetelbank of bedbank</w:t>
      </w:r>
    </w:p>
  </w:comment>
  <w:comment w:initials="M" w:author="mbeijer" w:date="2024-08-11T15:34:48.5578116+01:00" w:id="9">
    <w:p>
      <w:pPr>
        <w:pStyle w:val="CommentText"/>
      </w:pPr>
      <w:r>
        <w:rPr>
          <w:rStyle w:val="CommentReference"/>
        </w:rPr>
        <w:annotationRef/>
      </w:r>
      <w:r>
        <w:t>bank of zetelbank</w:t>
      </w:r>
    </w:p>
  </w:comment>
</w:comments>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xml version='1.0' encoding='UTF-8' standalone='yes'?>
<Relationships xmlns="http://schemas.openxmlformats.org/package/2006/relationships"><Relationship Id="R4f64f92128cd435f" Type="http://schemas.openxmlformats.org/officeDocument/2006/relationships/styles" Target="styles.xml"/><Relationship Id="R6d79c19cda97418c" Type="http://schemas.openxmlformats.org/officeDocument/2006/relationships/customXml" Target="../customXML/item.xml"/><Relationship Id="rId6" Type="http://schemas.openxmlformats.org/officeDocument/2006/relationships/comments" Target="comments.xml"/><Relationship Id="rId3" Type="http://schemas.openxmlformats.org/officeDocument/2006/relationships/settings" Target="settings.xml"/></Relationships>
</file>

<file path=customXML/_rels/item.xml.rels><?xml version='1.0' encoding='UTF-8' standalone='yes'?>
<Relationships xmlns="http://schemas.openxmlformats.org/package/2006/relationships"><Relationship Id="Rd3c4172d526e4b2384ade4b889302c76" Type="http://schemas.openxmlformats.org/officeDocument/2006/relationships/customXmlProps" Target="itemProps1.xml"/></Relationships>
</file>

<file path=customXML/item.xml><?xml version="1.0" encoding="utf-8"?>
<list>
  <segment id="71a00032-da93-4bc2-ac51-65ef1f6ae67d_1" sourcehash="167028513" targethash="-1792384504"/>
  <segment id="b1dce6c6-08db-4d60-ab86-53f45ce8aca0_2" sourcehash="-1724366589" targethash="-718358688"/>
  <segment id="94c15265-7b84-4f99-a23c-4b3bb973bdf0_3" sourcehash="1538964560" targethash="-1978795885"/>
  <segment id="63a6f5d6-81f6-4863-9b1a-86f6fd70feaa_4" sourcehash="-589952123" targethash="566030454"/>
  <segment id="6c3d59c6-0faf-4340-90e3-906ffcac296c_5" sourcehash="-38907233" targethash="755505092"/>
  <segment id="a0646287-0a26-40d3-800f-55593f6436fe_6" sourcehash="-1207659698" targethash="-2117844044"/>
  <segment id="a0646287-0a26-40d3-800f-55593f6436fe_7" sourcehash="-592772816" targethash="-399718663"/>
  <segment id="87cc101d-8190-4b17-8a5f-467d676a2aec_8" sourcehash="-2128759763" targethash="1063119262"/>
  <segment id="87cc101d-8190-4b17-8a5f-467d676a2aec_9" sourcehash="2027496152" targethash="1479750941"/>
  <segment id="87cc101d-8190-4b17-8a5f-467d676a2aec_10" sourcehash="1773765495" targethash="-1258534783"/>
  <segment id="a34b0f74-2f1d-4d1b-83ee-2a923f99ec55_11" sourcehash="1393705348" targethash="-1790980872"/>
  <segment id="a34b0f74-2f1d-4d1b-83ee-2a923f99ec55_12" sourcehash="-791459799" targethash="193396403"/>
  <segment id="a34b0f74-2f1d-4d1b-83ee-2a923f99ec55_13" sourcehash="-1718662264" targethash="-607490082"/>
  <segment id="d91cefab-abb9-49e7-baf8-dfdbe3e71dd1_14" sourcehash="1134278054" targethash="-229215992"/>
  <segment id="d91cefab-abb9-49e7-baf8-dfdbe3e71dd1_15" sourcehash="2807949" targethash="-1788097386"/>
  <segment id="03f5dd85-5b7a-4eaa-a0cc-91c6f73d5e76_16" sourcehash="-1853316265" targethash="-1451538120"/>
  <segment id="17e066ec-b1c6-4127-a9f5-e5f6a08027f4_17" sourcehash="477564246" targethash="-617499969"/>
  <segment id="17e066ec-b1c6-4127-a9f5-e5f6a08027f4_18" sourcehash="287529943" targethash="-2128094624"/>
  <segment id="17e066ec-b1c6-4127-a9f5-e5f6a08027f4_19" sourcehash="1931654910" targethash="2123841839"/>
  <segment id="65a39cf9-a45d-494b-9a65-b58b3f70095d_20" sourcehash="-882745478" targethash="-575813575"/>
  <segment id="b5ab6e94-5aeb-4262-be68-2e2f30fa3955_21" sourcehash="28401908" targethash="831867237"/>
  <segment id="b5ab6e94-5aeb-4262-be68-2e2f30fa3955_22" sourcehash="2055960771" targethash="451347638"/>
  <segment id="782589b8-15dd-4edd-ad5d-1d4abc807a09_23" sourcehash="255672297" targethash="-510474890"/>
  <segment id="94b796c6-d851-4c40-9c1b-4664a4c45773_24" sourcehash="1149090616" targethash="227875432"/>
  <segment id="14942355-8521-41a1-9489-7163460a9d43_25" sourcehash="-558007396" targethash="-50830749"/>
  <segment id="51f76ad2-9a25-40d0-a6f2-63359dc4681f_26" sourcehash="1715536521" targethash="1039900024"/>
  <segment id="16171f68-b1fd-47ea-a672-09911f923123_27" sourcehash="-1894921491" targethash="-1614532210"/>
  <segment id="16171f68-b1fd-47ea-a672-09911f923123_28" sourcehash="1432403911" targethash="-899377053"/>
  <segment id="bb484f83-0fac-4293-8976-859cf8ef8980_29" sourcehash="-965009968" targethash="1456025649"/>
  <segment id="bb484f83-0fac-4293-8976-859cf8ef8980_30" sourcehash="1769511079" targethash="1473033582"/>
  <segment id="ae86b867-079e-4737-8d2c-530cb2544cd4_31" sourcehash="1602216766" targethash="140281997"/>
  <segment id="ae86b867-079e-4737-8d2c-530cb2544cd4_32" sourcehash="1761664140" targethash="-131704526"/>
  <segment id="9c7afc81-2d21-44ee-9063-0ea4fdf3beea_33" sourcehash="-1399389362" targethash="631146130"/>
  <segment id="9b8fb0ea-6dc3-4bda-b74e-4f0ef680712d_34" sourcehash="-653896525" targethash="-1358058"/>
  <segment id="9b8fb0ea-6dc3-4bda-b74e-4f0ef680712d_35" sourcehash="-237828163" targethash="2124683494"/>
  <segment id="9b8fb0ea-6dc3-4bda-b74e-4f0ef680712d_36" sourcehash="-1331839272" targethash="-1630467123"/>
  <segment id="9b8fb0ea-6dc3-4bda-b74e-4f0ef680712d_37" sourcehash="-1316481191" targethash="666211671"/>
  <segment id="9b8fb0ea-6dc3-4bda-b74e-4f0ef680712d_38" sourcehash="1799645770" targethash="1567370954"/>
  <segment id="9b8fb0ea-6dc3-4bda-b74e-4f0ef680712d_39" sourcehash="-1328418342" targethash="-597115515"/>
  <segment id="ba903421-812b-4818-876d-8b1cadb81851_40" sourcehash="-1242111014" targethash="1459922384"/>
  <segment id="ba903421-812b-4818-876d-8b1cadb81851_41" sourcehash="128812167" targethash="-170238335"/>
  <segment id="ba903421-812b-4818-876d-8b1cadb81851_42" sourcehash="-1073573208" targethash="2112504291"/>
  <segment id="767eba34-fd5a-4c59-9160-90a4fd32b69b_43" sourcehash="-571394367" targethash="185481687"/>
  <segment id="767eba34-fd5a-4c59-9160-90a4fd32b69b_44" sourcehash="1843699642" targethash="421057460"/>
  <segment id="c28ef34c-fd78-403e-9ff9-c19f1e2de7c4_45" sourcehash="141869864" targethash="-266891581"/>
  <segment id="c824d05b-4b39-4603-95c6-4e041c76b774_46" sourcehash="-962560287" targethash="-1506564360"/>
  <segment id="c824d05b-4b39-4603-95c6-4e041c76b774_47" sourcehash="1201629037" targethash="807247620"/>
  <segment id="3a89e23d-bfdc-4ab6-9be8-9e23a693cfb5_48" sourcehash="1743645831" targethash="1949515226"/>
  <segment id="1ed5d06d-3936-4ba9-97c3-b3b70fd440d8_49" sourcehash="-1719935487" targethash="1312037880"/>
  <segment id="1ed5d06d-3936-4ba9-97c3-b3b70fd440d8_50" sourcehash="630583287" targethash="-25976224"/>
  <segment id="74dea51d-aae2-4f8e-9f5b-59757c0c9c0d_51" sourcehash="1305978763" targethash="1465218218"/>
  <segment id="74dea51d-aae2-4f8e-9f5b-59757c0c9c0d_52" sourcehash="1451365130" targethash="-860437109"/>
  <segment id="74dea51d-aae2-4f8e-9f5b-59757c0c9c0d_53" sourcehash="-1951697171" targethash="-1744720684"/>
  <segment id="74dea51d-aae2-4f8e-9f5b-59757c0c9c0d_54" sourcehash="1614150682" targethash="1268250051"/>
  <segment id="a73776d3-41e6-43cb-bad6-0ca9e766c2a6_55" sourcehash="208739746" targethash="-132001789"/>
  <segment id="a73776d3-41e6-43cb-bad6-0ca9e766c2a6_56" sourcehash="-80821492" targethash="1971002972"/>
  <segment id="c82556a1-b6ea-4f14-932c-96edaea457ef_57" sourcehash="1489366583" targethash="231018940"/>
  <segment id="c82556a1-b6ea-4f14-932c-96edaea457ef_58" sourcehash="2116706353" targethash="2059110206"/>
  <segment id="c82556a1-b6ea-4f14-932c-96edaea457ef_59" sourcehash="-275416214" targethash="-151901993"/>
  <segment id="28a695a6-36c0-46e9-ba7a-342772f591cf_60" sourcehash="-2029566545" targethash="-429852507"/>
  <segment id="c9d7cf33-b2fe-4691-85cd-e5d4b6a8cdae_61" sourcehash="-1429137337" targethash="-1307474275"/>
  <segment id="28b7e05b-01a5-42d0-87d0-a147582de97f_62" sourcehash="-1880834598" targethash="-1653770136"/>
  <segment id="b6e7860f-490f-493e-9a4e-5b8c313eb79b_63" sourcehash="-824708339" targethash="1075127376"/>
  <segment id="5780e6b1-f1bd-4a08-9037-2eed464c2a31_64" sourcehash="1560842766" targethash="1528020025"/>
  <segment id="2eb79143-57c6-4bd1-ac05-247421155fcd_65" sourcehash="-1722268001" targethash="2074249045"/>
  <segment id="bc47261d-af47-4a41-81b5-86851129073e_66" sourcehash="1545622015" targethash="104108174"/>
  <segment id="4d553195-9e3e-40b7-87bc-83182812ea4c_67" sourcehash="875767119" targethash="-1208524758"/>
  <segment id="fd5180e0-c4b5-4ca1-a3e7-741fc0319b51_68 a" sourcehash="1757281693" targethash="-1531690040"/>
  <segment id="fd5180e0-c4b5-4ca1-a3e7-741fc0319b51_68 b a" sourcehash="-888244889" targethash="-722685227"/>
  <segment id="fd5180e0-c4b5-4ca1-a3e7-741fc0319b51_68 b b" sourcehash="-2004119424" targethash="-1038736700"/>
  <segment id="9434467e-d496-4e22-92af-be0e6d149bba_69 a" sourcehash="21774268" targethash="-1392001689"/>
  <segment id="9434467e-d496-4e22-92af-be0e6d149bba_69 b a" sourcehash="1043584272" targethash="-980871332"/>
  <segment id="9434467e-d496-4e22-92af-be0e6d149bba_69 b b" sourcehash="-501033029" targethash="999977581"/>
  <segment id="f361040f-d94b-48fa-b94f-4d07df09a8ee_70" sourcehash="1558456032" targethash="-1272458472"/>
  <segment id="f361040f-d94b-48fa-b94f-4d07df09a8ee_71" sourcehash="-120539603" targethash="691237755"/>
  <segment id="09648927-c05d-4b2e-96f0-52d914f6fd6c_72" sourcehash="1266465062" targethash="-1337318404"/>
  <segment id="31c38190-e2c7-4ff7-b7a6-10c8437c6a8e_73" sourcehash="868340288" targethash="934474170"/>
  <segment id="8d16f99e-19fb-46b8-afa4-d232d09953d3_77" sourcehash="843707460" targethash="1929592095"/>
  <segment id="57bf24ab-35d6-4969-a56b-1d5a44d5ad46_78" sourcehash="1524580637" targethash="1875811942"/>
  <segment id="127f91af-6648-455f-89e2-a4256b25a5fa_79" sourcehash="1106373962" targethash="-1090437425"/>
  <segment id="df660958-d84e-436d-9f13-d75c795c542e_80" sourcehash="1346429428" targethash="-1116476739"/>
  <segment id="df660958-d84e-436d-9f13-d75c795c542e_81" sourcehash="1761561147" targethash="-1010144455"/>
  <segment id="f1e8c187-1d2e-43ea-a78d-9c132bcf80ce_82 a" sourcehash="-2074416920" targethash="1785343875"/>
  <segment id="f1e8c187-1d2e-43ea-a78d-9c132bcf80ce_82 b a" sourcehash="-510029299" targethash="-1598702451"/>
  <segment id="f1e8c187-1d2e-43ea-a78d-9c132bcf80ce_82 b b a" sourcehash="939212558" targethash="-1504154679"/>
  <segment id="f1e8c187-1d2e-43ea-a78d-9c132bcf80ce_82 b b b" sourcehash="563842441" targethash="376559939"/>
  <segment id="f1e8c187-1d2e-43ea-a78d-9c132bcf80ce_83" sourcehash="-988566215" targethash="1873033415"/>
  <segment id="f1e8c187-1d2e-43ea-a78d-9c132bcf80ce_84" sourcehash="-1275751927" targethash="899240019"/>
  <segment id="295544e7-3d5c-41a6-b64e-57229b1dd18c_85" sourcehash="649874514" targethash="1558888105"/>
  <segment id="295544e7-3d5c-41a6-b64e-57229b1dd18c_86" sourcehash="-1938891235" targethash="1073261467"/>
  <segment id="a872c9e1-e37d-4aa2-81d0-42acc19e4aad_87" sourcehash="2020173870" targethash="-196564906"/>
  <segment id="a872c9e1-e37d-4aa2-81d0-42acc19e4aad_88" sourcehash="943333536" targethash="1166228104"/>
  <segment id="e6d19d21-8b51-44ff-995a-1d97c0ea8559_89" sourcehash="-317408900" targethash="542639017"/>
  <segment id="fa00267b-572c-4ea2-9bd0-4a727e407af9_90" sourcehash="-9138606" targethash="-2122393101"/>
  <segment id="fa00267b-572c-4ea2-9bd0-4a727e407af9_91" sourcehash="76942488" targethash="2083423808"/>
  <segment id="fa00267b-572c-4ea2-9bd0-4a727e407af9_92" sourcehash="549394705" targethash="1713094922"/>
  <segment id="e43d66aa-cb95-4614-8742-4e2b69c73cf1_93" sourcehash="1235486320" targethash="1419880214"/>
  <segment id="9c45a08b-cd2f-481b-99a1-7e02a200baa3_94" sourcehash="2042157366" targethash="1825183552"/>
  <segment id="9c45a08b-cd2f-481b-99a1-7e02a200baa3_95" sourcehash="-2038475238" targethash="-1367259753"/>
  <segment id="9c45a08b-cd2f-481b-99a1-7e02a200baa3_96" sourcehash="693256188" targethash="1877079309"/>
  <segment id="e9d858b9-001e-4adb-b6a1-fab395acd671_97" sourcehash="-700313923" targethash="-1921994114"/>
  <segment id="e9d858b9-001e-4adb-b6a1-fab395acd671_98" sourcehash="-895762217" targethash="-1863491969"/>
  <segment id="e9d858b9-001e-4adb-b6a1-fab395acd671_99" sourcehash="1327350431" targethash="-1006307541"/>
  <segment id="e9d858b9-001e-4adb-b6a1-fab395acd671_100" sourcehash="1921237282" targethash="-1444934948"/>
  <segment id="6bb7dc45-fef4-4577-87d8-097edec83ede_101 a" sourcehash="158978858" targethash="-866358269"/>
  <segment id="6bb7dc45-fef4-4577-87d8-097edec83ede_101 b a" sourcehash="1746387809" targethash="-18156662"/>
  <segment id="6bb7dc45-fef4-4577-87d8-097edec83ede_101 b b" sourcehash="956735204" targethash="626222298"/>
  <segment id="0d000b1e-8913-40ec-a3cc-a476a68effb7_102" sourcehash="-1955611798" targethash="-213888408"/>
  <segment id="0d000b1e-8913-40ec-a3cc-a476a68effb7_103" sourcehash="800383759" targethash="1618486395"/>
  <segment id="6da33bff-d8a7-4db0-9398-e3b0530120b4_104" sourcehash="297950742" targethash="-1129355090"/>
  <segment id="6da33bff-d8a7-4db0-9398-e3b0530120b4_105" sourcehash="-1237934681" targethash="-2114559532"/>
  <segment id="6da33bff-d8a7-4db0-9398-e3b0530120b4_106" sourcehash="-356783173" targethash="-1220469478"/>
  <segment id="88d3f1ad-c25d-4b92-ae78-8f0bf5cc6e75_107" sourcehash="-311610838" targethash="1082461408"/>
  <segment id="88d3f1ad-c25d-4b92-ae78-8f0bf5cc6e75_108" sourcehash="-386953033" targethash="392280841"/>
  <segment id="88d3f1ad-c25d-4b92-ae78-8f0bf5cc6e75_109" sourcehash="-2079776699" targethash="-249595955"/>
  <segment id="88d3f1ad-c25d-4b92-ae78-8f0bf5cc6e75_110" sourcehash="-92439142" targethash="631362306"/>
  <segment id="aaf81e68-3a79-42b3-97b6-e9d87537bd32_111" sourcehash="1541080636" targethash="-2033528703"/>
  <segment id="aaf81e68-3a79-42b3-97b6-e9d87537bd32_112" sourcehash="-1832524051" targethash="-484268449"/>
  <segment id="aaf81e68-3a79-42b3-97b6-e9d87537bd32_113" sourcehash="1283953489" targethash="-1650248175"/>
  <segment id="aaf81e68-3a79-42b3-97b6-e9d87537bd32_114" sourcehash="-901810469" targethash="-991703694"/>
  <segment id="aaf81e68-3a79-42b3-97b6-e9d87537bd32_115" sourcehash="429111559" targethash="-1783371582"/>
  <segment id="f8d66de6-6a03-474e-84d1-c2cc746daf02_116" sourcehash="-698892375" targethash="-1017475449"/>
  <segment id="a163d830-19ef-4b76-ad69-5301013a33bd_117" sourcehash="-1315319540" targethash="-502660057"/>
  <segment id="a163d830-19ef-4b76-ad69-5301013a33bd_118" sourcehash="-1682450989" targethash="-1951121874"/>
  <segment id="2c05f330-099d-4a4a-9d01-1274e2c4373f_119" sourcehash="1560249829" targethash="1627196310"/>
  <segment id="9b1df865-d0f5-4e2c-8bc4-db21386d7869_120 a" sourcehash="-2114254496" targethash="2048570713"/>
  <segment id="9b1df865-d0f5-4e2c-8bc4-db21386d7869_120 b" sourcehash="861140108" targethash="-1309476537"/>
  <segment id="98a12210-b491-4004-9824-64b599b1b967_121" sourcehash="-536057078" targethash="-1593894826"/>
  <segment id="e11c1bde-7aa9-43c0-a5d6-aeaf252080d0_122" sourcehash="176564425" targethash="704887848"/>
  <segment id="89b4aa2f-c1eb-491a-9a15-cbf67097806d_123" sourcehash="-1143010447" targethash="1547704792"/>
  <segment id="89b4aa2f-c1eb-491a-9a15-cbf67097806d_124" sourcehash="-1861327617" targethash="1645708647"/>
  <segment id="5be22f08-42e5-4ec7-aa0e-537224213e8c_125" sourcehash="-1865673439" targethash="383489272"/>
  <segment id="05d31347-72f1-4d14-937e-513c28917ba0_126" sourcehash="-261736090" targethash="-708238785"/>
  <segment id="045c5d30-44e5-4ca2-8e9f-3a4208fcaa5c_127" sourcehash="-703867308" targethash="1197347342"/>
  <segment id="b7d4805c-37ce-4672-b1a5-1249f2ff2848_128" sourcehash="-2077540714" targethash="-409678263"/>
  <segment id="caf409fd-5736-4df4-ad07-eae1f3b0a3fe_129" sourcehash="-439819073" targethash="1194026093"/>
  <segment id="d12bf337-07f0-45c5-ad55-7570a97d794b_130" sourcehash="-2089698490" targethash="-1122571239"/>
  <segment id="d7a3232e-beae-4982-8516-7a1722a32629_131" sourcehash="-805259538" targethash="-2117243210"/>
  <segment id="ecd45ed8-621a-492d-9fe9-7f5d46db7fe7_133" sourcehash="638546323" targethash="1616423124"/>
  <segment id="ecd45ed8-621a-492d-9fe9-7f5d46db7fe7_136" sourcehash="2058014005" targethash="38139010"/>
  <segment id="118d351f-8cb6-4bcb-a952-471609933c05_138" sourcehash="-787677797" targethash="989117717"/>
  <segment id="0cc46e66-6b78-4ee5-adea-efb398b23e26_139" sourcehash="1759172382" targethash="-1421920012"/>
  <segment id="7edad803-3b15-4c40-8db6-ec41576988b5_140" sourcehash="1439062400" targethash="320202444"/>
  <segment id="58c12240-ba25-4efa-9302-61d3bc010f50_141" sourcehash="43750317" targethash="559836333"/>
  <segment id="58c12240-ba25-4efa-9302-61d3bc010f50_143" sourcehash="1785747870" targethash="905403524"/>
  <segment id="58c12240-ba25-4efa-9302-61d3bc010f50_146" sourcehash="-150579899" targethash="468242442"/>
  <segment id="58c12240-ba25-4efa-9302-61d3bc010f50_147" sourcehash="1467132481" targethash="-1494237697"/>
  <segment id="48b8f367-a58f-4bf0-9f1e-837373e43b0e_148" sourcehash="-1543005069" targethash="1372523166"/>
  <segment id="48b8f367-a58f-4bf0-9f1e-837373e43b0e_150" sourcehash="-64317558" targethash="-515892765"/>
  <segment id="48b8f367-a58f-4bf0-9f1e-837373e43b0e_151" sourcehash="1648543913" targethash="-326034308"/>
  <segment id="48b8f367-a58f-4bf0-9f1e-837373e43b0e_152" sourcehash="-638432343" targethash="1983289900"/>
  <segment id="48b8f367-a58f-4bf0-9f1e-837373e43b0e_153" sourcehash="1683717406" targethash="-1813722662"/>
  <segment id="48b8f367-a58f-4bf0-9f1e-837373e43b0e_154" sourcehash="-1531086258" targethash="192151503"/>
  <segment id="b450f193-52eb-42bc-94b5-b70fe8cf5f94_155" sourcehash="1551190051" targethash="-1875258384"/>
  <segment id="b450f193-52eb-42bc-94b5-b70fe8cf5f94_156" sourcehash="-431945253" targethash="-1261943870"/>
  <segment id="b450f193-52eb-42bc-94b5-b70fe8cf5f94_157" sourcehash="298187989" targethash="-1546817877"/>
  <segment id="594f4155-b340-4e9c-b40f-f4510799c6d1_158" sourcehash="-1902010846" targethash="1702657962"/>
  <segment id="e761d010-0e4a-4016-93b3-ada299c5a747_159" sourcehash="-1214405043" targethash="-2085354559"/>
  <segment id="3b12a13d-b207-4b25-83c6-353745de89c9_160" sourcehash="-1517844083" targethash="1135123335"/>
  <segment id="d778c31b-0dc2-41e4-bd17-9d722c606c2b_161 a" sourcehash="-1316418884" targethash="-779461991"/>
  <segment id="d778c31b-0dc2-41e4-bd17-9d722c606c2b_161 b" sourcehash="-1002238366" targethash="1932984584"/>
  <segment id="d778c31b-0dc2-41e4-bd17-9d722c606c2b_163" sourcehash="-1970778557" targethash="-1271411064"/>
  <segment id="d778c31b-0dc2-41e4-bd17-9d722c606c2b_164" sourcehash="512268387" targethash="1719713284"/>
  <segment id="3b6e6c5e-9be6-4923-ad25-ae752c17e117_165" sourcehash="-1298598415" targethash="-1716626286"/>
  <segment id="3b6e6c5e-9be6-4923-ad25-ae752c17e117_167" sourcehash="-1915658507" targethash="-701052222"/>
  <segment id="13ccb3a7-456f-43aa-9341-228451b8c8fb_168" sourcehash="-136886634" targethash="787238983"/>
  <segment id="cff83129-8852-4c50-90cf-2e569f9c504e_169" sourcehash="839372089" targethash="-1471376032"/>
  <segment id="cff83129-8852-4c50-90cf-2e569f9c504e_170" sourcehash="2043451222" targethash="85067989"/>
  <segment id="7e8968ce-35a8-4a97-890d-4643dcd5b5d9_171" sourcehash="1309556708" targethash="674115134"/>
  <segment id="5b3f085a-39c2-4805-a5c7-5a5e8a8c4779_172" sourcehash="1608186265" targethash="541522677"/>
  <segment id="1cd26cf2-1922-4d1c-864e-194f6f9d2aba_173" sourcehash="1906576774" targethash="-1681761674"/>
  <segment id="c3cee96d-59d1-4e71-88d5-9b988d0bf1bf_174" sourcehash="-1803309446" targethash="-879163998"/>
  <segment id="14e381b3-c021-454f-b39e-ec313d6d0dec_175" sourcehash="-1231507902" targethash="-1755463394"/>
  <segment id="a9784373-4cb4-4ea8-a401-cde35ea248a4_176" sourcehash="845294690" targethash="525561673"/>
  <segment id="96ceff8c-e412-482f-81ea-028d61563d23_177" sourcehash="238584325" targethash="-447869389"/>
  <segment id="3501871b-65a3-47ae-b084-70a049ccde89_178" sourcehash="1398254415" targethash="-1659756156"/>
  <segment id="12ed94c6-3acd-4ffc-bfae-1810e157e6a0_179" sourcehash="445461458" targethash="1661869054"/>
  <segment id="de2cf125-9059-4e06-ab79-f452e0b331d9_180" sourcehash="-2120183383" targethash="1517589860"/>
  <segment id="02f9bee3-973e-4325-8178-20e4bb1a8455_181" sourcehash="1304485738" targethash="-490411775"/>
  <segment id="ef7eadca-82c5-44f9-817f-00ea31abf477_182" sourcehash="-637123850" targethash="1009364570"/>
  <segment id="ac645420-a828-49d0-acb4-f88679424893_183" sourcehash="58913055" targethash="-1119569257"/>
  <segment id="580fc491-a205-4deb-a906-76256c435a83_184" sourcehash="-1006508372" targethash="-1901088940"/>
  <segment id="8ae7beb9-05bf-45d7-95c2-f24ccadc5784_185" sourcehash="-82678999" targethash="-471571377"/>
  <segment id="9c829e1f-5af6-480e-a89e-bb5ebf89b114_186" sourcehash="63136086" targethash="-1163644121"/>
  <segment id="c0d5a783-a2a0-4d0a-911c-ddfb45772481_187" sourcehash="1907575457" targethash="-171858894"/>
  <segment id="ce7abb6d-99dd-487a-9849-df31586538fd_188" sourcehash="397467335" targethash="479199526"/>
  <segment id="37fa1dc6-dcc6-43c2-bc3a-024c8a3948f7_189" sourcehash="1345466588" targethash="2048558417"/>
  <segment id="6cdffb40-3c3f-4d97-8b38-308096c21c53_190" sourcehash="-1038418057" targethash="768989039"/>
  <segment id="da04fd7a-0050-46ef-92e8-b0bf8cd0a647_191" sourcehash="1783045828" targethash="1831321269"/>
  <segment id="476451bd-632c-4063-aa4e-7c37db0b7e1b_192" sourcehash="1706431389" targethash="-1761973151"/>
  <segment id="bac07d03-660a-4531-8e8d-f5d0d011ab8d_193" sourcehash="-1664512714" targethash="-2001394349"/>
  <segment id="62b62fb3-5f0c-4e3f-9760-34e70f84de9d_194" sourcehash="1402995623" targethash="1476655537"/>
  <segment id="54901152-df96-4cda-b73d-20e4e2741579_195" sourcehash="1056449720" targethash="1676303891"/>
  <segment id="c4bad5c9-0442-4fc5-94db-2e652b9ee2f0_196" sourcehash="-1791206955" targethash="2066133761"/>
  <segment id="e3ae40b4-26d6-4856-b5d8-2c8013a220a1_197" sourcehash="726496183" targethash="1637311072"/>
  <segment id="51e10e54-0ca9-4c39-9f5a-dec945a5e110_198" sourcehash="-826740787" targethash="1642741634"/>
  <segment id="f2ce2079-c0aa-4648-8a6a-39895006a4ff_199" sourcehash="949755486" targethash="1091508370"/>
  <segment id="79135d93-7c1c-44e9-8b43-f18fbb99f5a6_200" sourcehash="-1027724058" targethash="1535575217"/>
  <segment id="70f4be8b-0632-4be9-9c89-e7b3075e189a_201" sourcehash="925876343" targethash="358241899"/>
  <segment id="3472d3ac-0bf8-46b0-a29d-75c08f8a5af8_202" sourcehash="414252955" targethash="2103154506"/>
  <segment id="47414224-8cd1-4f54-8511-6b83ceaad307_203" sourcehash="1924135256" targethash="1922300248"/>
  <segment id="1931822a-5323-420a-867a-70c3cc59b009_204" sourcehash="472701873" targethash="-95689309"/>
  <segment id="57edea2c-64e9-46e5-8648-07ddf1978239_205" sourcehash="-638045747" targethash="356348005"/>
  <segment id="196c68c6-aedb-4ebc-a4b1-649918d12099_206" sourcehash="1074001639" targethash="377503840"/>
  <segment id="a0362cc3-ca9f-4184-b567-f1f946857898_207" sourcehash="1775481854" targethash="299005850"/>
  <segment id="a897c998-c34c-437a-bd59-0f6028e1a137_208" sourcehash="-1581375124" targethash="345868017"/>
  <segment id="303b2f62-577b-4ebe-a8c1-1320068540ee_209" sourcehash="-1027947344" targethash="-883636326"/>
  <segment id="1295a681-8480-49bf-b856-bd509e723555_210" sourcehash="395786390" targethash="-1524361214"/>
  <segment id="7a8337c6-1d40-4828-8f66-13ea7d07553a_211" sourcehash="439078315" targethash="800577718"/>
  <segment id="8dbb4752-0353-4503-98b3-07b037218a69_212" sourcehash="400378510" targethash="-2079411891"/>
  <segment id="3999f0c0-3cf8-4bf6-903e-2355798b45aa_213" sourcehash="-879346783" targethash="-1744074876"/>
  <segment id="b7a7c5b7-74fd-49bc-b966-238670fc6cd7_214 a a" sourcehash="-209789373" targethash="-1000974998"/>
  <segment id="b7a7c5b7-74fd-49bc-b966-238670fc6cd7_214 a b" sourcehash="1675934792" targethash="-1138473544"/>
  <segment id="b7a7c5b7-74fd-49bc-b966-238670fc6cd7_214 b" sourcehash="-778331178" targethash="1077488838"/>
  <segment id="90c5fe97-951f-4cbd-b501-f28d893322c9_215 a" sourcehash="-938079935" targethash="354164430"/>
  <segment id="90c5fe97-951f-4cbd-b501-f28d893322c9_215 b a" sourcehash="-2028404491" targethash="2105025917"/>
  <segment id="90c5fe97-951f-4cbd-b501-f28d893322c9_215 b b" sourcehash="423520875" targethash="486677874"/>
  <segment id="656bb277-5a01-41bb-b28e-87c41e9beb17_216" sourcehash="1414615541" targethash="-666446038"/>
  <segment id="f2bd8253-5106-41f0-b939-86779ee2b415_217" sourcehash="1067485635" targethash="1660730065"/>
  <segment id="38604325-ae05-4ea3-ad76-3f740af30ead_218" sourcehash="-54046663" targethash="1603251420"/>
  <segment id="237634b5-23d1-465a-b2e0-c6d267049680_219" sourcehash="-1611146564" targethash="-499138288"/>
  <segment id="866ed5bd-9922-4b38-8a6a-6e015f885d46_220" sourcehash="1683330111" targethash="1213001380"/>
  <segment id="ca80107c-856a-474d-813d-3257bf361308_221" sourcehash="-612677915" targethash="-678711038"/>
  <segment id="f284fea5-a137-4302-b8c9-45872925b223_222" sourcehash="-919250165" targethash="-717507268"/>
  <segment id="8b66c3ac-db8f-453a-ba64-f76a8a6c2e3b_223" sourcehash="-1005538791" targethash="-1818414706"/>
  <segment id="c55c0526-52ab-4b95-8aa8-cef50fdd1e5e_224" sourcehash="926544612" targethash="-572121525"/>
  <segment id="a136f27a-03fc-45bb-8567-679c9dc0e02e_225" sourcehash="1812469340" targethash="-1336166740"/>
  <segment id="602d0122-62bf-4652-bd69-65b82c22e9a9_226" sourcehash="341903205" targethash="1631073477"/>
  <segment id="d7df7c27-5e6c-4fcd-af05-02d109376fcb_227" sourcehash="1805273232" targethash="-2000792736"/>
  <segment id="52a8384a-bc6a-459f-aefa-f962fa997199_228" sourcehash="1208606093" targethash="2121587751"/>
  <segment id="af0a80dd-2dd4-40bf-9f4a-5a9a7ecadaa8_229" sourcehash="-1294441719" targethash="-1738751899"/>
  <segment id="31750ecd-7d02-4117-9607-f16ca9059532_230" sourcehash="1342424555" targethash="1945534288"/>
  <segment id="635569a6-2961-426b-af35-a49ca09aa1f7_231" sourcehash="1414195143" targethash="-929815826"/>
  <segment id="df8cb9bb-c911-4c3f-af36-1dff2c288400_232" sourcehash="-676418704" targethash="1461714140"/>
  <segment id="b94e65a3-a09e-4788-bc54-3efd84ca2ce9_233" sourcehash="155631399" targethash="-655229980"/>
</list>
</file>

<file path=customXML/itemProps1.xml><?xml version="1.0" encoding="utf-8"?>
<ds:datastoreItem xmlns:ds="http://schemas.openxmlformats.org/officeDocument/2006/customXml" ds:itemID="{88E81A45-98C0-4D79-952A-E8203CE59AAC}"/>
</file>