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Ryan Price: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Unit One: Milestones 1.1.1, 1.1.2, 1.1.3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Unit Two: Milestones 2.1.1, 2.1.2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Unit Three: Milestones 3.1.1, 3.1.2, 3.1.3, 3.1.4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Unit Four: Milestones 4.1.1, 4.1.2, 4.2.1, 4.2.2, 4.2.3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Michael Church: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Unit One: Milestones 1.2.1, 1.2.2, 1.2.3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Unit Two: Milestones 2.1.3, 2.3.1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Unit Three: Milestones 3.2.1, 3.2.2, 3.2.3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Unit Four: Milestones 4.1.1, 4.1.2, 4.2.1, 4.2.2, 4.2.3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Frank Cotter: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Unit One: Milestones 1.2.4, 1.2.5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Unit Two: Milestones 2.2.2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Unit Three: Milestones 3.3.1, 3.3.2, 3.3.3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Unit Four: Milestones 4.1.1, 4.1.2, 4.2.1, 4.2.2, 4.2.3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Charlie Kiser: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Unit One: Milestones 1.3.1, 1.3.2, 1.3.3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Unit Two: Milestones 2.2.1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Unit Three: Milestones 3.4.1, 3.4.2, 3.4.3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Unit Four: Milestones 4.1.1, 4.1.2, 4.2.1, 4.2.2, 4.2.3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Responsiblitites.docx</dc:title>
</cp:coreProperties>
</file>