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ART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images are about 256px - 300px in the longer dimension.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Animations are numbered starting from 0. The number is at the end of the file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have your group’s art liaison email your art contact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this week</w:t>
      </w:r>
      <w:r w:rsidDel="00000000" w:rsidR="00000000" w:rsidRPr="00000000">
        <w:rPr>
          <w:rtl w:val="0"/>
        </w:rPr>
        <w:t xml:space="preserve"> if you have any specific questions/issues regarding these images. We won’t have time to respond to any issues next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Animals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folder has animals requested and animal heroes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Note: The only fish with bite action is the catfish.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Backgrounds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folder has backgrounds and background pieces - will be uploaded later tonight.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full backgrounds are sized to the given spec (1440 x 900 px)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Environment Misc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folder has environment game objects such as oil spills, puddles, and explosions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folder has general objects (boats, nets, trashcan)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People and Humanoids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folder has people and people-like characters. Please note that most of the generic people walking animations have 4 frames with two being the same. It will make for smoother movement, but that is your choice to use them.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only person that punches, is the redshirt person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folder has plants and seeds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UI Buttons, Icons...etc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folder has button shapes, and icons for the user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If you need a single animal/plant, see those folders.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