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Retro - Gaston - WeGo Route 56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Michael, Berhan, Kelly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Doing: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team performed very well with excellent communication and teamwork and dividing up the work among us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Adequate time was given for solo work with a healthy mix of working on solutions to issues together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Doing: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Paid closer attention to bus stop location double checked that they were accounted for in the analysis (Michael)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final analysis tables from group members a pickle-like file that is passed to a new and aggregated notebook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Stop Doing: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Trying to put all of the work in one single notebook initially is more accessible, but as the notebook gets too large, it becomes a pain to restart kernels.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Action Items (pick two or three from the above categories to do for the next project &amp; attach to a person to have one person be responsible for that action item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