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rFonts w:ascii="Calibri" w:cs="Calibri" w:eastAsia="Calibri" w:hAnsi="Calibri"/>
          <w:color w:val="2A7F62"/>
          <w:spacing w:val="200"/>
          <w:sz w:val="24"/>
          <w:szCs w:val="24"/>
        </w:rPr>
        <w:t xml:space="preserve">PRODUCT ARCHITECTURE</w:t>
      </w:r>
    </w:p>
    <w:p>
      <w:pPr>
        <w:spacing w:after="60"/>
        <w:jc w:val="center"/>
      </w:pPr>
      <w:r>
        <w:rPr>
          <w:rFonts w:ascii="Georgia" w:cs="Georgia" w:eastAsia="Georgia" w:hAnsi="Georgia"/>
          <w:b/>
          <w:bCs/>
          <w:color w:val="1B2A4A"/>
          <w:sz w:val="72"/>
          <w:szCs w:val="72"/>
        </w:rPr>
        <w:t xml:space="preserve">The Complete ADU</w:t>
      </w:r>
    </w:p>
    <w:p>
      <w:pPr>
        <w:spacing w:after="40"/>
        <w:jc w:val="center"/>
      </w:pPr>
      <w:r>
        <w:rPr>
          <w:rFonts w:ascii="Georgia" w:cs="Georgia" w:eastAsia="Georgia" w:hAnsi="Georgia"/>
          <w:b/>
          <w:bCs/>
          <w:color w:val="1B2A4A"/>
          <w:sz w:val="72"/>
          <w:szCs w:val="72"/>
        </w:rPr>
        <w:t xml:space="preserve">Homeowner’s Guide</w:t>
      </w:r>
    </w:p>
    <w:p>
      <w:pPr>
        <w:pBdr>
          <w:bottom w:val="single" w:color="D4A843" w:sz="4" w:space="8"/>
        </w:pBdr>
        <w:spacing w:after="300"/>
        <w:jc w:val="center"/>
      </w:pPr>
      <w:r>
        <w:rPr>
          <w:rFonts w:ascii="Georgia" w:cs="Georgia" w:eastAsia="Georgia" w:hAnsi="Georgia"/>
          <w:i/>
          <w:iCs/>
          <w:color w:val="4A5568"/>
          <w:sz w:val="28"/>
          <w:szCs w:val="28"/>
        </w:rPr>
        <w:t xml:space="preserve">From Concept to Keys: Everything You Need to Build Your ADU</w:t>
      </w:r>
    </w:p>
    <w:p>
      <w:pPr>
        <w:spacing w:after="200"/>
      </w:pPr>
    </w:p>
    <w:p>
      <w:pPr>
        <w:spacing w:after="80"/>
        <w:jc w:val="center"/>
      </w:pPr>
      <w:r>
        <w:rPr>
          <w:rFonts w:ascii="Calibri" w:cs="Calibri" w:eastAsia="Calibri" w:hAnsi="Calibri"/>
          <w:color w:val="4A5568"/>
          <w:sz w:val="24"/>
          <w:szCs w:val="24"/>
        </w:rPr>
        <w:t xml:space="preserve">Tiered Digital Product  ·  Gumroad Distribution</w:t>
      </w:r>
    </w:p>
    <w:p>
      <w:pPr>
        <w:spacing w:after="80"/>
        <w:jc w:val="center"/>
      </w:pPr>
      <w:r>
        <w:rPr>
          <w:rFonts w:ascii="Georgia" w:cs="Georgia" w:eastAsia="Georgia" w:hAnsi="Georgia"/>
          <w:b/>
          <w:bCs/>
          <w:color w:val="2A7F62"/>
          <w:sz w:val="36"/>
          <w:szCs w:val="36"/>
        </w:rPr>
        <w:t xml:space="preserve">$97  /  $197  /  $297</w:t>
      </w:r>
    </w:p>
    <w:p>
      <w:pPr>
        <w:spacing w:after="400"/>
        <w:jc w:val="center"/>
      </w:pPr>
      <w:r>
        <w:rPr>
          <w:rFonts w:ascii="Calibri" w:cs="Calibri" w:eastAsia="Calibri" w:hAnsi="Calibri"/>
          <w:color w:val="4A5568"/>
          <w:sz w:val="24"/>
          <w:szCs w:val="24"/>
        </w:rPr>
        <w:t xml:space="preserve">Target Launch: Q3 2025</w:t>
      </w:r>
    </w:p>
    <w:p>
      <w:pPr>
        <w:spacing w:after="600"/>
      </w:pPr>
    </w:p>
    <w:p>
      <w:pPr>
        <w:spacing w:after="60"/>
        <w:jc w:val="center"/>
      </w:pPr>
      <w:r>
        <w:rPr>
          <w:rFonts w:ascii="Georgia" w:cs="Georgia" w:eastAsia="Georgia" w:hAnsi="Georgia"/>
          <w:color w:val="1B2A4A"/>
          <w:sz w:val="28"/>
          <w:szCs w:val="28"/>
        </w:rPr>
        <w:t xml:space="preserve">Michael Colenso</w:t>
      </w:r>
    </w:p>
    <w:p>
      <w:pPr>
        <w:jc w:val="center"/>
      </w:pPr>
      <w:r>
        <w:rPr>
          <w:rFonts w:ascii="Calibri" w:cs="Calibri" w:eastAsia="Calibri" w:hAnsi="Calibri"/>
          <w:color w:val="4A5568"/>
          <w:sz w:val="20"/>
          <w:szCs w:val="20"/>
        </w:rPr>
        <w:t xml:space="preserve">20+ Years Construction Project Management  ·  $12M–$200M Projects</w:t>
      </w:r>
    </w:p>
    <w:p>
      <w:pPr>
        <w:jc w:val="center"/>
      </w:pPr>
      <w:r>
        <w:rPr>
          <w:rFonts w:ascii="Calibri" w:cs="Calibri" w:eastAsia="Calibri" w:hAnsi="Calibri"/>
          <w:color w:val="4A5568"/>
          <w:sz w:val="20"/>
          <w:szCs w:val="20"/>
        </w:rPr>
        <w:t xml:space="preserve">Procore &amp; Buildertrend Certified  ·  Pacific Northwest</w:t>
      </w:r>
    </w:p>
    <w:p>
      <w:pPr>
        <w:sectPr>
          <w:pgSz w:w="12240" w:h="15840" w:orient="portrait"/>
          <w:pgMar w:top="1440" w:right="1440" w:bottom="1440" w:left="1440" w:header="708" w:footer="708" w:gutter="0"/>
          <w:pgNumType/>
          <w:docGrid w:linePitch="360"/>
        </w:sectPr>
      </w:pPr>
    </w:p>
    <w:p>
      <w:pPr>
        <w:pStyle w:val="Heading1"/>
        <w:spacing w:before="360" w:after="200"/>
      </w:pPr>
      <w:r>
        <w:rPr>
          <w:rFonts w:ascii="Georgia" w:cs="Georgia" w:eastAsia="Georgia" w:hAnsi="Georgia"/>
          <w:b/>
          <w:bCs/>
          <w:color w:val="1B2A4A"/>
          <w:sz w:val="44"/>
          <w:szCs w:val="44"/>
        </w:rPr>
        <w:t xml:space="preserve">Executive Summary</w:t>
      </w:r>
    </w:p>
    <w:p>
      <w:pPr>
        <w:spacing w:after="160" w:line="300"/>
      </w:pPr>
      <w:r>
        <w:rPr>
          <w:rFonts w:ascii="Calibri" w:cs="Calibri" w:eastAsia="Calibri" w:hAnsi="Calibri"/>
          <w:b/>
          <w:bCs/>
          <w:color w:val="1B2A4A"/>
          <w:sz w:val="22"/>
          <w:szCs w:val="22"/>
        </w:rPr>
        <w:t xml:space="preserve">The Complete ADU Homeowner’s Guide</w:t>
      </w:r>
      <w:r>
        <w:rPr>
          <w:rFonts w:ascii="Calibri" w:cs="Calibri" w:eastAsia="Calibri" w:hAnsi="Calibri"/>
          <w:color w:val="2D3748"/>
          <w:sz w:val="22"/>
          <w:szCs w:val="22"/>
        </w:rPr>
        <w:t xml:space="preserve"> is a tiered digital product delivering everything a homeowner needs to successfully plan, finance, permit, build, and monetize an Accessory Dwelling Unit. It addresses a </w:t>
      </w:r>
      <w:r>
        <w:rPr>
          <w:rFonts w:ascii="Calibri" w:cs="Calibri" w:eastAsia="Calibri" w:hAnsi="Calibri"/>
          <w:b/>
          <w:bCs/>
          <w:color w:val="2D3748"/>
          <w:sz w:val="22"/>
          <w:szCs w:val="22"/>
        </w:rPr>
        <w:t xml:space="preserve">$19.65 billion market</w:t>
      </w:r>
      <w:r>
        <w:rPr>
          <w:rFonts w:ascii="Calibri" w:cs="Calibri" w:eastAsia="Calibri" w:hAnsi="Calibri"/>
          <w:color w:val="2D3748"/>
          <w:sz w:val="22"/>
          <w:szCs w:val="22"/>
        </w:rPr>
        <w:t xml:space="preserve"> (projected to reach $47B by 2035) where zero comprehensive digital products currently exist on major platforms. The product ships as a three-tier Gumroad bundle targeting the 49% of U.S. homeowners actively exploring ADU construction.</w:t>
      </w:r>
    </w:p>
    <w:p>
      <w:pPr>
        <w:pStyle w:val="Heading2"/>
        <w:pBdr>
          <w:bottom w:val="single" w:color="2A7F62" w:sz="2" w:space="4"/>
        </w:pBdr>
        <w:spacing w:before="300" w:after="160"/>
      </w:pPr>
      <w:r>
        <w:rPr>
          <w:rFonts w:ascii="Georgia" w:cs="Georgia" w:eastAsia="Georgia" w:hAnsi="Georgia"/>
          <w:b/>
          <w:bCs/>
          <w:color w:val="2A7F62"/>
          <w:sz w:val="32"/>
          <w:szCs w:val="32"/>
        </w:rPr>
        <w:t xml:space="preserve">Product Identity</w:t>
      </w:r>
    </w:p>
    <w:p>
      <w:pPr>
        <w:spacing w:after="160" w:line="300"/>
      </w:pPr>
      <w:r>
        <w:rPr>
          <w:rFonts w:ascii="Calibri" w:cs="Calibri" w:eastAsia="Calibri" w:hAnsi="Calibri"/>
          <w:b/>
          <w:bCs/>
          <w:color w:val="2D3748"/>
          <w:sz w:val="22"/>
          <w:szCs w:val="22"/>
        </w:rPr>
        <w:t xml:space="preserve">Product Name: </w:t>
      </w:r>
      <w:r>
        <w:rPr>
          <w:rFonts w:ascii="Calibri" w:cs="Calibri" w:eastAsia="Calibri" w:hAnsi="Calibri"/>
          <w:color w:val="2D3748"/>
          <w:sz w:val="22"/>
          <w:szCs w:val="22"/>
        </w:rPr>
        <w:t xml:space="preserve">The Complete ADU Homeowner’s Guide: From Concept to Keys</w:t>
      </w:r>
    </w:p>
    <w:p>
      <w:pPr>
        <w:spacing w:after="160" w:line="300"/>
      </w:pPr>
      <w:r>
        <w:rPr>
          <w:rFonts w:ascii="Calibri" w:cs="Calibri" w:eastAsia="Calibri" w:hAnsi="Calibri"/>
          <w:b/>
          <w:bCs/>
          <w:color w:val="2D3748"/>
          <w:sz w:val="22"/>
          <w:szCs w:val="22"/>
        </w:rPr>
        <w:t xml:space="preserve">Tagline: </w:t>
      </w:r>
      <w:r>
        <w:rPr>
          <w:rFonts w:ascii="Calibri" w:cs="Calibri" w:eastAsia="Calibri" w:hAnsi="Calibri"/>
          <w:color w:val="2D3748"/>
          <w:sz w:val="22"/>
          <w:szCs w:val="22"/>
        </w:rPr>
        <w:t xml:space="preserve">The construction manager’s playbook for building your ADU — without the $250/hour consultant.</w:t>
      </w:r>
    </w:p>
    <w:p>
      <w:pPr>
        <w:spacing w:after="160" w:line="300"/>
      </w:pPr>
      <w:r>
        <w:rPr>
          <w:rFonts w:ascii="Calibri" w:cs="Calibri" w:eastAsia="Calibri" w:hAnsi="Calibri"/>
          <w:b/>
          <w:bCs/>
          <w:color w:val="2D3748"/>
          <w:sz w:val="22"/>
          <w:szCs w:val="22"/>
        </w:rPr>
        <w:t xml:space="preserve">Author positioning: </w:t>
      </w:r>
      <w:r>
        <w:rPr>
          <w:rFonts w:ascii="Calibri" w:cs="Calibri" w:eastAsia="Calibri" w:hAnsi="Calibri"/>
          <w:color w:val="2D3748"/>
          <w:sz w:val="22"/>
          <w:szCs w:val="22"/>
        </w:rPr>
        <w:t xml:space="preserve">Written by a construction project manager with 20+ years and $200M+ in completed projects — not a contractor selling you their services, not a lender pushing their loan products, not an architect upselling their plans. Independent, comprehensive, and built from the owner’s side of the table.</w:t>
      </w:r>
    </w:p>
    <w:p>
      <w:pPr>
        <w:pStyle w:val="Heading2"/>
        <w:pBdr>
          <w:bottom w:val="single" w:color="2A7F62" w:sz="2" w:space="4"/>
        </w:pBdr>
        <w:spacing w:before="300" w:after="160"/>
      </w:pPr>
      <w:r>
        <w:rPr>
          <w:rFonts w:ascii="Georgia" w:cs="Georgia" w:eastAsia="Georgia" w:hAnsi="Georgia"/>
          <w:b/>
          <w:bCs/>
          <w:color w:val="2A7F62"/>
          <w:sz w:val="32"/>
          <w:szCs w:val="32"/>
        </w:rPr>
        <w:t xml:space="preserve">Tier Structure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
            </w:r>
          </w:p>
        </w:tc>
        <w:tc>
          <w:tcPr>
            <w:tcW w:type="dxa" w:w="234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FOUNDATION — $97</w:t>
            </w:r>
          </w:p>
        </w:tc>
        <w:tc>
          <w:tcPr>
            <w:tcW w:type="dxa" w:w="234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BUILDER — $197</w:t>
            </w:r>
          </w:p>
        </w:tc>
        <w:tc>
          <w:tcPr>
            <w:tcW w:type="dxa" w:w="234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COMPLETE — $297</w:t>
            </w:r>
          </w:p>
        </w:tc>
      </w:tr>
      <w:tr>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Core Guide (PDF)</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w:t>
            </w:r>
          </w:p>
        </w:tc>
      </w:tr>
      <w:tr>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State Regulation Refs</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Top 5 states</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Top 15 states</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All 26+ states</w:t>
            </w:r>
          </w:p>
        </w:tc>
      </w:tr>
      <w:tr>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Budget Calculator</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Basic</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Advanced + regional</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Advanced + regional</w:t>
            </w:r>
          </w:p>
        </w:tc>
      </w:tr>
      <w:tr>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Contractor Toolkit</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w:t>
            </w:r>
          </w:p>
        </w:tc>
      </w:tr>
      <w:tr>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Financing Matrix</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Overview</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Full comparison</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Full + loan apps</w:t>
            </w:r>
          </w:p>
        </w:tc>
      </w:tr>
      <w:tr>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PM Timeline Template</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w:t>
            </w:r>
          </w:p>
        </w:tc>
      </w:tr>
      <w:tr>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Permit Checklists</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Top 5 cities</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Top 25 cities</w:t>
            </w:r>
          </w:p>
        </w:tc>
      </w:tr>
      <w:tr>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ROI Calculator</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w:t>
            </w:r>
          </w:p>
        </w:tc>
      </w:tr>
      <w:tr>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Contract Templates</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w:t>
            </w:r>
          </w:p>
        </w:tc>
      </w:tr>
      <w:tr>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Video Walkthroughs</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5 modules</w:t>
            </w:r>
          </w:p>
        </w:tc>
      </w:tr>
      <w:tr>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Annual Updates</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1 year</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2 years</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Lifetime</w:t>
            </w:r>
          </w:p>
        </w:tc>
      </w:tr>
    </w:tbl>
    <w:p>
      <w:pPr>
        <w:spacing w:after="100"/>
      </w:pPr>
    </w:p>
    <w:p>
      <w:pPr>
        <w:shd w:fill="E6F4F0" w:val="clear"/>
        <w:spacing w:before="200" w:after="60"/>
        <w:ind w:left="360" w:right="360"/>
      </w:pPr>
      <w:r>
        <w:rPr>
          <w:rFonts w:ascii="Calibri" w:cs="Calibri" w:eastAsia="Calibri" w:hAnsi="Calibri"/>
          <w:color w:val="2A7F62"/>
          <w:sz w:val="22"/>
          <w:szCs w:val="22"/>
        </w:rPr>
        <w:t xml:space="preserve">●  </w:t>
      </w:r>
      <w:r>
        <w:rPr>
          <w:rFonts w:ascii="Calibri" w:cs="Calibri" w:eastAsia="Calibri" w:hAnsi="Calibri"/>
          <w:b/>
          <w:bCs/>
          <w:color w:val="1B2A4A"/>
          <w:sz w:val="22"/>
          <w:szCs w:val="22"/>
        </w:rPr>
        <w:t xml:space="preserve">REVENUE MODEL</w:t>
      </w:r>
    </w:p>
    <w:p>
      <w:pPr>
        <w:shd w:fill="E6F4F0" w:val="clear"/>
        <w:spacing w:after="200"/>
        <w:ind w:left="360" w:right="360"/>
      </w:pPr>
      <w:r>
        <w:rPr>
          <w:rFonts w:ascii="Calibri" w:cs="Calibri" w:eastAsia="Calibri" w:hAnsi="Calibri"/>
          <w:color w:val="2D3748"/>
          <w:sz w:val="21"/>
          <w:szCs w:val="21"/>
        </w:rPr>
        <w:t xml:space="preserve">Conservative: 500 units in Year 1 at blended $167 AOV = $83,500. Moderate: 1,200 units = $200,400. Aggressive: 2,500 units = $417,500. Upsell path: annual update subscription ($47/yr) starting Year 2, 1-on-1 consultation add-on ($297/hr), and affiliate partnerships with ADU lenders and prefab manufacturers.</w:t>
      </w:r>
    </w:p>
    <w:p>
      <w:r>
        <w:br w:type="page"/>
      </w:r>
    </w:p>
    <w:p>
      <w:pPr>
        <w:pStyle w:val="Heading1"/>
        <w:spacing w:before="360" w:after="200"/>
      </w:pPr>
      <w:r>
        <w:rPr>
          <w:rFonts w:ascii="Georgia" w:cs="Georgia" w:eastAsia="Georgia" w:hAnsi="Georgia"/>
          <w:b/>
          <w:bCs/>
          <w:color w:val="1B2A4A"/>
          <w:sz w:val="44"/>
          <w:szCs w:val="44"/>
        </w:rPr>
        <w:t xml:space="preserve">Complete Content Architecture</w:t>
      </w:r>
    </w:p>
    <w:p>
      <w:pPr>
        <w:spacing w:after="160" w:line="300"/>
      </w:pPr>
      <w:r>
        <w:rPr>
          <w:rFonts w:ascii="Calibri" w:cs="Calibri" w:eastAsia="Calibri" w:hAnsi="Calibri"/>
          <w:color w:val="2D3748"/>
          <w:sz w:val="22"/>
          <w:szCs w:val="22"/>
        </w:rPr>
        <w:t xml:space="preserve">The core guide is structured around the ADU lifecycle — the actual sequence of decisions and milestones a homeowner faces from first consideration through tenant move-in. Each chapter maps to a phase of the project, with clear deliverables, decision frameworks, and downloadable tools.</w:t>
      </w:r>
    </w:p>
    <w:p>
      <w:pPr>
        <w:pStyle w:val="Heading2"/>
        <w:pBdr>
          <w:bottom w:val="single" w:color="2A7F62" w:sz="2" w:space="4"/>
        </w:pBdr>
        <w:spacing w:before="300" w:after="160"/>
      </w:pPr>
      <w:r>
        <w:rPr>
          <w:rFonts w:ascii="Georgia" w:cs="Georgia" w:eastAsia="Georgia" w:hAnsi="Georgia"/>
          <w:b/>
          <w:bCs/>
          <w:color w:val="2A7F62"/>
          <w:sz w:val="32"/>
          <w:szCs w:val="32"/>
        </w:rPr>
        <w:t xml:space="preserve">Part I: Should You Build an ADU?</w:t>
      </w:r>
    </w:p>
    <w:p>
      <w:pPr>
        <w:spacing w:before="240" w:after="120"/>
      </w:pPr>
      <w:r>
        <w:rPr>
          <w:rFonts w:ascii="Georgia" w:cs="Georgia" w:eastAsia="Georgia" w:hAnsi="Georgia"/>
          <w:b/>
          <w:bCs/>
          <w:color w:val="1B2A4A"/>
          <w:sz w:val="26"/>
          <w:szCs w:val="26"/>
        </w:rPr>
        <w:t xml:space="preserve">Chapter 1 — The ADU Landscape in 2025–2026</w:t>
      </w:r>
    </w:p>
    <w:p>
      <w:pPr>
        <w:pStyle w:val="ListParagraph"/>
        <w:numPr>
          <w:ilvl w:val="0"/>
          <w:numId w:val="2"/>
        </w:numPr>
        <w:spacing w:after="80" w:line="280"/>
      </w:pPr>
      <w:r>
        <w:rPr>
          <w:rFonts w:ascii="Calibri" w:cs="Calibri" w:eastAsia="Calibri" w:hAnsi="Calibri"/>
          <w:color w:val="2D3748"/>
          <w:sz w:val="22"/>
          <w:szCs w:val="22"/>
        </w:rPr>
        <w:t xml:space="preserve">What is an ADU and why are 49% of homeowners exploring them</w:t>
      </w:r>
    </w:p>
    <w:p>
      <w:pPr>
        <w:pStyle w:val="ListParagraph"/>
        <w:numPr>
          <w:ilvl w:val="0"/>
          <w:numId w:val="2"/>
        </w:numPr>
        <w:spacing w:after="80" w:line="280"/>
      </w:pPr>
      <w:r>
        <w:rPr>
          <w:rFonts w:ascii="Calibri" w:cs="Calibri" w:eastAsia="Calibri" w:hAnsi="Calibri"/>
          <w:color w:val="2D3748"/>
          <w:sz w:val="22"/>
          <w:szCs w:val="22"/>
        </w:rPr>
        <w:t xml:space="preserve">The four ADU types: detached, attached, garage conversion, internal conversion (JADU)</w:t>
      </w:r>
    </w:p>
    <w:p>
      <w:pPr>
        <w:pStyle w:val="ListParagraph"/>
        <w:numPr>
          <w:ilvl w:val="0"/>
          <w:numId w:val="2"/>
        </w:numPr>
        <w:spacing w:after="80" w:line="280"/>
      </w:pPr>
      <w:r>
        <w:rPr>
          <w:rFonts w:ascii="Calibri" w:cs="Calibri" w:eastAsia="Calibri" w:hAnsi="Calibri"/>
          <w:color w:val="2D3748"/>
          <w:sz w:val="22"/>
          <w:szCs w:val="22"/>
        </w:rPr>
        <w:t xml:space="preserve">Market snapshot: construction costs by type and region ($100K–$400K+ ranges)</w:t>
      </w:r>
    </w:p>
    <w:p>
      <w:pPr>
        <w:pStyle w:val="ListParagraph"/>
        <w:numPr>
          <w:ilvl w:val="0"/>
          <w:numId w:val="2"/>
        </w:numPr>
        <w:spacing w:after="80" w:line="280"/>
      </w:pPr>
      <w:r>
        <w:rPr>
          <w:rFonts w:ascii="Calibri" w:cs="Calibri" w:eastAsia="Calibri" w:hAnsi="Calibri"/>
          <w:color w:val="2D3748"/>
          <w:sz w:val="22"/>
          <w:szCs w:val="22"/>
        </w:rPr>
        <w:t xml:space="preserve">The legislative revolution: how 26+ states have rewritten the rules since 2020</w:t>
      </w:r>
    </w:p>
    <w:p>
      <w:pPr>
        <w:pStyle w:val="ListParagraph"/>
        <w:numPr>
          <w:ilvl w:val="0"/>
          <w:numId w:val="2"/>
        </w:numPr>
        <w:spacing w:after="80" w:line="280"/>
      </w:pPr>
      <w:r>
        <w:rPr>
          <w:rFonts w:ascii="Calibri" w:cs="Calibri" w:eastAsia="Calibri" w:hAnsi="Calibri"/>
          <w:color w:val="2D3748"/>
          <w:sz w:val="22"/>
          <w:szCs w:val="22"/>
        </w:rPr>
        <w:t xml:space="preserve">Who this guide is for (and who it’s not for)</w:t>
      </w:r>
    </w:p>
    <w:p>
      <w:pPr>
        <w:spacing w:after="160" w:line="300"/>
      </w:pPr>
      <w:r>
        <w:rPr>
          <w:rFonts w:ascii="Calibri" w:cs="Calibri" w:eastAsia="Calibri" w:hAnsi="Calibri"/>
          <w:i/>
          <w:iCs/>
          <w:color w:val="4A5568"/>
          <w:sz w:val="22"/>
          <w:szCs w:val="22"/>
        </w:rPr>
        <w:t xml:space="preserve">Estimated length: </w:t>
      </w:r>
      <w:r>
        <w:rPr>
          <w:rFonts w:ascii="Calibri" w:cs="Calibri" w:eastAsia="Calibri" w:hAnsi="Calibri"/>
          <w:i/>
          <w:iCs/>
          <w:color w:val="4A5568"/>
          <w:sz w:val="22"/>
          <w:szCs w:val="22"/>
        </w:rPr>
        <w:t xml:space="preserve">15–20 pages. Sets context and manages expectations before any money is spent.</w:t>
      </w:r>
    </w:p>
    <w:p>
      <w:pPr>
        <w:spacing w:before="240" w:after="120"/>
      </w:pPr>
      <w:r>
        <w:rPr>
          <w:rFonts w:ascii="Georgia" w:cs="Georgia" w:eastAsia="Georgia" w:hAnsi="Georgia"/>
          <w:b/>
          <w:bCs/>
          <w:color w:val="1B2A4A"/>
          <w:sz w:val="26"/>
          <w:szCs w:val="26"/>
        </w:rPr>
        <w:t xml:space="preserve">Chapter 2 — Feasibility Assessment: Can Your Property Support an ADU?</w:t>
      </w:r>
    </w:p>
    <w:p>
      <w:pPr>
        <w:pStyle w:val="ListParagraph"/>
        <w:numPr>
          <w:ilvl w:val="0"/>
          <w:numId w:val="2"/>
        </w:numPr>
        <w:spacing w:after="80" w:line="280"/>
      </w:pPr>
      <w:r>
        <w:rPr>
          <w:rFonts w:ascii="Calibri" w:cs="Calibri" w:eastAsia="Calibri" w:hAnsi="Calibri"/>
          <w:color w:val="2D3748"/>
          <w:sz w:val="22"/>
          <w:szCs w:val="22"/>
        </w:rPr>
        <w:t xml:space="preserve">Zoning verification: how to read your jurisdiction’s ADU ordinance (with annotated examples)</w:t>
      </w:r>
    </w:p>
    <w:p>
      <w:pPr>
        <w:pStyle w:val="ListParagraph"/>
        <w:numPr>
          <w:ilvl w:val="0"/>
          <w:numId w:val="2"/>
        </w:numPr>
        <w:spacing w:after="80" w:line="280"/>
      </w:pPr>
      <w:r>
        <w:rPr>
          <w:rFonts w:ascii="Calibri" w:cs="Calibri" w:eastAsia="Calibri" w:hAnsi="Calibri"/>
          <w:color w:val="2D3748"/>
          <w:sz w:val="22"/>
          <w:szCs w:val="22"/>
        </w:rPr>
        <w:t xml:space="preserve">Lot coverage, setback, and height requirements — the three constraints that kill most projects</w:t>
      </w:r>
    </w:p>
    <w:p>
      <w:pPr>
        <w:pStyle w:val="ListParagraph"/>
        <w:numPr>
          <w:ilvl w:val="0"/>
          <w:numId w:val="2"/>
        </w:numPr>
        <w:spacing w:after="80" w:line="280"/>
      </w:pPr>
      <w:r>
        <w:rPr>
          <w:rFonts w:ascii="Calibri" w:cs="Calibri" w:eastAsia="Calibri" w:hAnsi="Calibri"/>
          <w:color w:val="2D3748"/>
          <w:sz w:val="22"/>
          <w:szCs w:val="22"/>
        </w:rPr>
        <w:t xml:space="preserve">Utility infrastructure: sewer/septic capacity, electrical panel upgrades, water meter requirements</w:t>
      </w:r>
    </w:p>
    <w:p>
      <w:pPr>
        <w:pStyle w:val="ListParagraph"/>
        <w:numPr>
          <w:ilvl w:val="0"/>
          <w:numId w:val="2"/>
        </w:numPr>
        <w:spacing w:after="80" w:line="280"/>
      </w:pPr>
      <w:r>
        <w:rPr>
          <w:rFonts w:ascii="Calibri" w:cs="Calibri" w:eastAsia="Calibri" w:hAnsi="Calibri"/>
          <w:color w:val="2D3748"/>
          <w:sz w:val="22"/>
          <w:szCs w:val="22"/>
        </w:rPr>
        <w:t xml:space="preserve">HOA and CC&amp;R restrictions (and when state law overrides them)</w:t>
      </w:r>
    </w:p>
    <w:p>
      <w:pPr>
        <w:pStyle w:val="ListParagraph"/>
        <w:numPr>
          <w:ilvl w:val="0"/>
          <w:numId w:val="2"/>
        </w:numPr>
        <w:spacing w:after="80" w:line="280"/>
      </w:pPr>
      <w:r>
        <w:rPr>
          <w:rFonts w:ascii="Calibri" w:cs="Calibri" w:eastAsia="Calibri" w:hAnsi="Calibri"/>
          <w:color w:val="2D3748"/>
          <w:sz w:val="22"/>
          <w:szCs w:val="22"/>
        </w:rPr>
        <w:t xml:space="preserve">Environmental and historic district overlays</w:t>
      </w:r>
    </w:p>
    <w:p>
      <w:pPr>
        <w:pStyle w:val="ListParagraph"/>
        <w:numPr>
          <w:ilvl w:val="0"/>
          <w:numId w:val="2"/>
        </w:numPr>
        <w:spacing w:after="80" w:line="280"/>
      </w:pPr>
      <w:r>
        <w:rPr>
          <w:rFonts w:ascii="Calibri" w:cs="Calibri" w:eastAsia="Calibri" w:hAnsi="Calibri"/>
          <w:color w:val="2D3748"/>
          <w:sz w:val="22"/>
          <w:szCs w:val="22"/>
        </w:rPr>
        <w:t xml:space="preserve">The 30-minute DIY site assessment checklist</w:t>
      </w:r>
    </w:p>
    <w:p>
      <w:pPr>
        <w:spacing w:after="160" w:line="300"/>
      </w:pPr>
      <w:r>
        <w:rPr>
          <w:rFonts w:ascii="Calibri" w:cs="Calibri" w:eastAsia="Calibri" w:hAnsi="Calibri"/>
          <w:b/>
          <w:bCs/>
          <w:color w:val="2A7F62"/>
          <w:sz w:val="22"/>
          <w:szCs w:val="22"/>
        </w:rPr>
        <w:t xml:space="preserve">Deliverable: </w:t>
      </w:r>
      <w:r>
        <w:rPr>
          <w:rFonts w:ascii="Calibri" w:cs="Calibri" w:eastAsia="Calibri" w:hAnsi="Calibri"/>
          <w:color w:val="2D3748"/>
          <w:sz w:val="22"/>
          <w:szCs w:val="22"/>
        </w:rPr>
        <w:t xml:space="preserve">Downloadable Property Feasibility Scorecard (fillable PDF)</w:t>
      </w:r>
    </w:p>
    <w:p>
      <w:pPr>
        <w:spacing w:before="240" w:after="120"/>
      </w:pPr>
      <w:r>
        <w:rPr>
          <w:rFonts w:ascii="Georgia" w:cs="Georgia" w:eastAsia="Georgia" w:hAnsi="Georgia"/>
          <w:b/>
          <w:bCs/>
          <w:color w:val="1B2A4A"/>
          <w:sz w:val="26"/>
          <w:szCs w:val="26"/>
        </w:rPr>
        <w:t xml:space="preserve">Chapter 3 — The Financial Case: ROI, Rental Income, and Property Value</w:t>
      </w:r>
    </w:p>
    <w:p>
      <w:pPr>
        <w:pStyle w:val="ListParagraph"/>
        <w:numPr>
          <w:ilvl w:val="0"/>
          <w:numId w:val="2"/>
        </w:numPr>
        <w:spacing w:after="80" w:line="280"/>
      </w:pPr>
      <w:r>
        <w:rPr>
          <w:rFonts w:ascii="Calibri" w:cs="Calibri" w:eastAsia="Calibri" w:hAnsi="Calibri"/>
          <w:color w:val="2D3748"/>
          <w:sz w:val="22"/>
          <w:szCs w:val="22"/>
        </w:rPr>
        <w:t xml:space="preserve">Rental income projections by market (using real Zillow/Rentometer data methodology)</w:t>
      </w:r>
    </w:p>
    <w:p>
      <w:pPr>
        <w:pStyle w:val="ListParagraph"/>
        <w:numPr>
          <w:ilvl w:val="0"/>
          <w:numId w:val="2"/>
        </w:numPr>
        <w:spacing w:after="80" w:line="280"/>
      </w:pPr>
      <w:r>
        <w:rPr>
          <w:rFonts w:ascii="Calibri" w:cs="Calibri" w:eastAsia="Calibri" w:hAnsi="Calibri"/>
          <w:color w:val="2D3748"/>
          <w:sz w:val="22"/>
          <w:szCs w:val="22"/>
        </w:rPr>
        <w:t xml:space="preserve">Property value impact: the 9.34% annualized growth premium in California</w:t>
      </w:r>
    </w:p>
    <w:p>
      <w:pPr>
        <w:pStyle w:val="ListParagraph"/>
        <w:numPr>
          <w:ilvl w:val="0"/>
          <w:numId w:val="2"/>
        </w:numPr>
        <w:spacing w:after="80" w:line="280"/>
      </w:pPr>
      <w:r>
        <w:rPr>
          <w:rFonts w:ascii="Calibri" w:cs="Calibri" w:eastAsia="Calibri" w:hAnsi="Calibri"/>
          <w:color w:val="2D3748"/>
          <w:sz w:val="22"/>
          <w:szCs w:val="22"/>
        </w:rPr>
        <w:t xml:space="preserve">Multigenerational value: quantifying avoided assisted living and childcare costs</w:t>
      </w:r>
    </w:p>
    <w:p>
      <w:pPr>
        <w:pStyle w:val="ListParagraph"/>
        <w:numPr>
          <w:ilvl w:val="0"/>
          <w:numId w:val="2"/>
        </w:numPr>
        <w:spacing w:after="80" w:line="280"/>
      </w:pPr>
      <w:r>
        <w:rPr>
          <w:rFonts w:ascii="Calibri" w:cs="Calibri" w:eastAsia="Calibri" w:hAnsi="Calibri"/>
          <w:color w:val="2D3748"/>
          <w:sz w:val="22"/>
          <w:szCs w:val="22"/>
        </w:rPr>
        <w:t xml:space="preserve">Tax implications: depreciation, rental income reporting, capital gains on sale</w:t>
      </w:r>
    </w:p>
    <w:p>
      <w:pPr>
        <w:pStyle w:val="ListParagraph"/>
        <w:numPr>
          <w:ilvl w:val="0"/>
          <w:numId w:val="2"/>
        </w:numPr>
        <w:spacing w:after="80" w:line="280"/>
      </w:pPr>
      <w:r>
        <w:rPr>
          <w:rFonts w:ascii="Calibri" w:cs="Calibri" w:eastAsia="Calibri" w:hAnsi="Calibri"/>
          <w:color w:val="2D3748"/>
          <w:sz w:val="22"/>
          <w:szCs w:val="22"/>
        </w:rPr>
        <w:t xml:space="preserve">The break-even analysis framework: when does your ADU pay for itself?</w:t>
      </w:r>
    </w:p>
    <w:p>
      <w:pPr>
        <w:spacing w:after="160" w:line="300"/>
      </w:pPr>
      <w:r>
        <w:rPr>
          <w:rFonts w:ascii="Calibri" w:cs="Calibri" w:eastAsia="Calibri" w:hAnsi="Calibri"/>
          <w:b/>
          <w:bCs/>
          <w:color w:val="2A7F62"/>
          <w:sz w:val="22"/>
          <w:szCs w:val="22"/>
        </w:rPr>
        <w:t xml:space="preserve">Deliverable: </w:t>
      </w:r>
      <w:r>
        <w:rPr>
          <w:rFonts w:ascii="Calibri" w:cs="Calibri" w:eastAsia="Calibri" w:hAnsi="Calibri"/>
          <w:color w:val="2D3748"/>
          <w:sz w:val="22"/>
          <w:szCs w:val="22"/>
        </w:rPr>
        <w:t xml:space="preserve">ROI &amp; Rental Income Calculator (Excel/Google Sheets) — Complete tier only</w:t>
      </w:r>
    </w:p>
    <w:p>
      <w:pPr>
        <w:pStyle w:val="Heading2"/>
        <w:pBdr>
          <w:bottom w:val="single" w:color="2A7F62" w:sz="2" w:space="4"/>
        </w:pBdr>
        <w:spacing w:before="300" w:after="160"/>
      </w:pPr>
      <w:r>
        <w:rPr>
          <w:rFonts w:ascii="Georgia" w:cs="Georgia" w:eastAsia="Georgia" w:hAnsi="Georgia"/>
          <w:b/>
          <w:bCs/>
          <w:color w:val="2A7F62"/>
          <w:sz w:val="32"/>
          <w:szCs w:val="32"/>
        </w:rPr>
        <w:t xml:space="preserve">Part II: Design and Planning</w:t>
      </w:r>
    </w:p>
    <w:p>
      <w:pPr>
        <w:spacing w:before="240" w:after="120"/>
      </w:pPr>
      <w:r>
        <w:rPr>
          <w:rFonts w:ascii="Georgia" w:cs="Georgia" w:eastAsia="Georgia" w:hAnsi="Georgia"/>
          <w:b/>
          <w:bCs/>
          <w:color w:val="1B2A4A"/>
          <w:sz w:val="26"/>
          <w:szCs w:val="26"/>
        </w:rPr>
        <w:t xml:space="preserve">Chapter 4 — ADU Design Fundamentals</w:t>
      </w:r>
    </w:p>
    <w:p>
      <w:pPr>
        <w:pStyle w:val="ListParagraph"/>
        <w:numPr>
          <w:ilvl w:val="0"/>
          <w:numId w:val="2"/>
        </w:numPr>
        <w:spacing w:after="80" w:line="280"/>
      </w:pPr>
      <w:r>
        <w:rPr>
          <w:rFonts w:ascii="Calibri" w:cs="Calibri" w:eastAsia="Calibri" w:hAnsi="Calibri"/>
          <w:color w:val="2D3748"/>
          <w:sz w:val="22"/>
          <w:szCs w:val="22"/>
        </w:rPr>
        <w:t xml:space="preserve">Choosing your ADU type based on lot constraints, budget, and use case</w:t>
      </w:r>
    </w:p>
    <w:p>
      <w:pPr>
        <w:pStyle w:val="ListParagraph"/>
        <w:numPr>
          <w:ilvl w:val="0"/>
          <w:numId w:val="2"/>
        </w:numPr>
        <w:spacing w:after="80" w:line="280"/>
      </w:pPr>
      <w:r>
        <w:rPr>
          <w:rFonts w:ascii="Calibri" w:cs="Calibri" w:eastAsia="Calibri" w:hAnsi="Calibri"/>
          <w:color w:val="2D3748"/>
          <w:sz w:val="22"/>
          <w:szCs w:val="22"/>
        </w:rPr>
        <w:t xml:space="preserve">Size optimization: why 600–800 sq ft is the sweet spot for most projects</w:t>
      </w:r>
    </w:p>
    <w:p>
      <w:pPr>
        <w:pStyle w:val="ListParagraph"/>
        <w:numPr>
          <w:ilvl w:val="0"/>
          <w:numId w:val="2"/>
        </w:numPr>
        <w:spacing w:after="80" w:line="280"/>
      </w:pPr>
      <w:r>
        <w:rPr>
          <w:rFonts w:ascii="Calibri" w:cs="Calibri" w:eastAsia="Calibri" w:hAnsi="Calibri"/>
          <w:color w:val="2D3748"/>
          <w:sz w:val="22"/>
          <w:szCs w:val="22"/>
        </w:rPr>
        <w:t xml:space="preserve">Universal design principles for aging-in-place flexibility</w:t>
      </w:r>
    </w:p>
    <w:p>
      <w:pPr>
        <w:pStyle w:val="ListParagraph"/>
        <w:numPr>
          <w:ilvl w:val="0"/>
          <w:numId w:val="2"/>
        </w:numPr>
        <w:spacing w:after="80" w:line="280"/>
      </w:pPr>
      <w:r>
        <w:rPr>
          <w:rFonts w:ascii="Calibri" w:cs="Calibri" w:eastAsia="Calibri" w:hAnsi="Calibri"/>
          <w:color w:val="2D3748"/>
          <w:sz w:val="22"/>
          <w:szCs w:val="22"/>
        </w:rPr>
        <w:t xml:space="preserve">Pre-approved vs. custom plans: cost, timeline, and quality tradeoffs</w:t>
      </w:r>
    </w:p>
    <w:p>
      <w:pPr>
        <w:pStyle w:val="ListParagraph"/>
        <w:numPr>
          <w:ilvl w:val="0"/>
          <w:numId w:val="2"/>
        </w:numPr>
        <w:spacing w:after="80" w:line="280"/>
      </w:pPr>
      <w:r>
        <w:rPr>
          <w:rFonts w:ascii="Calibri" w:cs="Calibri" w:eastAsia="Calibri" w:hAnsi="Calibri"/>
          <w:color w:val="2D3748"/>
          <w:sz w:val="22"/>
          <w:szCs w:val="22"/>
        </w:rPr>
        <w:t xml:space="preserve">Working with architects and designers: scope, fees, and what to expect</w:t>
      </w:r>
    </w:p>
    <w:p>
      <w:pPr>
        <w:pStyle w:val="ListParagraph"/>
        <w:numPr>
          <w:ilvl w:val="0"/>
          <w:numId w:val="2"/>
        </w:numPr>
        <w:spacing w:after="80" w:line="280"/>
      </w:pPr>
      <w:r>
        <w:rPr>
          <w:rFonts w:ascii="Calibri" w:cs="Calibri" w:eastAsia="Calibri" w:hAnsi="Calibri"/>
          <w:color w:val="2D3748"/>
          <w:sz w:val="22"/>
          <w:szCs w:val="22"/>
        </w:rPr>
        <w:t xml:space="preserve">Common design mistakes that blow budgets (and how to avoid them)</w:t>
      </w:r>
    </w:p>
    <w:p>
      <w:pPr>
        <w:spacing w:after="160" w:line="300"/>
      </w:pPr>
      <w:r>
        <w:rPr>
          <w:rFonts w:ascii="Calibri" w:cs="Calibri" w:eastAsia="Calibri" w:hAnsi="Calibri"/>
          <w:b/>
          <w:bCs/>
          <w:color w:val="2A7F62"/>
          <w:sz w:val="22"/>
          <w:szCs w:val="22"/>
        </w:rPr>
        <w:t xml:space="preserve">Deliverable: </w:t>
      </w:r>
      <w:r>
        <w:rPr>
          <w:rFonts w:ascii="Calibri" w:cs="Calibri" w:eastAsia="Calibri" w:hAnsi="Calibri"/>
          <w:color w:val="2D3748"/>
          <w:sz w:val="22"/>
          <w:szCs w:val="22"/>
        </w:rPr>
        <w:t xml:space="preserve">Design Decision Matrix (comparing ADU types across 12 criteria)</w:t>
      </w:r>
    </w:p>
    <w:p>
      <w:pPr>
        <w:spacing w:before="240" w:after="120"/>
      </w:pPr>
      <w:r>
        <w:rPr>
          <w:rFonts w:ascii="Georgia" w:cs="Georgia" w:eastAsia="Georgia" w:hAnsi="Georgia"/>
          <w:b/>
          <w:bCs/>
          <w:color w:val="1B2A4A"/>
          <w:sz w:val="26"/>
          <w:szCs w:val="26"/>
        </w:rPr>
        <w:t xml:space="preserve">Chapter 5 — Your State’s ADU Rules: A Regulatory Reference</w:t>
      </w:r>
    </w:p>
    <w:p>
      <w:pPr>
        <w:pStyle w:val="ListParagraph"/>
        <w:numPr>
          <w:ilvl w:val="0"/>
          <w:numId w:val="2"/>
        </w:numPr>
        <w:spacing w:after="80" w:line="280"/>
      </w:pPr>
      <w:r>
        <w:rPr>
          <w:rFonts w:ascii="Calibri" w:cs="Calibri" w:eastAsia="Calibri" w:hAnsi="Calibri"/>
          <w:color w:val="2D3748"/>
          <w:sz w:val="22"/>
          <w:szCs w:val="22"/>
        </w:rPr>
        <w:t xml:space="preserve">How to read this chapter: a consistent framework applied to each state</w:t>
      </w:r>
    </w:p>
    <w:p>
      <w:pPr>
        <w:pStyle w:val="ListParagraph"/>
        <w:numPr>
          <w:ilvl w:val="0"/>
          <w:numId w:val="2"/>
        </w:numPr>
        <w:spacing w:after="80" w:line="280"/>
      </w:pPr>
      <w:r>
        <w:rPr>
          <w:rFonts w:ascii="Calibri" w:cs="Calibri" w:eastAsia="Calibri" w:hAnsi="Calibri"/>
          <w:color w:val="2D3748"/>
          <w:sz w:val="22"/>
          <w:szCs w:val="22"/>
        </w:rPr>
        <w:t xml:space="preserve">State-by-state coverage: enabling legislation, key provisions, local override rules</w:t>
      </w:r>
    </w:p>
    <w:p>
      <w:pPr>
        <w:pStyle w:val="ListParagraph"/>
        <w:numPr>
          <w:ilvl w:val="0"/>
          <w:numId w:val="2"/>
        </w:numPr>
        <w:spacing w:after="80" w:line="280"/>
      </w:pPr>
      <w:r>
        <w:rPr>
          <w:rFonts w:ascii="Calibri" w:cs="Calibri" w:eastAsia="Calibri" w:hAnsi="Calibri"/>
          <w:color w:val="2D3748"/>
          <w:sz w:val="22"/>
          <w:szCs w:val="22"/>
        </w:rPr>
        <w:t xml:space="preserve">City-level highlights for the top 25 ADU markets</w:t>
      </w:r>
    </w:p>
    <w:p>
      <w:pPr>
        <w:pStyle w:val="ListParagraph"/>
        <w:numPr>
          <w:ilvl w:val="0"/>
          <w:numId w:val="2"/>
        </w:numPr>
        <w:spacing w:after="80" w:line="280"/>
      </w:pPr>
      <w:r>
        <w:rPr>
          <w:rFonts w:ascii="Calibri" w:cs="Calibri" w:eastAsia="Calibri" w:hAnsi="Calibri"/>
          <w:color w:val="2D3748"/>
          <w:sz w:val="22"/>
          <w:szCs w:val="22"/>
        </w:rPr>
        <w:t xml:space="preserve">The “regulation change tracker” — how to stay current when laws evolve</w:t>
      </w:r>
    </w:p>
    <w:p>
      <w:pPr>
        <w:spacing w:after="160" w:line="300"/>
      </w:pPr>
      <w:r>
        <w:rPr>
          <w:rFonts w:ascii="Calibri" w:cs="Calibri" w:eastAsia="Calibri" w:hAnsi="Calibri"/>
          <w:b/>
          <w:bCs/>
          <w:color w:val="2A7F62"/>
          <w:sz w:val="22"/>
          <w:szCs w:val="22"/>
        </w:rPr>
        <w:t xml:space="preserve">Tier coverage: </w:t>
      </w:r>
      <w:r>
        <w:rPr>
          <w:rFonts w:ascii="Calibri" w:cs="Calibri" w:eastAsia="Calibri" w:hAnsi="Calibri"/>
          <w:color w:val="2D3748"/>
          <w:sz w:val="22"/>
          <w:szCs w:val="22"/>
        </w:rPr>
        <w:t xml:space="preserve">Foundation = CA, WA, OR, MA, CO. Builder = adds TX, FL, AZ, HI, VT, MN, MT, UT, CT, ME. Complete = all 26+ states with active legislation.</w:t>
      </w:r>
    </w:p>
    <w:p>
      <w:pPr>
        <w:pStyle w:val="Heading2"/>
        <w:pBdr>
          <w:bottom w:val="single" w:color="2A7F62" w:sz="2" w:space="4"/>
        </w:pBdr>
        <w:spacing w:before="300" w:after="160"/>
      </w:pPr>
      <w:r>
        <w:rPr>
          <w:rFonts w:ascii="Georgia" w:cs="Georgia" w:eastAsia="Georgia" w:hAnsi="Georgia"/>
          <w:b/>
          <w:bCs/>
          <w:color w:val="2A7F62"/>
          <w:sz w:val="32"/>
          <w:szCs w:val="32"/>
        </w:rPr>
        <w:t xml:space="preserve">Part III: Financing Your ADU</w:t>
      </w:r>
    </w:p>
    <w:p>
      <w:pPr>
        <w:spacing w:before="240" w:after="120"/>
      </w:pPr>
      <w:r>
        <w:rPr>
          <w:rFonts w:ascii="Georgia" w:cs="Georgia" w:eastAsia="Georgia" w:hAnsi="Georgia"/>
          <w:b/>
          <w:bCs/>
          <w:color w:val="1B2A4A"/>
          <w:sz w:val="26"/>
          <w:szCs w:val="26"/>
        </w:rPr>
        <w:t xml:space="preserve">Chapter 6 — Financing Options Compared</w:t>
      </w:r>
    </w:p>
    <w:p>
      <w:pPr>
        <w:pStyle w:val="ListParagraph"/>
        <w:numPr>
          <w:ilvl w:val="0"/>
          <w:numId w:val="2"/>
        </w:numPr>
        <w:spacing w:after="80" w:line="280"/>
      </w:pPr>
      <w:r>
        <w:rPr>
          <w:rFonts w:ascii="Calibri" w:cs="Calibri" w:eastAsia="Calibri" w:hAnsi="Calibri"/>
          <w:color w:val="2D3748"/>
          <w:sz w:val="22"/>
          <w:szCs w:val="22"/>
        </w:rPr>
        <w:t xml:space="preserve">HELOCs and home equity loans: the most common path and its risks</w:t>
      </w:r>
    </w:p>
    <w:p>
      <w:pPr>
        <w:pStyle w:val="ListParagraph"/>
        <w:numPr>
          <w:ilvl w:val="0"/>
          <w:numId w:val="2"/>
        </w:numPr>
        <w:spacing w:after="80" w:line="280"/>
      </w:pPr>
      <w:r>
        <w:rPr>
          <w:rFonts w:ascii="Calibri" w:cs="Calibri" w:eastAsia="Calibri" w:hAnsi="Calibri"/>
          <w:color w:val="2D3748"/>
          <w:sz w:val="22"/>
          <w:szCs w:val="22"/>
        </w:rPr>
        <w:t xml:space="preserve">Construction loans: how they work, who qualifies, and the draw schedule process</w:t>
      </w:r>
    </w:p>
    <w:p>
      <w:pPr>
        <w:pStyle w:val="ListParagraph"/>
        <w:numPr>
          <w:ilvl w:val="0"/>
          <w:numId w:val="2"/>
        </w:numPr>
        <w:spacing w:after="80" w:line="280"/>
      </w:pPr>
      <w:r>
        <w:rPr>
          <w:rFonts w:ascii="Calibri" w:cs="Calibri" w:eastAsia="Calibri" w:hAnsi="Calibri"/>
          <w:color w:val="2D3748"/>
          <w:sz w:val="22"/>
          <w:szCs w:val="22"/>
        </w:rPr>
        <w:t xml:space="preserve">Fannie Mae HomeStyle Renovation loans</w:t>
      </w:r>
    </w:p>
    <w:p>
      <w:pPr>
        <w:pStyle w:val="ListParagraph"/>
        <w:numPr>
          <w:ilvl w:val="0"/>
          <w:numId w:val="2"/>
        </w:numPr>
        <w:spacing w:after="80" w:line="280"/>
      </w:pPr>
      <w:r>
        <w:rPr>
          <w:rFonts w:ascii="Calibri" w:cs="Calibri" w:eastAsia="Calibri" w:hAnsi="Calibri"/>
          <w:color w:val="2D3748"/>
          <w:sz w:val="22"/>
          <w:szCs w:val="22"/>
        </w:rPr>
        <w:t xml:space="preserve">FHA 203(k) for ADU conversions</w:t>
      </w:r>
    </w:p>
    <w:p>
      <w:pPr>
        <w:pStyle w:val="ListParagraph"/>
        <w:numPr>
          <w:ilvl w:val="0"/>
          <w:numId w:val="2"/>
        </w:numPr>
        <w:spacing w:after="80" w:line="280"/>
      </w:pPr>
      <w:r>
        <w:rPr>
          <w:rFonts w:ascii="Calibri" w:cs="Calibri" w:eastAsia="Calibri" w:hAnsi="Calibri"/>
          <w:color w:val="2D3748"/>
          <w:sz w:val="22"/>
          <w:szCs w:val="22"/>
        </w:rPr>
        <w:t xml:space="preserve">State and local programs: CalHFA’s $40K ADU grant, Massachusetts programs, etc.</w:t>
      </w:r>
    </w:p>
    <w:p>
      <w:pPr>
        <w:pStyle w:val="ListParagraph"/>
        <w:numPr>
          <w:ilvl w:val="0"/>
          <w:numId w:val="2"/>
        </w:numPr>
        <w:spacing w:after="80" w:line="280"/>
      </w:pPr>
      <w:r>
        <w:rPr>
          <w:rFonts w:ascii="Calibri" w:cs="Calibri" w:eastAsia="Calibri" w:hAnsi="Calibri"/>
          <w:color w:val="2D3748"/>
          <w:sz w:val="22"/>
          <w:szCs w:val="22"/>
        </w:rPr>
        <w:t xml:space="preserve">Cash-out refinance strategies</w:t>
      </w:r>
    </w:p>
    <w:p>
      <w:pPr>
        <w:pStyle w:val="ListParagraph"/>
        <w:numPr>
          <w:ilvl w:val="0"/>
          <w:numId w:val="2"/>
        </w:numPr>
        <w:spacing w:after="80" w:line="280"/>
      </w:pPr>
      <w:r>
        <w:rPr>
          <w:rFonts w:ascii="Calibri" w:cs="Calibri" w:eastAsia="Calibri" w:hAnsi="Calibri"/>
          <w:color w:val="2D3748"/>
          <w:sz w:val="22"/>
          <w:szCs w:val="22"/>
        </w:rPr>
        <w:t xml:space="preserve">Creative financing: ADU-specific lenders, shared equity models, family loans</w:t>
      </w:r>
    </w:p>
    <w:p>
      <w:pPr>
        <w:pStyle w:val="ListParagraph"/>
        <w:numPr>
          <w:ilvl w:val="0"/>
          <w:numId w:val="2"/>
        </w:numPr>
        <w:spacing w:after="80" w:line="280"/>
      </w:pPr>
      <w:r>
        <w:rPr>
          <w:rFonts w:ascii="Calibri" w:cs="Calibri" w:eastAsia="Calibri" w:hAnsi="Calibri"/>
          <w:color w:val="2D3748"/>
          <w:sz w:val="22"/>
          <w:szCs w:val="22"/>
        </w:rPr>
        <w:t xml:space="preserve">Side-by-side comparison matrix with rates, terms, qualification requirements, and pros/cons</w:t>
      </w:r>
    </w:p>
    <w:p>
      <w:pPr>
        <w:spacing w:after="160" w:line="300"/>
      </w:pPr>
      <w:r>
        <w:rPr>
          <w:rFonts w:ascii="Calibri" w:cs="Calibri" w:eastAsia="Calibri" w:hAnsi="Calibri"/>
          <w:b/>
          <w:bCs/>
          <w:color w:val="2A7F62"/>
          <w:sz w:val="22"/>
          <w:szCs w:val="22"/>
        </w:rPr>
        <w:t xml:space="preserve">Deliverable: </w:t>
      </w:r>
      <w:r>
        <w:rPr>
          <w:rFonts w:ascii="Calibri" w:cs="Calibri" w:eastAsia="Calibri" w:hAnsi="Calibri"/>
          <w:color w:val="2D3748"/>
          <w:sz w:val="22"/>
          <w:szCs w:val="22"/>
        </w:rPr>
        <w:t xml:space="preserve">Financing Comparison Matrix (interactive spreadsheet with scenario modeling)</w:t>
      </w:r>
    </w:p>
    <w:p>
      <w:r>
        <w:br w:type="page"/>
      </w:r>
    </w:p>
    <w:p>
      <w:pPr>
        <w:pStyle w:val="Heading2"/>
        <w:pBdr>
          <w:bottom w:val="single" w:color="2A7F62" w:sz="2" w:space="4"/>
        </w:pBdr>
        <w:spacing w:before="300" w:after="160"/>
      </w:pPr>
      <w:r>
        <w:rPr>
          <w:rFonts w:ascii="Georgia" w:cs="Georgia" w:eastAsia="Georgia" w:hAnsi="Georgia"/>
          <w:b/>
          <w:bCs/>
          <w:color w:val="2A7F62"/>
          <w:sz w:val="32"/>
          <w:szCs w:val="32"/>
        </w:rPr>
        <w:t xml:space="preserve">Part IV: Building Your ADU</w:t>
      </w:r>
    </w:p>
    <w:p>
      <w:pPr>
        <w:spacing w:before="240" w:after="120"/>
      </w:pPr>
      <w:r>
        <w:rPr>
          <w:rFonts w:ascii="Georgia" w:cs="Georgia" w:eastAsia="Georgia" w:hAnsi="Georgia"/>
          <w:b/>
          <w:bCs/>
          <w:color w:val="1B2A4A"/>
          <w:sz w:val="26"/>
          <w:szCs w:val="26"/>
        </w:rPr>
        <w:t xml:space="preserve">Chapter 7 — Assembling Your Team: Contractor Selection</w:t>
      </w:r>
    </w:p>
    <w:p>
      <w:pPr>
        <w:pStyle w:val="ListParagraph"/>
        <w:numPr>
          <w:ilvl w:val="0"/>
          <w:numId w:val="2"/>
        </w:numPr>
        <w:spacing w:after="80" w:line="280"/>
      </w:pPr>
      <w:r>
        <w:rPr>
          <w:rFonts w:ascii="Calibri" w:cs="Calibri" w:eastAsia="Calibri" w:hAnsi="Calibri"/>
          <w:color w:val="2D3748"/>
          <w:sz w:val="22"/>
          <w:szCs w:val="22"/>
        </w:rPr>
        <w:t xml:space="preserve">The ADU contractor landscape: GCs, design-build firms, prefab companies, owner-builder</w:t>
      </w:r>
    </w:p>
    <w:p>
      <w:pPr>
        <w:pStyle w:val="ListParagraph"/>
        <w:numPr>
          <w:ilvl w:val="0"/>
          <w:numId w:val="2"/>
        </w:numPr>
        <w:spacing w:after="80" w:line="280"/>
      </w:pPr>
      <w:r>
        <w:rPr>
          <w:rFonts w:ascii="Calibri" w:cs="Calibri" w:eastAsia="Calibri" w:hAnsi="Calibri"/>
          <w:color w:val="2D3748"/>
          <w:sz w:val="22"/>
          <w:szCs w:val="22"/>
        </w:rPr>
        <w:t xml:space="preserve">The 15-question contractor vetting interview (with scoring rubric)</w:t>
      </w:r>
    </w:p>
    <w:p>
      <w:pPr>
        <w:pStyle w:val="ListParagraph"/>
        <w:numPr>
          <w:ilvl w:val="0"/>
          <w:numId w:val="2"/>
        </w:numPr>
        <w:spacing w:after="80" w:line="280"/>
      </w:pPr>
      <w:r>
        <w:rPr>
          <w:rFonts w:ascii="Calibri" w:cs="Calibri" w:eastAsia="Calibri" w:hAnsi="Calibri"/>
          <w:color w:val="2D3748"/>
          <w:sz w:val="22"/>
          <w:szCs w:val="22"/>
        </w:rPr>
        <w:t xml:space="preserve">How to read and compare bids: the line-item breakdown method</w:t>
      </w:r>
    </w:p>
    <w:p>
      <w:pPr>
        <w:pStyle w:val="ListParagraph"/>
        <w:numPr>
          <w:ilvl w:val="0"/>
          <w:numId w:val="2"/>
        </w:numPr>
        <w:spacing w:after="80" w:line="280"/>
      </w:pPr>
      <w:r>
        <w:rPr>
          <w:rFonts w:ascii="Calibri" w:cs="Calibri" w:eastAsia="Calibri" w:hAnsi="Calibri"/>
          <w:color w:val="2D3748"/>
          <w:sz w:val="22"/>
          <w:szCs w:val="22"/>
        </w:rPr>
        <w:t xml:space="preserve">Red flags: 12 warning signs of an underqualified or dishonest contractor</w:t>
      </w:r>
    </w:p>
    <w:p>
      <w:pPr>
        <w:pStyle w:val="ListParagraph"/>
        <w:numPr>
          <w:ilvl w:val="0"/>
          <w:numId w:val="2"/>
        </w:numPr>
        <w:spacing w:after="80" w:line="280"/>
      </w:pPr>
      <w:r>
        <w:rPr>
          <w:rFonts w:ascii="Calibri" w:cs="Calibri" w:eastAsia="Calibri" w:hAnsi="Calibri"/>
          <w:color w:val="2D3748"/>
          <w:sz w:val="22"/>
          <w:szCs w:val="22"/>
        </w:rPr>
        <w:t xml:space="preserve">Contract essentials: fixed-price vs. cost-plus, payment schedules, change order provisions</w:t>
      </w:r>
    </w:p>
    <w:p>
      <w:pPr>
        <w:pStyle w:val="ListParagraph"/>
        <w:numPr>
          <w:ilvl w:val="0"/>
          <w:numId w:val="2"/>
        </w:numPr>
        <w:spacing w:after="80" w:line="280"/>
      </w:pPr>
      <w:r>
        <w:rPr>
          <w:rFonts w:ascii="Calibri" w:cs="Calibri" w:eastAsia="Calibri" w:hAnsi="Calibri"/>
          <w:color w:val="2D3748"/>
          <w:sz w:val="22"/>
          <w:szCs w:val="22"/>
        </w:rPr>
        <w:t xml:space="preserve">Insurance verification: what your contractor must carry and why</w:t>
      </w:r>
    </w:p>
    <w:p>
      <w:pPr>
        <w:spacing w:after="160" w:line="300"/>
      </w:pPr>
      <w:r>
        <w:rPr>
          <w:rFonts w:ascii="Calibri" w:cs="Calibri" w:eastAsia="Calibri" w:hAnsi="Calibri"/>
          <w:b/>
          <w:bCs/>
          <w:color w:val="2A7F62"/>
          <w:sz w:val="22"/>
          <w:szCs w:val="22"/>
        </w:rPr>
        <w:t xml:space="preserve">Deliverables: </w:t>
      </w:r>
      <w:r>
        <w:rPr>
          <w:rFonts w:ascii="Calibri" w:cs="Calibri" w:eastAsia="Calibri" w:hAnsi="Calibri"/>
          <w:color w:val="2D3748"/>
          <w:sz w:val="22"/>
          <w:szCs w:val="22"/>
        </w:rPr>
        <w:t xml:space="preserve">Contractor Vetting Scorecard, Bid Comparison Template, Contract Review Checklist — Builder &amp; Complete tiers</w:t>
      </w:r>
    </w:p>
    <w:p>
      <w:pPr>
        <w:spacing w:before="240" w:after="120"/>
      </w:pPr>
      <w:r>
        <w:rPr>
          <w:rFonts w:ascii="Georgia" w:cs="Georgia" w:eastAsia="Georgia" w:hAnsi="Georgia"/>
          <w:b/>
          <w:bCs/>
          <w:color w:val="1B2A4A"/>
          <w:sz w:val="26"/>
          <w:szCs w:val="26"/>
        </w:rPr>
        <w:t xml:space="preserve">Chapter 8 — The Permit Process Demystified</w:t>
      </w:r>
    </w:p>
    <w:p>
      <w:pPr>
        <w:pStyle w:val="ListParagraph"/>
        <w:numPr>
          <w:ilvl w:val="0"/>
          <w:numId w:val="2"/>
        </w:numPr>
        <w:spacing w:after="80" w:line="280"/>
      </w:pPr>
      <w:r>
        <w:rPr>
          <w:rFonts w:ascii="Calibri" w:cs="Calibri" w:eastAsia="Calibri" w:hAnsi="Calibri"/>
          <w:color w:val="2D3748"/>
          <w:sz w:val="22"/>
          <w:szCs w:val="22"/>
        </w:rPr>
        <w:t xml:space="preserve">The typical ADU permit workflow: pre-application, submittal, review, corrections, approval</w:t>
      </w:r>
    </w:p>
    <w:p>
      <w:pPr>
        <w:pStyle w:val="ListParagraph"/>
        <w:numPr>
          <w:ilvl w:val="0"/>
          <w:numId w:val="2"/>
        </w:numPr>
        <w:spacing w:after="80" w:line="280"/>
      </w:pPr>
      <w:r>
        <w:rPr>
          <w:rFonts w:ascii="Calibri" w:cs="Calibri" w:eastAsia="Calibri" w:hAnsi="Calibri"/>
          <w:color w:val="2D3748"/>
          <w:sz w:val="22"/>
          <w:szCs w:val="22"/>
        </w:rPr>
        <w:t xml:space="preserve">Required documents: site plans, structural engineering, Title 24 energy calcs, soils reports</w:t>
      </w:r>
    </w:p>
    <w:p>
      <w:pPr>
        <w:pStyle w:val="ListParagraph"/>
        <w:numPr>
          <w:ilvl w:val="0"/>
          <w:numId w:val="2"/>
        </w:numPr>
        <w:spacing w:after="80" w:line="280"/>
      </w:pPr>
      <w:r>
        <w:rPr>
          <w:rFonts w:ascii="Calibri" w:cs="Calibri" w:eastAsia="Calibri" w:hAnsi="Calibri"/>
          <w:color w:val="2D3748"/>
          <w:sz w:val="22"/>
          <w:szCs w:val="22"/>
        </w:rPr>
        <w:t xml:space="preserve">Timeline expectations by jurisdiction (6 weeks to 6 months)</w:t>
      </w:r>
    </w:p>
    <w:p>
      <w:pPr>
        <w:pStyle w:val="ListParagraph"/>
        <w:numPr>
          <w:ilvl w:val="0"/>
          <w:numId w:val="2"/>
        </w:numPr>
        <w:spacing w:after="80" w:line="280"/>
      </w:pPr>
      <w:r>
        <w:rPr>
          <w:rFonts w:ascii="Calibri" w:cs="Calibri" w:eastAsia="Calibri" w:hAnsi="Calibri"/>
          <w:color w:val="2D3748"/>
          <w:sz w:val="22"/>
          <w:szCs w:val="22"/>
        </w:rPr>
        <w:t xml:space="preserve">How to communicate with your building department effectively</w:t>
      </w:r>
    </w:p>
    <w:p>
      <w:pPr>
        <w:pStyle w:val="ListParagraph"/>
        <w:numPr>
          <w:ilvl w:val="0"/>
          <w:numId w:val="2"/>
        </w:numPr>
        <w:spacing w:after="80" w:line="280"/>
      </w:pPr>
      <w:r>
        <w:rPr>
          <w:rFonts w:ascii="Calibri" w:cs="Calibri" w:eastAsia="Calibri" w:hAnsi="Calibri"/>
          <w:color w:val="2D3748"/>
          <w:sz w:val="22"/>
          <w:szCs w:val="22"/>
        </w:rPr>
        <w:t xml:space="preserve">Common permit rejection reasons and how to prevent them</w:t>
      </w:r>
    </w:p>
    <w:p>
      <w:pPr>
        <w:pStyle w:val="ListParagraph"/>
        <w:numPr>
          <w:ilvl w:val="0"/>
          <w:numId w:val="2"/>
        </w:numPr>
        <w:spacing w:after="80" w:line="280"/>
      </w:pPr>
      <w:r>
        <w:rPr>
          <w:rFonts w:ascii="Calibri" w:cs="Calibri" w:eastAsia="Calibri" w:hAnsi="Calibri"/>
          <w:color w:val="2D3748"/>
          <w:sz w:val="22"/>
          <w:szCs w:val="22"/>
        </w:rPr>
        <w:t xml:space="preserve">The pre-approved plans shortcut: where it’s available and how much time it saves</w:t>
      </w:r>
    </w:p>
    <w:p>
      <w:pPr>
        <w:spacing w:after="160" w:line="300"/>
      </w:pPr>
      <w:r>
        <w:rPr>
          <w:rFonts w:ascii="Calibri" w:cs="Calibri" w:eastAsia="Calibri" w:hAnsi="Calibri"/>
          <w:b/>
          <w:bCs/>
          <w:color w:val="2A7F62"/>
          <w:sz w:val="22"/>
          <w:szCs w:val="22"/>
        </w:rPr>
        <w:t xml:space="preserve">Deliverable: </w:t>
      </w:r>
      <w:r>
        <w:rPr>
          <w:rFonts w:ascii="Calibri" w:cs="Calibri" w:eastAsia="Calibri" w:hAnsi="Calibri"/>
          <w:color w:val="2D3748"/>
          <w:sz w:val="22"/>
          <w:szCs w:val="22"/>
        </w:rPr>
        <w:t xml:space="preserve">Permit Process Checklists by jurisdiction — Builder (top 5 cities), Complete (top 25)</w:t>
      </w:r>
    </w:p>
    <w:p>
      <w:pPr>
        <w:spacing w:before="240" w:after="120"/>
      </w:pPr>
      <w:r>
        <w:rPr>
          <w:rFonts w:ascii="Georgia" w:cs="Georgia" w:eastAsia="Georgia" w:hAnsi="Georgia"/>
          <w:b/>
          <w:bCs/>
          <w:color w:val="1B2A4A"/>
          <w:sz w:val="26"/>
          <w:szCs w:val="26"/>
        </w:rPr>
        <w:t xml:space="preserve">Chapter 9 — Construction Management for Homeowners</w:t>
      </w:r>
    </w:p>
    <w:p>
      <w:pPr>
        <w:pStyle w:val="ListParagraph"/>
        <w:numPr>
          <w:ilvl w:val="0"/>
          <w:numId w:val="2"/>
        </w:numPr>
        <w:spacing w:after="80" w:line="280"/>
      </w:pPr>
      <w:r>
        <w:rPr>
          <w:rFonts w:ascii="Calibri" w:cs="Calibri" w:eastAsia="Calibri" w:hAnsi="Calibri"/>
          <w:color w:val="2D3748"/>
          <w:sz w:val="22"/>
          <w:szCs w:val="22"/>
        </w:rPr>
        <w:t xml:space="preserve">The construction timeline: what happens in each phase (site prep through final inspection)</w:t>
      </w:r>
    </w:p>
    <w:p>
      <w:pPr>
        <w:pStyle w:val="ListParagraph"/>
        <w:numPr>
          <w:ilvl w:val="0"/>
          <w:numId w:val="2"/>
        </w:numPr>
        <w:spacing w:after="80" w:line="280"/>
      </w:pPr>
      <w:r>
        <w:rPr>
          <w:rFonts w:ascii="Calibri" w:cs="Calibri" w:eastAsia="Calibri" w:hAnsi="Calibri"/>
          <w:color w:val="2D3748"/>
          <w:sz w:val="22"/>
          <w:szCs w:val="22"/>
        </w:rPr>
        <w:t xml:space="preserve">The homeowner’s PM dashboard: what to track weekly</w:t>
      </w:r>
    </w:p>
    <w:p>
      <w:pPr>
        <w:pStyle w:val="ListParagraph"/>
        <w:numPr>
          <w:ilvl w:val="0"/>
          <w:numId w:val="2"/>
        </w:numPr>
        <w:spacing w:after="80" w:line="280"/>
      </w:pPr>
      <w:r>
        <w:rPr>
          <w:rFonts w:ascii="Calibri" w:cs="Calibri" w:eastAsia="Calibri" w:hAnsi="Calibri"/>
          <w:color w:val="2D3748"/>
          <w:sz w:val="22"/>
          <w:szCs w:val="22"/>
        </w:rPr>
        <w:t xml:space="preserve">Managing the draw schedule: when to release payments and what to verify first</w:t>
      </w:r>
    </w:p>
    <w:p>
      <w:pPr>
        <w:pStyle w:val="ListParagraph"/>
        <w:numPr>
          <w:ilvl w:val="0"/>
          <w:numId w:val="2"/>
        </w:numPr>
        <w:spacing w:after="80" w:line="280"/>
      </w:pPr>
      <w:r>
        <w:rPr>
          <w:rFonts w:ascii="Calibri" w:cs="Calibri" w:eastAsia="Calibri" w:hAnsi="Calibri"/>
          <w:color w:val="2D3748"/>
          <w:sz w:val="22"/>
          <w:szCs w:val="22"/>
        </w:rPr>
        <w:t xml:space="preserve">Change orders: how to evaluate, negotiate, and document them</w:t>
      </w:r>
    </w:p>
    <w:p>
      <w:pPr>
        <w:pStyle w:val="ListParagraph"/>
        <w:numPr>
          <w:ilvl w:val="0"/>
          <w:numId w:val="2"/>
        </w:numPr>
        <w:spacing w:after="80" w:line="280"/>
      </w:pPr>
      <w:r>
        <w:rPr>
          <w:rFonts w:ascii="Calibri" w:cs="Calibri" w:eastAsia="Calibri" w:hAnsi="Calibri"/>
          <w:color w:val="2D3748"/>
          <w:sz w:val="22"/>
          <w:szCs w:val="22"/>
        </w:rPr>
        <w:t xml:space="preserve">Quality checkpoints: the 8 critical inspections and what to look for at each</w:t>
      </w:r>
    </w:p>
    <w:p>
      <w:pPr>
        <w:pStyle w:val="ListParagraph"/>
        <w:numPr>
          <w:ilvl w:val="0"/>
          <w:numId w:val="2"/>
        </w:numPr>
        <w:spacing w:after="80" w:line="280"/>
      </w:pPr>
      <w:r>
        <w:rPr>
          <w:rFonts w:ascii="Calibri" w:cs="Calibri" w:eastAsia="Calibri" w:hAnsi="Calibri"/>
          <w:color w:val="2D3748"/>
          <w:sz w:val="22"/>
          <w:szCs w:val="22"/>
        </w:rPr>
        <w:t xml:space="preserve">Communication protocols: weekly meetings, photo documentation, decision logs</w:t>
      </w:r>
    </w:p>
    <w:p>
      <w:pPr>
        <w:pStyle w:val="ListParagraph"/>
        <w:numPr>
          <w:ilvl w:val="0"/>
          <w:numId w:val="2"/>
        </w:numPr>
        <w:spacing w:after="80" w:line="280"/>
      </w:pPr>
      <w:r>
        <w:rPr>
          <w:rFonts w:ascii="Calibri" w:cs="Calibri" w:eastAsia="Calibri" w:hAnsi="Calibri"/>
          <w:color w:val="2D3748"/>
          <w:sz w:val="22"/>
          <w:szCs w:val="22"/>
        </w:rPr>
        <w:t xml:space="preserve">When things go wrong: dispute resolution, contractor replacement, legal options</w:t>
      </w:r>
    </w:p>
    <w:p>
      <w:pPr>
        <w:spacing w:after="160" w:line="300"/>
      </w:pPr>
      <w:r>
        <w:rPr>
          <w:rFonts w:ascii="Calibri" w:cs="Calibri" w:eastAsia="Calibri" w:hAnsi="Calibri"/>
          <w:b/>
          <w:bCs/>
          <w:color w:val="2A7F62"/>
          <w:sz w:val="22"/>
          <w:szCs w:val="22"/>
        </w:rPr>
        <w:t xml:space="preserve">Deliverable: </w:t>
      </w:r>
      <w:r>
        <w:rPr>
          <w:rFonts w:ascii="Calibri" w:cs="Calibri" w:eastAsia="Calibri" w:hAnsi="Calibri"/>
          <w:color w:val="2D3748"/>
          <w:sz w:val="22"/>
          <w:szCs w:val="22"/>
        </w:rPr>
        <w:t xml:space="preserve">Project Management Timeline Template (Gantt-style, editable) — Builder &amp; Complete tiers</w:t>
      </w:r>
    </w:p>
    <w:p>
      <w:pPr>
        <w:spacing w:before="240" w:after="120"/>
      </w:pPr>
      <w:r>
        <w:rPr>
          <w:rFonts w:ascii="Georgia" w:cs="Georgia" w:eastAsia="Georgia" w:hAnsi="Georgia"/>
          <w:b/>
          <w:bCs/>
          <w:color w:val="1B2A4A"/>
          <w:sz w:val="26"/>
          <w:szCs w:val="26"/>
        </w:rPr>
        <w:t xml:space="preserve">Chapter 10 — Budgeting and Cost Control</w:t>
      </w:r>
    </w:p>
    <w:p>
      <w:pPr>
        <w:pStyle w:val="ListParagraph"/>
        <w:numPr>
          <w:ilvl w:val="0"/>
          <w:numId w:val="2"/>
        </w:numPr>
        <w:spacing w:after="80" w:line="280"/>
      </w:pPr>
      <w:r>
        <w:rPr>
          <w:rFonts w:ascii="Calibri" w:cs="Calibri" w:eastAsia="Calibri" w:hAnsi="Calibri"/>
          <w:color w:val="2D3748"/>
          <w:sz w:val="22"/>
          <w:szCs w:val="22"/>
        </w:rPr>
        <w:t xml:space="preserve">The true cost breakdown: hard costs, soft costs, contingency, and the costs nobody tells you about</w:t>
      </w:r>
    </w:p>
    <w:p>
      <w:pPr>
        <w:pStyle w:val="ListParagraph"/>
        <w:numPr>
          <w:ilvl w:val="0"/>
          <w:numId w:val="2"/>
        </w:numPr>
        <w:spacing w:after="80" w:line="280"/>
      </w:pPr>
      <w:r>
        <w:rPr>
          <w:rFonts w:ascii="Calibri" w:cs="Calibri" w:eastAsia="Calibri" w:hAnsi="Calibri"/>
          <w:color w:val="2D3748"/>
          <w:sz w:val="22"/>
          <w:szCs w:val="22"/>
        </w:rPr>
        <w:t xml:space="preserve">Regional cost benchmarks with data sources for ongoing verification</w:t>
      </w:r>
    </w:p>
    <w:p>
      <w:pPr>
        <w:pStyle w:val="ListParagraph"/>
        <w:numPr>
          <w:ilvl w:val="0"/>
          <w:numId w:val="2"/>
        </w:numPr>
        <w:spacing w:after="80" w:line="280"/>
      </w:pPr>
      <w:r>
        <w:rPr>
          <w:rFonts w:ascii="Calibri" w:cs="Calibri" w:eastAsia="Calibri" w:hAnsi="Calibri"/>
          <w:color w:val="2D3748"/>
          <w:sz w:val="22"/>
          <w:szCs w:val="22"/>
        </w:rPr>
        <w:t xml:space="preserve">The contingency framework: how much to set aside and how to manage it</w:t>
      </w:r>
    </w:p>
    <w:p>
      <w:pPr>
        <w:pStyle w:val="ListParagraph"/>
        <w:numPr>
          <w:ilvl w:val="0"/>
          <w:numId w:val="2"/>
        </w:numPr>
        <w:spacing w:after="80" w:line="280"/>
      </w:pPr>
      <w:r>
        <w:rPr>
          <w:rFonts w:ascii="Calibri" w:cs="Calibri" w:eastAsia="Calibri" w:hAnsi="Calibri"/>
          <w:color w:val="2D3748"/>
          <w:sz w:val="22"/>
          <w:szCs w:val="22"/>
        </w:rPr>
        <w:t xml:space="preserve">Value engineering: where to save money without sacrificing quality</w:t>
      </w:r>
    </w:p>
    <w:p>
      <w:pPr>
        <w:pStyle w:val="ListParagraph"/>
        <w:numPr>
          <w:ilvl w:val="0"/>
          <w:numId w:val="2"/>
        </w:numPr>
        <w:spacing w:after="80" w:line="280"/>
      </w:pPr>
      <w:r>
        <w:rPr>
          <w:rFonts w:ascii="Calibri" w:cs="Calibri" w:eastAsia="Calibri" w:hAnsi="Calibri"/>
          <w:color w:val="2D3748"/>
          <w:sz w:val="22"/>
          <w:szCs w:val="22"/>
        </w:rPr>
        <w:t xml:space="preserve">The “cost creep” prevention system: weekly budget tracking methodology</w:t>
      </w:r>
    </w:p>
    <w:p>
      <w:pPr>
        <w:spacing w:after="160" w:line="300"/>
      </w:pPr>
      <w:r>
        <w:rPr>
          <w:rFonts w:ascii="Calibri" w:cs="Calibri" w:eastAsia="Calibri" w:hAnsi="Calibri"/>
          <w:b/>
          <w:bCs/>
          <w:color w:val="2A7F62"/>
          <w:sz w:val="22"/>
          <w:szCs w:val="22"/>
        </w:rPr>
        <w:t xml:space="preserve">Deliverable: </w:t>
      </w:r>
      <w:r>
        <w:rPr>
          <w:rFonts w:ascii="Calibri" w:cs="Calibri" w:eastAsia="Calibri" w:hAnsi="Calibri"/>
          <w:color w:val="2D3748"/>
          <w:sz w:val="22"/>
          <w:szCs w:val="22"/>
        </w:rPr>
        <w:t xml:space="preserve">ADU Budget Calculator — Foundation (basic), Builder &amp; Complete (advanced with regional benchmarks)</w:t>
      </w:r>
    </w:p>
    <w:p>
      <w:pPr>
        <w:pStyle w:val="Heading2"/>
        <w:pBdr>
          <w:bottom w:val="single" w:color="2A7F62" w:sz="2" w:space="4"/>
        </w:pBdr>
        <w:spacing w:before="300" w:after="160"/>
      </w:pPr>
      <w:r>
        <w:rPr>
          <w:rFonts w:ascii="Georgia" w:cs="Georgia" w:eastAsia="Georgia" w:hAnsi="Georgia"/>
          <w:b/>
          <w:bCs/>
          <w:color w:val="2A7F62"/>
          <w:sz w:val="32"/>
          <w:szCs w:val="32"/>
        </w:rPr>
        <w:t xml:space="preserve">Part V: After Construction</w:t>
      </w:r>
    </w:p>
    <w:p>
      <w:pPr>
        <w:spacing w:before="240" w:after="120"/>
      </w:pPr>
      <w:r>
        <w:rPr>
          <w:rFonts w:ascii="Georgia" w:cs="Georgia" w:eastAsia="Georgia" w:hAnsi="Georgia"/>
          <w:b/>
          <w:bCs/>
          <w:color w:val="1B2A4A"/>
          <w:sz w:val="26"/>
          <w:szCs w:val="26"/>
        </w:rPr>
        <w:t xml:space="preserve">Chapter 11 — Inspections, Certificate of Occupancy, and Closeout</w:t>
      </w:r>
    </w:p>
    <w:p>
      <w:pPr>
        <w:pStyle w:val="ListParagraph"/>
        <w:numPr>
          <w:ilvl w:val="0"/>
          <w:numId w:val="2"/>
        </w:numPr>
        <w:spacing w:after="80" w:line="280"/>
      </w:pPr>
      <w:r>
        <w:rPr>
          <w:rFonts w:ascii="Calibri" w:cs="Calibri" w:eastAsia="Calibri" w:hAnsi="Calibri"/>
          <w:color w:val="2D3748"/>
          <w:sz w:val="22"/>
          <w:szCs w:val="22"/>
        </w:rPr>
        <w:t xml:space="preserve">Final inspection preparation: the pre-inspection walkthrough checklist</w:t>
      </w:r>
    </w:p>
    <w:p>
      <w:pPr>
        <w:pStyle w:val="ListParagraph"/>
        <w:numPr>
          <w:ilvl w:val="0"/>
          <w:numId w:val="2"/>
        </w:numPr>
        <w:spacing w:after="80" w:line="280"/>
      </w:pPr>
      <w:r>
        <w:rPr>
          <w:rFonts w:ascii="Calibri" w:cs="Calibri" w:eastAsia="Calibri" w:hAnsi="Calibri"/>
          <w:color w:val="2D3748"/>
          <w:sz w:val="22"/>
          <w:szCs w:val="22"/>
        </w:rPr>
        <w:t xml:space="preserve">Common final inspection failures and remedies</w:t>
      </w:r>
    </w:p>
    <w:p>
      <w:pPr>
        <w:pStyle w:val="ListParagraph"/>
        <w:numPr>
          <w:ilvl w:val="0"/>
          <w:numId w:val="2"/>
        </w:numPr>
        <w:spacing w:after="80" w:line="280"/>
      </w:pPr>
      <w:r>
        <w:rPr>
          <w:rFonts w:ascii="Calibri" w:cs="Calibri" w:eastAsia="Calibri" w:hAnsi="Calibri"/>
          <w:color w:val="2D3748"/>
          <w:sz w:val="22"/>
          <w:szCs w:val="22"/>
        </w:rPr>
        <w:t xml:space="preserve">Certificate of Occupancy: what it means and what happens after</w:t>
      </w:r>
    </w:p>
    <w:p>
      <w:pPr>
        <w:pStyle w:val="ListParagraph"/>
        <w:numPr>
          <w:ilvl w:val="0"/>
          <w:numId w:val="2"/>
        </w:numPr>
        <w:spacing w:after="80" w:line="280"/>
      </w:pPr>
      <w:r>
        <w:rPr>
          <w:rFonts w:ascii="Calibri" w:cs="Calibri" w:eastAsia="Calibri" w:hAnsi="Calibri"/>
          <w:color w:val="2D3748"/>
          <w:sz w:val="22"/>
          <w:szCs w:val="22"/>
        </w:rPr>
        <w:t xml:space="preserve">Punch list management: getting the last 5% done</w:t>
      </w:r>
    </w:p>
    <w:p>
      <w:pPr>
        <w:pStyle w:val="ListParagraph"/>
        <w:numPr>
          <w:ilvl w:val="0"/>
          <w:numId w:val="2"/>
        </w:numPr>
        <w:spacing w:after="80" w:line="280"/>
      </w:pPr>
      <w:r>
        <w:rPr>
          <w:rFonts w:ascii="Calibri" w:cs="Calibri" w:eastAsia="Calibri" w:hAnsi="Calibri"/>
          <w:color w:val="2D3748"/>
          <w:sz w:val="22"/>
          <w:szCs w:val="22"/>
        </w:rPr>
        <w:t xml:space="preserve">Warranty documentation and maintenance scheduling</w:t>
      </w:r>
    </w:p>
    <w:p>
      <w:pPr>
        <w:pStyle w:val="ListParagraph"/>
        <w:numPr>
          <w:ilvl w:val="0"/>
          <w:numId w:val="2"/>
        </w:numPr>
        <w:spacing w:after="80" w:line="280"/>
      </w:pPr>
      <w:r>
        <w:rPr>
          <w:rFonts w:ascii="Calibri" w:cs="Calibri" w:eastAsia="Calibri" w:hAnsi="Calibri"/>
          <w:color w:val="2D3748"/>
          <w:sz w:val="22"/>
          <w:szCs w:val="22"/>
        </w:rPr>
        <w:t xml:space="preserve">As-built drawings and document archiving</w:t>
      </w:r>
    </w:p>
    <w:p>
      <w:pPr>
        <w:spacing w:before="240" w:after="120"/>
      </w:pPr>
      <w:r>
        <w:rPr>
          <w:rFonts w:ascii="Georgia" w:cs="Georgia" w:eastAsia="Georgia" w:hAnsi="Georgia"/>
          <w:b/>
          <w:bCs/>
          <w:color w:val="1B2A4A"/>
          <w:sz w:val="26"/>
          <w:szCs w:val="26"/>
        </w:rPr>
        <w:t xml:space="preserve">Chapter 12 — Monetizing Your ADU</w:t>
      </w:r>
    </w:p>
    <w:p>
      <w:pPr>
        <w:pStyle w:val="ListParagraph"/>
        <w:numPr>
          <w:ilvl w:val="0"/>
          <w:numId w:val="2"/>
        </w:numPr>
        <w:spacing w:after="80" w:line="280"/>
      </w:pPr>
      <w:r>
        <w:rPr>
          <w:rFonts w:ascii="Calibri" w:cs="Calibri" w:eastAsia="Calibri" w:hAnsi="Calibri"/>
          <w:color w:val="2D3748"/>
          <w:sz w:val="22"/>
          <w:szCs w:val="22"/>
        </w:rPr>
        <w:t xml:space="preserve">Long-term rental: tenant screening, lease structures, property management basics</w:t>
      </w:r>
    </w:p>
    <w:p>
      <w:pPr>
        <w:pStyle w:val="ListParagraph"/>
        <w:numPr>
          <w:ilvl w:val="0"/>
          <w:numId w:val="2"/>
        </w:numPr>
        <w:spacing w:after="80" w:line="280"/>
      </w:pPr>
      <w:r>
        <w:rPr>
          <w:rFonts w:ascii="Calibri" w:cs="Calibri" w:eastAsia="Calibri" w:hAnsi="Calibri"/>
          <w:color w:val="2D3748"/>
          <w:sz w:val="22"/>
          <w:szCs w:val="22"/>
        </w:rPr>
        <w:t xml:space="preserve">Short-term rental (Airbnb/VRBO): local regulations, setup costs, income optimization</w:t>
      </w:r>
    </w:p>
    <w:p>
      <w:pPr>
        <w:pStyle w:val="ListParagraph"/>
        <w:numPr>
          <w:ilvl w:val="0"/>
          <w:numId w:val="2"/>
        </w:numPr>
        <w:spacing w:after="80" w:line="280"/>
      </w:pPr>
      <w:r>
        <w:rPr>
          <w:rFonts w:ascii="Calibri" w:cs="Calibri" w:eastAsia="Calibri" w:hAnsi="Calibri"/>
          <w:color w:val="2D3748"/>
          <w:sz w:val="22"/>
          <w:szCs w:val="22"/>
        </w:rPr>
        <w:t xml:space="preserve">Multigenerational use: legal and financial considerations</w:t>
      </w:r>
    </w:p>
    <w:p>
      <w:pPr>
        <w:pStyle w:val="ListParagraph"/>
        <w:numPr>
          <w:ilvl w:val="0"/>
          <w:numId w:val="2"/>
        </w:numPr>
        <w:spacing w:after="80" w:line="280"/>
      </w:pPr>
      <w:r>
        <w:rPr>
          <w:rFonts w:ascii="Calibri" w:cs="Calibri" w:eastAsia="Calibri" w:hAnsi="Calibri"/>
          <w:color w:val="2D3748"/>
          <w:sz w:val="22"/>
          <w:szCs w:val="22"/>
        </w:rPr>
        <w:t xml:space="preserve">ADU as condo: California’s AB 1033 and the emerging separate-sale market</w:t>
      </w:r>
    </w:p>
    <w:p>
      <w:pPr>
        <w:pStyle w:val="ListParagraph"/>
        <w:numPr>
          <w:ilvl w:val="0"/>
          <w:numId w:val="2"/>
        </w:numPr>
        <w:spacing w:after="80" w:line="280"/>
      </w:pPr>
      <w:r>
        <w:rPr>
          <w:rFonts w:ascii="Calibri" w:cs="Calibri" w:eastAsia="Calibri" w:hAnsi="Calibri"/>
          <w:color w:val="2D3748"/>
          <w:sz w:val="22"/>
          <w:szCs w:val="22"/>
        </w:rPr>
        <w:t xml:space="preserve">Insurance requirements for rental ADUs</w:t>
      </w:r>
    </w:p>
    <w:p>
      <w:pPr>
        <w:pStyle w:val="ListParagraph"/>
        <w:numPr>
          <w:ilvl w:val="0"/>
          <w:numId w:val="2"/>
        </w:numPr>
        <w:spacing w:after="80" w:line="280"/>
      </w:pPr>
      <w:r>
        <w:rPr>
          <w:rFonts w:ascii="Calibri" w:cs="Calibri" w:eastAsia="Calibri" w:hAnsi="Calibri"/>
          <w:color w:val="2D3748"/>
          <w:sz w:val="22"/>
          <w:szCs w:val="22"/>
        </w:rPr>
        <w:t xml:space="preserve">The annual ADU financial review checklist</w:t>
      </w:r>
    </w:p>
    <w:p>
      <w:r>
        <w:br w:type="page"/>
      </w:r>
    </w:p>
    <w:p>
      <w:pPr>
        <w:pStyle w:val="Heading1"/>
        <w:spacing w:before="360" w:after="200"/>
      </w:pPr>
      <w:r>
        <w:rPr>
          <w:rFonts w:ascii="Georgia" w:cs="Georgia" w:eastAsia="Georgia" w:hAnsi="Georgia"/>
          <w:b/>
          <w:bCs/>
          <w:color w:val="1B2A4A"/>
          <w:sz w:val="44"/>
          <w:szCs w:val="44"/>
        </w:rPr>
        <w:t xml:space="preserve">Deliverables Matrix by Tier</w:t>
      </w:r>
    </w:p>
    <w:p>
      <w:pPr>
        <w:spacing w:after="160" w:line="300"/>
      </w:pPr>
      <w:r>
        <w:rPr>
          <w:rFonts w:ascii="Calibri" w:cs="Calibri" w:eastAsia="Calibri" w:hAnsi="Calibri"/>
          <w:color w:val="2D3748"/>
          <w:sz w:val="22"/>
          <w:szCs w:val="22"/>
        </w:rPr>
        <w:t xml:space="preserve">Every tier includes the core guide. The difference between tiers is the depth of supplementary tools, the breadth of geographic coverage, and the duration of update access. This structure allows the $97 tier to deliver genuine value while creating clear upgrade incentives.</w:t>
      </w:r>
    </w:p>
    <w:p>
      <w:pPr>
        <w:pStyle w:val="Heading2"/>
        <w:pBdr>
          <w:bottom w:val="single" w:color="2A7F62" w:sz="2" w:space="4"/>
        </w:pBdr>
        <w:spacing w:before="300" w:after="160"/>
      </w:pPr>
      <w:r>
        <w:rPr>
          <w:rFonts w:ascii="Georgia" w:cs="Georgia" w:eastAsia="Georgia" w:hAnsi="Georgia"/>
          <w:b/>
          <w:bCs/>
          <w:color w:val="2A7F62"/>
          <w:sz w:val="32"/>
          <w:szCs w:val="32"/>
        </w:rPr>
        <w:t xml:space="preserve">Foundation Tier — $97</w:t>
      </w:r>
    </w:p>
    <w:p>
      <w:pPr>
        <w:spacing w:after="160" w:line="300"/>
      </w:pPr>
      <w:r>
        <w:rPr>
          <w:rFonts w:ascii="Calibri" w:cs="Calibri" w:eastAsia="Calibri" w:hAnsi="Calibri"/>
          <w:b/>
          <w:bCs/>
          <w:color w:val="2D3748"/>
          <w:sz w:val="22"/>
          <w:szCs w:val="22"/>
        </w:rPr>
        <w:t xml:space="preserve">Positioning: </w:t>
      </w:r>
      <w:r>
        <w:rPr>
          <w:rFonts w:ascii="Calibri" w:cs="Calibri" w:eastAsia="Calibri" w:hAnsi="Calibri"/>
          <w:color w:val="2D3748"/>
          <w:sz w:val="22"/>
          <w:szCs w:val="22"/>
        </w:rPr>
        <w:t xml:space="preserve">“The essential roadmap.” For homeowners in the early exploration phase who need a comprehensive understanding of the ADU process before committing to a project.</w:t>
      </w:r>
    </w:p>
    <w:p>
      <w:pPr>
        <w:pStyle w:val="ListParagraph"/>
        <w:numPr>
          <w:ilvl w:val="0"/>
          <w:numId w:val="3"/>
        </w:numPr>
        <w:spacing w:after="80" w:line="280"/>
      </w:pPr>
      <w:r>
        <w:rPr>
          <w:rFonts w:ascii="Calibri" w:cs="Calibri" w:eastAsia="Calibri" w:hAnsi="Calibri"/>
          <w:color w:val="2D3748"/>
          <w:sz w:val="22"/>
          <w:szCs w:val="22"/>
        </w:rPr>
        <w:t xml:space="preserve">Complete ADU Guide (PDF, ~200 pages, all 12 chapters)</w:t>
      </w:r>
    </w:p>
    <w:p>
      <w:pPr>
        <w:pStyle w:val="ListParagraph"/>
        <w:numPr>
          <w:ilvl w:val="0"/>
          <w:numId w:val="3"/>
        </w:numPr>
        <w:spacing w:after="80" w:line="280"/>
      </w:pPr>
      <w:r>
        <w:rPr>
          <w:rFonts w:ascii="Calibri" w:cs="Calibri" w:eastAsia="Calibri" w:hAnsi="Calibri"/>
          <w:color w:val="2D3748"/>
          <w:sz w:val="22"/>
          <w:szCs w:val="22"/>
        </w:rPr>
        <w:t xml:space="preserve">State Regulatory Reference for top 5 states (CA, WA, OR, MA, CO)</w:t>
      </w:r>
    </w:p>
    <w:p>
      <w:pPr>
        <w:pStyle w:val="ListParagraph"/>
        <w:numPr>
          <w:ilvl w:val="0"/>
          <w:numId w:val="3"/>
        </w:numPr>
        <w:spacing w:after="80" w:line="280"/>
      </w:pPr>
      <w:r>
        <w:rPr>
          <w:rFonts w:ascii="Calibri" w:cs="Calibri" w:eastAsia="Calibri" w:hAnsi="Calibri"/>
          <w:color w:val="2D3748"/>
          <w:sz w:val="22"/>
          <w:szCs w:val="22"/>
        </w:rPr>
        <w:t xml:space="preserve">Basic ADU Budget Calculator (Excel/Google Sheets)</w:t>
      </w:r>
    </w:p>
    <w:p>
      <w:pPr>
        <w:pStyle w:val="ListParagraph"/>
        <w:numPr>
          <w:ilvl w:val="0"/>
          <w:numId w:val="3"/>
        </w:numPr>
        <w:spacing w:after="80" w:line="280"/>
      </w:pPr>
      <w:r>
        <w:rPr>
          <w:rFonts w:ascii="Calibri" w:cs="Calibri" w:eastAsia="Calibri" w:hAnsi="Calibri"/>
          <w:color w:val="2D3748"/>
          <w:sz w:val="22"/>
          <w:szCs w:val="22"/>
        </w:rPr>
        <w:t xml:space="preserve">Financing Overview Matrix (summary comparison, not interactive)</w:t>
      </w:r>
    </w:p>
    <w:p>
      <w:pPr>
        <w:pStyle w:val="ListParagraph"/>
        <w:numPr>
          <w:ilvl w:val="0"/>
          <w:numId w:val="3"/>
        </w:numPr>
        <w:spacing w:after="80" w:line="280"/>
      </w:pPr>
      <w:r>
        <w:rPr>
          <w:rFonts w:ascii="Calibri" w:cs="Calibri" w:eastAsia="Calibri" w:hAnsi="Calibri"/>
          <w:color w:val="2D3748"/>
          <w:sz w:val="22"/>
          <w:szCs w:val="22"/>
        </w:rPr>
        <w:t xml:space="preserve">Property Feasibility Scorecard (fillable PDF)</w:t>
      </w:r>
    </w:p>
    <w:p>
      <w:pPr>
        <w:pStyle w:val="ListParagraph"/>
        <w:numPr>
          <w:ilvl w:val="0"/>
          <w:numId w:val="3"/>
        </w:numPr>
        <w:spacing w:after="80" w:line="280"/>
      </w:pPr>
      <w:r>
        <w:rPr>
          <w:rFonts w:ascii="Calibri" w:cs="Calibri" w:eastAsia="Calibri" w:hAnsi="Calibri"/>
          <w:color w:val="2D3748"/>
          <w:sz w:val="22"/>
          <w:szCs w:val="22"/>
        </w:rPr>
        <w:t xml:space="preserve">Design Decision Matrix</w:t>
      </w:r>
    </w:p>
    <w:p>
      <w:pPr>
        <w:pStyle w:val="ListParagraph"/>
        <w:numPr>
          <w:ilvl w:val="0"/>
          <w:numId w:val="3"/>
        </w:numPr>
        <w:spacing w:after="80" w:line="280"/>
      </w:pPr>
      <w:r>
        <w:rPr>
          <w:rFonts w:ascii="Calibri" w:cs="Calibri" w:eastAsia="Calibri" w:hAnsi="Calibri"/>
          <w:color w:val="2D3748"/>
          <w:sz w:val="22"/>
          <w:szCs w:val="22"/>
        </w:rPr>
        <w:t xml:space="preserve">1 year of annual legislative updates (PDF supplement)</w:t>
      </w:r>
    </w:p>
    <w:p>
      <w:pPr>
        <w:pStyle w:val="Heading2"/>
        <w:pBdr>
          <w:bottom w:val="single" w:color="2A7F62" w:sz="2" w:space="4"/>
        </w:pBdr>
        <w:spacing w:before="300" w:after="160"/>
      </w:pPr>
      <w:r>
        <w:rPr>
          <w:rFonts w:ascii="Georgia" w:cs="Georgia" w:eastAsia="Georgia" w:hAnsi="Georgia"/>
          <w:b/>
          <w:bCs/>
          <w:color w:val="2A7F62"/>
          <w:sz w:val="32"/>
          <w:szCs w:val="32"/>
        </w:rPr>
        <w:t xml:space="preserve">Builder Tier — $197</w:t>
      </w:r>
    </w:p>
    <w:p>
      <w:pPr>
        <w:spacing w:after="160" w:line="300"/>
      </w:pPr>
      <w:r>
        <w:rPr>
          <w:rFonts w:ascii="Calibri" w:cs="Calibri" w:eastAsia="Calibri" w:hAnsi="Calibri"/>
          <w:b/>
          <w:bCs/>
          <w:color w:val="2D3748"/>
          <w:sz w:val="22"/>
          <w:szCs w:val="22"/>
        </w:rPr>
        <w:t xml:space="preserve">Positioning: </w:t>
      </w:r>
      <w:r>
        <w:rPr>
          <w:rFonts w:ascii="Calibri" w:cs="Calibri" w:eastAsia="Calibri" w:hAnsi="Calibri"/>
          <w:color w:val="2D3748"/>
          <w:sz w:val="22"/>
          <w:szCs w:val="22"/>
        </w:rPr>
        <w:t xml:space="preserve">“The project manager’s toolkit.” For homeowners who are committed to building and need professional-grade tools to manage their project. This is the value sweet spot.</w:t>
      </w:r>
    </w:p>
    <w:p>
      <w:pPr>
        <w:pStyle w:val="ListParagraph"/>
        <w:numPr>
          <w:ilvl w:val="0"/>
          <w:numId w:val="4"/>
        </w:numPr>
        <w:spacing w:after="80" w:line="280"/>
      </w:pPr>
      <w:r>
        <w:rPr>
          <w:rFonts w:ascii="Calibri" w:cs="Calibri" w:eastAsia="Calibri" w:hAnsi="Calibri"/>
          <w:b/>
          <w:bCs/>
          <w:color w:val="2D3748"/>
          <w:sz w:val="22"/>
          <w:szCs w:val="22"/>
        </w:rPr>
        <w:t xml:space="preserve">Everything in Foundation, plus:</w:t>
      </w:r>
    </w:p>
    <w:p>
      <w:pPr>
        <w:pStyle w:val="ListParagraph"/>
        <w:numPr>
          <w:ilvl w:val="0"/>
          <w:numId w:val="4"/>
        </w:numPr>
        <w:spacing w:after="80" w:line="280"/>
      </w:pPr>
      <w:r>
        <w:rPr>
          <w:rFonts w:ascii="Calibri" w:cs="Calibri" w:eastAsia="Calibri" w:hAnsi="Calibri"/>
          <w:color w:val="2D3748"/>
          <w:sz w:val="22"/>
          <w:szCs w:val="22"/>
        </w:rPr>
        <w:t xml:space="preserve">State Regulatory Reference expanded to top 15 states</w:t>
      </w:r>
    </w:p>
    <w:p>
      <w:pPr>
        <w:pStyle w:val="ListParagraph"/>
        <w:numPr>
          <w:ilvl w:val="0"/>
          <w:numId w:val="4"/>
        </w:numPr>
        <w:spacing w:after="80" w:line="280"/>
      </w:pPr>
      <w:r>
        <w:rPr>
          <w:rFonts w:ascii="Calibri" w:cs="Calibri" w:eastAsia="Calibri" w:hAnsi="Calibri"/>
          <w:color w:val="2D3748"/>
          <w:sz w:val="22"/>
          <w:szCs w:val="22"/>
        </w:rPr>
        <w:t xml:space="preserve">Advanced Budget Calculator with regional cost benchmarks</w:t>
      </w:r>
    </w:p>
    <w:p>
      <w:pPr>
        <w:pStyle w:val="ListParagraph"/>
        <w:numPr>
          <w:ilvl w:val="0"/>
          <w:numId w:val="4"/>
        </w:numPr>
        <w:spacing w:after="80" w:line="280"/>
      </w:pPr>
      <w:r>
        <w:rPr>
          <w:rFonts w:ascii="Calibri" w:cs="Calibri" w:eastAsia="Calibri" w:hAnsi="Calibri"/>
          <w:color w:val="2D3748"/>
          <w:sz w:val="22"/>
          <w:szCs w:val="22"/>
        </w:rPr>
        <w:t xml:space="preserve">Full Financing Comparison Matrix (interactive, scenario modeling)</w:t>
      </w:r>
    </w:p>
    <w:p>
      <w:pPr>
        <w:pStyle w:val="ListParagraph"/>
        <w:numPr>
          <w:ilvl w:val="0"/>
          <w:numId w:val="4"/>
        </w:numPr>
        <w:spacing w:after="80" w:line="280"/>
      </w:pPr>
      <w:r>
        <w:rPr>
          <w:rFonts w:ascii="Calibri" w:cs="Calibri" w:eastAsia="Calibri" w:hAnsi="Calibri"/>
          <w:color w:val="2D3748"/>
          <w:sz w:val="22"/>
          <w:szCs w:val="22"/>
        </w:rPr>
        <w:t xml:space="preserve">Contractor Vetting Scorecard with scoring rubric</w:t>
      </w:r>
    </w:p>
    <w:p>
      <w:pPr>
        <w:pStyle w:val="ListParagraph"/>
        <w:numPr>
          <w:ilvl w:val="0"/>
          <w:numId w:val="4"/>
        </w:numPr>
        <w:spacing w:after="80" w:line="280"/>
      </w:pPr>
      <w:r>
        <w:rPr>
          <w:rFonts w:ascii="Calibri" w:cs="Calibri" w:eastAsia="Calibri" w:hAnsi="Calibri"/>
          <w:color w:val="2D3748"/>
          <w:sz w:val="22"/>
          <w:szCs w:val="22"/>
        </w:rPr>
        <w:t xml:space="preserve">Bid Comparison Template (side-by-side, weighted scoring)</w:t>
      </w:r>
    </w:p>
    <w:p>
      <w:pPr>
        <w:pStyle w:val="ListParagraph"/>
        <w:numPr>
          <w:ilvl w:val="0"/>
          <w:numId w:val="4"/>
        </w:numPr>
        <w:spacing w:after="80" w:line="280"/>
      </w:pPr>
      <w:r>
        <w:rPr>
          <w:rFonts w:ascii="Calibri" w:cs="Calibri" w:eastAsia="Calibri" w:hAnsi="Calibri"/>
          <w:color w:val="2D3748"/>
          <w:sz w:val="22"/>
          <w:szCs w:val="22"/>
        </w:rPr>
        <w:t xml:space="preserve">Contract Review Checklist (50+ items)</w:t>
      </w:r>
    </w:p>
    <w:p>
      <w:pPr>
        <w:pStyle w:val="ListParagraph"/>
        <w:numPr>
          <w:ilvl w:val="0"/>
          <w:numId w:val="4"/>
        </w:numPr>
        <w:spacing w:after="80" w:line="280"/>
      </w:pPr>
      <w:r>
        <w:rPr>
          <w:rFonts w:ascii="Calibri" w:cs="Calibri" w:eastAsia="Calibri" w:hAnsi="Calibri"/>
          <w:color w:val="2D3748"/>
          <w:sz w:val="22"/>
          <w:szCs w:val="22"/>
        </w:rPr>
        <w:t xml:space="preserve">Project Management Timeline Template (editable Gantt chart)</w:t>
      </w:r>
    </w:p>
    <w:p>
      <w:pPr>
        <w:pStyle w:val="ListParagraph"/>
        <w:numPr>
          <w:ilvl w:val="0"/>
          <w:numId w:val="4"/>
        </w:numPr>
        <w:spacing w:after="80" w:line="280"/>
      </w:pPr>
      <w:r>
        <w:rPr>
          <w:rFonts w:ascii="Calibri" w:cs="Calibri" w:eastAsia="Calibri" w:hAnsi="Calibri"/>
          <w:color w:val="2D3748"/>
          <w:sz w:val="22"/>
          <w:szCs w:val="22"/>
        </w:rPr>
        <w:t xml:space="preserve">Permit Process Checklists for top 5 cities (LA, SF, Seattle, Portland, Denver)</w:t>
      </w:r>
    </w:p>
    <w:p>
      <w:pPr>
        <w:pStyle w:val="ListParagraph"/>
        <w:numPr>
          <w:ilvl w:val="0"/>
          <w:numId w:val="4"/>
        </w:numPr>
        <w:spacing w:after="80" w:line="280"/>
      </w:pPr>
      <w:r>
        <w:rPr>
          <w:rFonts w:ascii="Calibri" w:cs="Calibri" w:eastAsia="Calibri" w:hAnsi="Calibri"/>
          <w:color w:val="2D3748"/>
          <w:sz w:val="22"/>
          <w:szCs w:val="22"/>
        </w:rPr>
        <w:t xml:space="preserve">2 years of annual legislative updates</w:t>
      </w:r>
    </w:p>
    <w:p>
      <w:pPr>
        <w:pStyle w:val="Heading2"/>
        <w:pBdr>
          <w:bottom w:val="single" w:color="2A7F62" w:sz="2" w:space="4"/>
        </w:pBdr>
        <w:spacing w:before="300" w:after="160"/>
      </w:pPr>
      <w:r>
        <w:rPr>
          <w:rFonts w:ascii="Georgia" w:cs="Georgia" w:eastAsia="Georgia" w:hAnsi="Georgia"/>
          <w:b/>
          <w:bCs/>
          <w:color w:val="2A7F62"/>
          <w:sz w:val="32"/>
          <w:szCs w:val="32"/>
        </w:rPr>
        <w:t xml:space="preserve">Complete Tier — $297</w:t>
      </w:r>
    </w:p>
    <w:p>
      <w:pPr>
        <w:spacing w:after="160" w:line="300"/>
      </w:pPr>
      <w:r>
        <w:rPr>
          <w:rFonts w:ascii="Calibri" w:cs="Calibri" w:eastAsia="Calibri" w:hAnsi="Calibri"/>
          <w:b/>
          <w:bCs/>
          <w:color w:val="2D3748"/>
          <w:sz w:val="22"/>
          <w:szCs w:val="22"/>
        </w:rPr>
        <w:t xml:space="preserve">Positioning: </w:t>
      </w:r>
      <w:r>
        <w:rPr>
          <w:rFonts w:ascii="Calibri" w:cs="Calibri" w:eastAsia="Calibri" w:hAnsi="Calibri"/>
          <w:color w:val="2D3748"/>
          <w:sz w:val="22"/>
          <w:szCs w:val="22"/>
        </w:rPr>
        <w:t xml:space="preserve">“The full construction management system.” For homeowners who want every possible advantage, including tools that replace paid consultations and professional guidance.</w:t>
      </w:r>
    </w:p>
    <w:p>
      <w:pPr>
        <w:pStyle w:val="ListParagraph"/>
        <w:numPr>
          <w:ilvl w:val="0"/>
          <w:numId w:val="5"/>
        </w:numPr>
        <w:spacing w:after="80" w:line="280"/>
      </w:pPr>
      <w:r>
        <w:rPr>
          <w:rFonts w:ascii="Calibri" w:cs="Calibri" w:eastAsia="Calibri" w:hAnsi="Calibri"/>
          <w:b/>
          <w:bCs/>
          <w:color w:val="2D3748"/>
          <w:sz w:val="22"/>
          <w:szCs w:val="22"/>
        </w:rPr>
        <w:t xml:space="preserve">Everything in Builder, plus:</w:t>
      </w:r>
    </w:p>
    <w:p>
      <w:pPr>
        <w:pStyle w:val="ListParagraph"/>
        <w:numPr>
          <w:ilvl w:val="0"/>
          <w:numId w:val="5"/>
        </w:numPr>
        <w:spacing w:after="80" w:line="280"/>
      </w:pPr>
      <w:r>
        <w:rPr>
          <w:rFonts w:ascii="Calibri" w:cs="Calibri" w:eastAsia="Calibri" w:hAnsi="Calibri"/>
          <w:color w:val="2D3748"/>
          <w:sz w:val="22"/>
          <w:szCs w:val="22"/>
        </w:rPr>
        <w:t xml:space="preserve">State Regulatory Reference for all 26+ states with ADU legislation</w:t>
      </w:r>
    </w:p>
    <w:p>
      <w:pPr>
        <w:pStyle w:val="ListParagraph"/>
        <w:numPr>
          <w:ilvl w:val="0"/>
          <w:numId w:val="5"/>
        </w:numPr>
        <w:spacing w:after="80" w:line="280"/>
      </w:pPr>
      <w:r>
        <w:rPr>
          <w:rFonts w:ascii="Calibri" w:cs="Calibri" w:eastAsia="Calibri" w:hAnsi="Calibri"/>
          <w:color w:val="2D3748"/>
          <w:sz w:val="22"/>
          <w:szCs w:val="22"/>
        </w:rPr>
        <w:t xml:space="preserve">ROI &amp; Rental Income Calculator with market data integration</w:t>
      </w:r>
    </w:p>
    <w:p>
      <w:pPr>
        <w:pStyle w:val="ListParagraph"/>
        <w:numPr>
          <w:ilvl w:val="0"/>
          <w:numId w:val="5"/>
        </w:numPr>
        <w:spacing w:after="80" w:line="280"/>
      </w:pPr>
      <w:r>
        <w:rPr>
          <w:rFonts w:ascii="Calibri" w:cs="Calibri" w:eastAsia="Calibri" w:hAnsi="Calibri"/>
          <w:color w:val="2D3748"/>
          <w:sz w:val="22"/>
          <w:szCs w:val="22"/>
        </w:rPr>
        <w:t xml:space="preserve">Sample ADU Construction Contract (attorney-reviewed template)</w:t>
      </w:r>
    </w:p>
    <w:p>
      <w:pPr>
        <w:pStyle w:val="ListParagraph"/>
        <w:numPr>
          <w:ilvl w:val="0"/>
          <w:numId w:val="5"/>
        </w:numPr>
        <w:spacing w:after="80" w:line="280"/>
      </w:pPr>
      <w:r>
        <w:rPr>
          <w:rFonts w:ascii="Calibri" w:cs="Calibri" w:eastAsia="Calibri" w:hAnsi="Calibri"/>
          <w:color w:val="2D3748"/>
          <w:sz w:val="22"/>
          <w:szCs w:val="22"/>
        </w:rPr>
        <w:t xml:space="preserve">Permit Process Checklists for top 25 cities</w:t>
      </w:r>
    </w:p>
    <w:p>
      <w:pPr>
        <w:pStyle w:val="ListParagraph"/>
        <w:numPr>
          <w:ilvl w:val="0"/>
          <w:numId w:val="5"/>
        </w:numPr>
        <w:spacing w:after="80" w:line="280"/>
      </w:pPr>
      <w:r>
        <w:rPr>
          <w:rFonts w:ascii="Calibri" w:cs="Calibri" w:eastAsia="Calibri" w:hAnsi="Calibri"/>
          <w:color w:val="2D3748"/>
          <w:sz w:val="22"/>
          <w:szCs w:val="22"/>
        </w:rPr>
        <w:t xml:space="preserve">5 Video Walkthrough Modules (screen-share format, ~60 min total)</w:t>
      </w:r>
    </w:p>
    <w:p>
      <w:pPr>
        <w:pStyle w:val="ListParagraph"/>
        <w:numPr>
          <w:ilvl w:val="0"/>
          <w:numId w:val="5"/>
        </w:numPr>
        <w:spacing w:after="80" w:line="280"/>
      </w:pPr>
      <w:r>
        <w:rPr>
          <w:rFonts w:ascii="Calibri" w:cs="Calibri" w:eastAsia="Calibri" w:hAnsi="Calibri"/>
          <w:color w:val="2D3748"/>
          <w:sz w:val="22"/>
          <w:szCs w:val="22"/>
        </w:rPr>
        <w:t xml:space="preserve">Pre-Inspection Walkthrough Checklist (50+ point quality review)</w:t>
      </w:r>
    </w:p>
    <w:p>
      <w:pPr>
        <w:pStyle w:val="ListParagraph"/>
        <w:numPr>
          <w:ilvl w:val="0"/>
          <w:numId w:val="5"/>
        </w:numPr>
        <w:spacing w:after="80" w:line="280"/>
      </w:pPr>
      <w:r>
        <w:rPr>
          <w:rFonts w:ascii="Calibri" w:cs="Calibri" w:eastAsia="Calibri" w:hAnsi="Calibri"/>
          <w:color w:val="2D3748"/>
          <w:sz w:val="22"/>
          <w:szCs w:val="22"/>
        </w:rPr>
        <w:t xml:space="preserve">Tenant Screening &amp; Lease Template Kit</w:t>
      </w:r>
    </w:p>
    <w:p>
      <w:pPr>
        <w:pStyle w:val="ListParagraph"/>
        <w:numPr>
          <w:ilvl w:val="0"/>
          <w:numId w:val="5"/>
        </w:numPr>
        <w:spacing w:after="80" w:line="280"/>
      </w:pPr>
      <w:r>
        <w:rPr>
          <w:rFonts w:ascii="Calibri" w:cs="Calibri" w:eastAsia="Calibri" w:hAnsi="Calibri"/>
          <w:color w:val="2D3748"/>
          <w:sz w:val="22"/>
          <w:szCs w:val="22"/>
        </w:rPr>
        <w:t xml:space="preserve">Lifetime legislative updates</w:t>
      </w:r>
    </w:p>
    <w:p>
      <w:pPr>
        <w:pStyle w:val="ListParagraph"/>
        <w:numPr>
          <w:ilvl w:val="0"/>
          <w:numId w:val="5"/>
        </w:numPr>
        <w:spacing w:after="80" w:line="280"/>
      </w:pPr>
      <w:r>
        <w:rPr>
          <w:rFonts w:ascii="Calibri" w:cs="Calibri" w:eastAsia="Calibri" w:hAnsi="Calibri"/>
          <w:color w:val="2D3748"/>
          <w:sz w:val="22"/>
          <w:szCs w:val="22"/>
        </w:rPr>
        <w:t xml:space="preserve">Priority email support for project-specific questions (90 days)</w:t>
      </w:r>
    </w:p>
    <w:p>
      <w:r>
        <w:br w:type="page"/>
      </w:r>
    </w:p>
    <w:p>
      <w:pPr>
        <w:pStyle w:val="Heading1"/>
        <w:spacing w:before="360" w:after="200"/>
      </w:pPr>
      <w:r>
        <w:rPr>
          <w:rFonts w:ascii="Georgia" w:cs="Georgia" w:eastAsia="Georgia" w:hAnsi="Georgia"/>
          <w:b/>
          <w:bCs/>
          <w:color w:val="1B2A4A"/>
          <w:sz w:val="44"/>
          <w:szCs w:val="44"/>
        </w:rPr>
        <w:t xml:space="preserve">Production Roadmap</w:t>
      </w:r>
    </w:p>
    <w:p>
      <w:pPr>
        <w:spacing w:after="160" w:line="300"/>
      </w:pPr>
      <w:r>
        <w:rPr>
          <w:rFonts w:ascii="Calibri" w:cs="Calibri" w:eastAsia="Calibri" w:hAnsi="Calibri"/>
          <w:color w:val="2D3748"/>
          <w:sz w:val="22"/>
          <w:szCs w:val="22"/>
        </w:rPr>
        <w:t xml:space="preserve">The production plan is sequenced to get the Foundation tier to market fastest, then layer on Builder and Complete deliverables. This approach validates demand before investing in the most time-intensive assets (video, 25-city permit checklists, contract templates).</w:t>
      </w:r>
    </w:p>
    <w:p>
      <w:pPr>
        <w:pStyle w:val="Heading2"/>
        <w:pBdr>
          <w:bottom w:val="single" w:color="2A7F62" w:sz="2" w:space="4"/>
        </w:pBdr>
        <w:spacing w:before="300" w:after="160"/>
      </w:pPr>
      <w:r>
        <w:rPr>
          <w:rFonts w:ascii="Georgia" w:cs="Georgia" w:eastAsia="Georgia" w:hAnsi="Georgia"/>
          <w:b/>
          <w:bCs/>
          <w:color w:val="2A7F62"/>
          <w:sz w:val="32"/>
          <w:szCs w:val="32"/>
        </w:rPr>
        <w:t xml:space="preserve">Phase 1: Foundation Content (Weeks 1–6)</w:t>
      </w:r>
    </w:p>
    <w:p>
      <w:pPr>
        <w:spacing w:after="160" w:line="300"/>
      </w:pPr>
      <w:r>
        <w:rPr>
          <w:rFonts w:ascii="Calibri" w:cs="Calibri" w:eastAsia="Calibri" w:hAnsi="Calibri"/>
          <w:b/>
          <w:bCs/>
          <w:color w:val="2D3748"/>
          <w:sz w:val="22"/>
          <w:szCs w:val="22"/>
        </w:rPr>
        <w:t xml:space="preserve">Goal: </w:t>
      </w:r>
      <w:r>
        <w:rPr>
          <w:rFonts w:ascii="Calibri" w:cs="Calibri" w:eastAsia="Calibri" w:hAnsi="Calibri"/>
          <w:color w:val="2D3748"/>
          <w:sz w:val="22"/>
          <w:szCs w:val="22"/>
        </w:rPr>
        <w:t xml:space="preserve">Complete the core guide manuscript and basic tools. This is the backbone that all tiers share.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600"/>
        <w:gridCol w:w="1560"/>
      </w:tblGrid>
      <w:tr>
        <w:tc>
          <w:tcPr>
            <w:tcW w:type="dxa" w:w="12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Week</w:t>
            </w:r>
          </w:p>
        </w:tc>
        <w:tc>
          <w:tcPr>
            <w:tcW w:type="dxa" w:w="50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Deliverable</w:t>
            </w:r>
          </w:p>
        </w:tc>
        <w:tc>
          <w:tcPr>
            <w:tcW w:type="dxa" w:w="16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Format</w:t>
            </w:r>
          </w:p>
        </w:tc>
        <w:tc>
          <w:tcPr>
            <w:tcW w:type="dxa" w:w="15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Est. Hours</w:t>
            </w:r>
          </w:p>
        </w:tc>
      </w:tr>
      <w:tr>
        <w:tc>
          <w:tcPr>
            <w:tcW w:type="dxa" w:w="12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1–2</w:t>
            </w:r>
          </w:p>
        </w:tc>
        <w:tc>
          <w:tcPr>
            <w:tcW w:type="dxa" w:w="50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Chapters 1–3 (ADU landscape, feasibility, financial case)</w:t>
            </w:r>
          </w:p>
        </w:tc>
        <w:tc>
          <w:tcPr>
            <w:tcW w:type="dxa" w:w="16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Manuscript</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20–30</w:t>
            </w:r>
          </w:p>
        </w:tc>
      </w:tr>
      <w:tr>
        <w:tc>
          <w:tcPr>
            <w:tcW w:type="dxa" w:w="12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2–3</w:t>
            </w:r>
          </w:p>
        </w:tc>
        <w:tc>
          <w:tcPr>
            <w:tcW w:type="dxa" w:w="50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Chapters 4–5 (design fundamentals, state regulations — top 5)</w:t>
            </w:r>
          </w:p>
        </w:tc>
        <w:tc>
          <w:tcPr>
            <w:tcW w:type="dxa" w:w="16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Manuscript</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20–25</w:t>
            </w:r>
          </w:p>
        </w:tc>
      </w:tr>
      <w:tr>
        <w:tc>
          <w:tcPr>
            <w:tcW w:type="dxa" w:w="12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3–4</w:t>
            </w:r>
          </w:p>
        </w:tc>
        <w:tc>
          <w:tcPr>
            <w:tcW w:type="dxa" w:w="50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Chapter 6 (financing options)</w:t>
            </w:r>
          </w:p>
        </w:tc>
        <w:tc>
          <w:tcPr>
            <w:tcW w:type="dxa" w:w="16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Manuscript</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12–15</w:t>
            </w:r>
          </w:p>
        </w:tc>
      </w:tr>
      <w:tr>
        <w:tc>
          <w:tcPr>
            <w:tcW w:type="dxa" w:w="12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4–5</w:t>
            </w:r>
          </w:p>
        </w:tc>
        <w:tc>
          <w:tcPr>
            <w:tcW w:type="dxa" w:w="50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Chapters 7–10 (contractor, permits, construction mgmt, budgeting)</w:t>
            </w:r>
          </w:p>
        </w:tc>
        <w:tc>
          <w:tcPr>
            <w:tcW w:type="dxa" w:w="16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Manuscript</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25–35</w:t>
            </w:r>
          </w:p>
        </w:tc>
      </w:tr>
      <w:tr>
        <w:tc>
          <w:tcPr>
            <w:tcW w:type="dxa" w:w="12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5–6</w:t>
            </w:r>
          </w:p>
        </w:tc>
        <w:tc>
          <w:tcPr>
            <w:tcW w:type="dxa" w:w="50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Chapters 11–12 (closeout, monetization)</w:t>
            </w:r>
          </w:p>
        </w:tc>
        <w:tc>
          <w:tcPr>
            <w:tcW w:type="dxa" w:w="16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Manuscript</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10–15</w:t>
            </w:r>
          </w:p>
        </w:tc>
      </w:tr>
      <w:tr>
        <w:tc>
          <w:tcPr>
            <w:tcW w:type="dxa" w:w="12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3–6</w:t>
            </w:r>
          </w:p>
        </w:tc>
        <w:tc>
          <w:tcPr>
            <w:tcW w:type="dxa" w:w="50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Basic budget calculator, feasibility scorecard, design matrix</w:t>
            </w:r>
          </w:p>
        </w:tc>
        <w:tc>
          <w:tcPr>
            <w:tcW w:type="dxa" w:w="16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Excel/PDF</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12–15</w:t>
            </w:r>
          </w:p>
        </w:tc>
      </w:tr>
      <w:tr>
        <w:tc>
          <w:tcPr>
            <w:tcW w:type="dxa" w:w="12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6</w:t>
            </w:r>
          </w:p>
        </w:tc>
        <w:tc>
          <w:tcPr>
            <w:tcW w:type="dxa" w:w="50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Formatting, proofreading, PDF layout</w:t>
            </w:r>
          </w:p>
        </w:tc>
        <w:tc>
          <w:tcPr>
            <w:tcW w:type="dxa" w:w="16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Production</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8–10</w:t>
            </w:r>
          </w:p>
        </w:tc>
      </w:tr>
    </w:tbl>
    <w:p>
      <w:pPr>
        <w:spacing w:after="80"/>
      </w:pPr>
    </w:p>
    <w:p>
      <w:pPr>
        <w:spacing w:after="160" w:line="300"/>
      </w:pPr>
      <w:r>
        <w:rPr>
          <w:rFonts w:ascii="Calibri" w:cs="Calibri" w:eastAsia="Calibri" w:hAnsi="Calibri"/>
          <w:b/>
          <w:bCs/>
          <w:color w:val="2D3748"/>
          <w:sz w:val="22"/>
          <w:szCs w:val="22"/>
        </w:rPr>
        <w:t xml:space="preserve">Phase 1 total: ~107–145 hours. </w:t>
      </w:r>
      <w:r>
        <w:rPr>
          <w:rFonts w:ascii="Calibri" w:cs="Calibri" w:eastAsia="Calibri" w:hAnsi="Calibri"/>
          <w:color w:val="2D3748"/>
          <w:sz w:val="22"/>
          <w:szCs w:val="22"/>
        </w:rPr>
        <w:t xml:space="preserve">At 15–20 hours/week of focused writing, this is a 6–8 week sprint.</w:t>
      </w:r>
    </w:p>
    <w:p>
      <w:pPr>
        <w:pStyle w:val="Heading2"/>
        <w:pBdr>
          <w:bottom w:val="single" w:color="2A7F62" w:sz="2" w:space="4"/>
        </w:pBdr>
        <w:spacing w:before="300" w:after="160"/>
      </w:pPr>
      <w:r>
        <w:rPr>
          <w:rFonts w:ascii="Georgia" w:cs="Georgia" w:eastAsia="Georgia" w:hAnsi="Georgia"/>
          <w:b/>
          <w:bCs/>
          <w:color w:val="2A7F62"/>
          <w:sz w:val="32"/>
          <w:szCs w:val="32"/>
        </w:rPr>
        <w:t xml:space="preserve">Phase 2: Builder Tools (Weeks 5–10)</w:t>
      </w:r>
    </w:p>
    <w:p>
      <w:pPr>
        <w:spacing w:after="160" w:line="300"/>
      </w:pPr>
      <w:r>
        <w:rPr>
          <w:rFonts w:ascii="Calibri" w:cs="Calibri" w:eastAsia="Calibri" w:hAnsi="Calibri"/>
          <w:b/>
          <w:bCs/>
          <w:color w:val="2D3748"/>
          <w:sz w:val="22"/>
          <w:szCs w:val="22"/>
        </w:rPr>
        <w:t xml:space="preserve">Goal: </w:t>
      </w:r>
      <w:r>
        <w:rPr>
          <w:rFonts w:ascii="Calibri" w:cs="Calibri" w:eastAsia="Calibri" w:hAnsi="Calibri"/>
          <w:color w:val="2D3748"/>
          <w:sz w:val="22"/>
          <w:szCs w:val="22"/>
        </w:rPr>
        <w:t xml:space="preserve">Build the professional-grade tools that differentiate the Builder tier. Overlaps with Phase 1 in weeks 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600"/>
        <w:gridCol w:w="1560"/>
      </w:tblGrid>
      <w:tr>
        <w:tc>
          <w:tcPr>
            <w:tcW w:type="dxa" w:w="12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Week</w:t>
            </w:r>
          </w:p>
        </w:tc>
        <w:tc>
          <w:tcPr>
            <w:tcW w:type="dxa" w:w="50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Deliverable</w:t>
            </w:r>
          </w:p>
        </w:tc>
        <w:tc>
          <w:tcPr>
            <w:tcW w:type="dxa" w:w="16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Format</w:t>
            </w:r>
          </w:p>
        </w:tc>
        <w:tc>
          <w:tcPr>
            <w:tcW w:type="dxa" w:w="15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Est. Hours</w:t>
            </w:r>
          </w:p>
        </w:tc>
      </w:tr>
      <w:tr>
        <w:tc>
          <w:tcPr>
            <w:tcW w:type="dxa" w:w="12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5–6</w:t>
            </w:r>
          </w:p>
        </w:tc>
        <w:tc>
          <w:tcPr>
            <w:tcW w:type="dxa" w:w="50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Advanced budget calculator with regional benchmarks</w:t>
            </w:r>
          </w:p>
        </w:tc>
        <w:tc>
          <w:tcPr>
            <w:tcW w:type="dxa" w:w="16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Excel</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10–12</w:t>
            </w:r>
          </w:p>
        </w:tc>
      </w:tr>
      <w:tr>
        <w:tc>
          <w:tcPr>
            <w:tcW w:type="dxa" w:w="12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6–7</w:t>
            </w:r>
          </w:p>
        </w:tc>
        <w:tc>
          <w:tcPr>
            <w:tcW w:type="dxa" w:w="50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Contractor toolkit (vetting scorecard, bid template, contract checklist)</w:t>
            </w:r>
          </w:p>
        </w:tc>
        <w:tc>
          <w:tcPr>
            <w:tcW w:type="dxa" w:w="16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Excel/PDF</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12–15</w:t>
            </w:r>
          </w:p>
        </w:tc>
      </w:tr>
      <w:tr>
        <w:tc>
          <w:tcPr>
            <w:tcW w:type="dxa" w:w="12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7–8</w:t>
            </w:r>
          </w:p>
        </w:tc>
        <w:tc>
          <w:tcPr>
            <w:tcW w:type="dxa" w:w="50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Full financing comparison matrix with scenario modeling</w:t>
            </w:r>
          </w:p>
        </w:tc>
        <w:tc>
          <w:tcPr>
            <w:tcW w:type="dxa" w:w="16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Excel</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8–10</w:t>
            </w:r>
          </w:p>
        </w:tc>
      </w:tr>
      <w:tr>
        <w:tc>
          <w:tcPr>
            <w:tcW w:type="dxa" w:w="12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8–9</w:t>
            </w:r>
          </w:p>
        </w:tc>
        <w:tc>
          <w:tcPr>
            <w:tcW w:type="dxa" w:w="50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PM timeline template (editable Gantt)</w:t>
            </w:r>
          </w:p>
        </w:tc>
        <w:tc>
          <w:tcPr>
            <w:tcW w:type="dxa" w:w="16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Excel/Sheets</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8–10</w:t>
            </w:r>
          </w:p>
        </w:tc>
      </w:tr>
      <w:tr>
        <w:tc>
          <w:tcPr>
            <w:tcW w:type="dxa" w:w="12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9–10</w:t>
            </w:r>
          </w:p>
        </w:tc>
        <w:tc>
          <w:tcPr>
            <w:tcW w:type="dxa" w:w="50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Permit checklists for top 5 cities</w:t>
            </w:r>
          </w:p>
        </w:tc>
        <w:tc>
          <w:tcPr>
            <w:tcW w:type="dxa" w:w="16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PDF</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10–15</w:t>
            </w:r>
          </w:p>
        </w:tc>
      </w:tr>
      <w:tr>
        <w:tc>
          <w:tcPr>
            <w:tcW w:type="dxa" w:w="12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9–10</w:t>
            </w:r>
          </w:p>
        </w:tc>
        <w:tc>
          <w:tcPr>
            <w:tcW w:type="dxa" w:w="50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State regulatory reference expansion (5 → 15 states)</w:t>
            </w:r>
          </w:p>
        </w:tc>
        <w:tc>
          <w:tcPr>
            <w:tcW w:type="dxa" w:w="16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Manuscript</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15–20</w:t>
            </w:r>
          </w:p>
        </w:tc>
      </w:tr>
    </w:tbl>
    <w:p>
      <w:pPr>
        <w:spacing w:after="80"/>
      </w:pPr>
    </w:p>
    <w:p>
      <w:pPr>
        <w:spacing w:after="160" w:line="300"/>
      </w:pPr>
      <w:r>
        <w:rPr>
          <w:rFonts w:ascii="Calibri" w:cs="Calibri" w:eastAsia="Calibri" w:hAnsi="Calibri"/>
          <w:b/>
          <w:bCs/>
          <w:color w:val="2D3748"/>
          <w:sz w:val="22"/>
          <w:szCs w:val="22"/>
        </w:rPr>
        <w:t xml:space="preserve">Phase 2 total: ~63–82 hours. </w:t>
      </w:r>
      <w:r>
        <w:rPr>
          <w:rFonts w:ascii="Calibri" w:cs="Calibri" w:eastAsia="Calibri" w:hAnsi="Calibri"/>
          <w:color w:val="2D3748"/>
          <w:sz w:val="22"/>
          <w:szCs w:val="22"/>
        </w:rPr>
        <w:t xml:space="preserve">This is where your construction PM experience becomes the moat — these tools reflect real project management methodology, not generic templates.</w:t>
      </w:r>
    </w:p>
    <w:p>
      <w:pPr>
        <w:pStyle w:val="Heading2"/>
        <w:pBdr>
          <w:bottom w:val="single" w:color="2A7F62" w:sz="2" w:space="4"/>
        </w:pBdr>
        <w:spacing w:before="300" w:after="160"/>
      </w:pPr>
      <w:r>
        <w:rPr>
          <w:rFonts w:ascii="Georgia" w:cs="Georgia" w:eastAsia="Georgia" w:hAnsi="Georgia"/>
          <w:b/>
          <w:bCs/>
          <w:color w:val="2A7F62"/>
          <w:sz w:val="32"/>
          <w:szCs w:val="32"/>
        </w:rPr>
        <w:t xml:space="preserve">Phase 3: Complete Tier Assets (Weeks 9–14)</w:t>
      </w:r>
    </w:p>
    <w:p>
      <w:pPr>
        <w:spacing w:after="160" w:line="300"/>
      </w:pPr>
      <w:r>
        <w:rPr>
          <w:rFonts w:ascii="Calibri" w:cs="Calibri" w:eastAsia="Calibri" w:hAnsi="Calibri"/>
          <w:b/>
          <w:bCs/>
          <w:color w:val="2D3748"/>
          <w:sz w:val="22"/>
          <w:szCs w:val="22"/>
        </w:rPr>
        <w:t xml:space="preserve">Goal: </w:t>
      </w:r>
      <w:r>
        <w:rPr>
          <w:rFonts w:ascii="Calibri" w:cs="Calibri" w:eastAsia="Calibri" w:hAnsi="Calibri"/>
          <w:color w:val="2D3748"/>
          <w:sz w:val="22"/>
          <w:szCs w:val="22"/>
        </w:rPr>
        <w:t xml:space="preserve">Premium deliverables that justify the $297 price point and create maximum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600"/>
        <w:gridCol w:w="1560"/>
      </w:tblGrid>
      <w:tr>
        <w:tc>
          <w:tcPr>
            <w:tcW w:type="dxa" w:w="12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Week</w:t>
            </w:r>
          </w:p>
        </w:tc>
        <w:tc>
          <w:tcPr>
            <w:tcW w:type="dxa" w:w="50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Deliverable</w:t>
            </w:r>
          </w:p>
        </w:tc>
        <w:tc>
          <w:tcPr>
            <w:tcW w:type="dxa" w:w="16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Format</w:t>
            </w:r>
          </w:p>
        </w:tc>
        <w:tc>
          <w:tcPr>
            <w:tcW w:type="dxa" w:w="15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Est. Hours</w:t>
            </w:r>
          </w:p>
        </w:tc>
      </w:tr>
      <w:tr>
        <w:tc>
          <w:tcPr>
            <w:tcW w:type="dxa" w:w="12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9–11</w:t>
            </w:r>
          </w:p>
        </w:tc>
        <w:tc>
          <w:tcPr>
            <w:tcW w:type="dxa" w:w="50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State regulatory reference expansion (15 → 26+ states)</w:t>
            </w:r>
          </w:p>
        </w:tc>
        <w:tc>
          <w:tcPr>
            <w:tcW w:type="dxa" w:w="16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Manuscript</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20–25</w:t>
            </w:r>
          </w:p>
        </w:tc>
      </w:tr>
      <w:tr>
        <w:tc>
          <w:tcPr>
            <w:tcW w:type="dxa" w:w="12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10–11</w:t>
            </w:r>
          </w:p>
        </w:tc>
        <w:tc>
          <w:tcPr>
            <w:tcW w:type="dxa" w:w="50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ROI &amp; rental income calculator</w:t>
            </w:r>
          </w:p>
        </w:tc>
        <w:tc>
          <w:tcPr>
            <w:tcW w:type="dxa" w:w="16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Excel</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8–10</w:t>
            </w:r>
          </w:p>
        </w:tc>
      </w:tr>
      <w:tr>
        <w:tc>
          <w:tcPr>
            <w:tcW w:type="dxa" w:w="12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11–12</w:t>
            </w:r>
          </w:p>
        </w:tc>
        <w:tc>
          <w:tcPr>
            <w:tcW w:type="dxa" w:w="50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Contract template + attorney review coordination</w:t>
            </w:r>
          </w:p>
        </w:tc>
        <w:tc>
          <w:tcPr>
            <w:tcW w:type="dxa" w:w="16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DOCX/PDF</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10–15</w:t>
            </w:r>
          </w:p>
        </w:tc>
      </w:tr>
      <w:tr>
        <w:tc>
          <w:tcPr>
            <w:tcW w:type="dxa" w:w="12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11–13</w:t>
            </w:r>
          </w:p>
        </w:tc>
        <w:tc>
          <w:tcPr>
            <w:tcW w:type="dxa" w:w="50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Permit checklists expansion (5 → 25 cities)</w:t>
            </w:r>
          </w:p>
        </w:tc>
        <w:tc>
          <w:tcPr>
            <w:tcW w:type="dxa" w:w="16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PDF</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20–25</w:t>
            </w:r>
          </w:p>
        </w:tc>
      </w:tr>
      <w:tr>
        <w:tc>
          <w:tcPr>
            <w:tcW w:type="dxa" w:w="12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12–14</w:t>
            </w:r>
          </w:p>
        </w:tc>
        <w:tc>
          <w:tcPr>
            <w:tcW w:type="dxa" w:w="50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5 video walkthrough modules (scripting + recording)</w:t>
            </w:r>
          </w:p>
        </w:tc>
        <w:tc>
          <w:tcPr>
            <w:tcW w:type="dxa" w:w="16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MP4</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25–35</w:t>
            </w:r>
          </w:p>
        </w:tc>
      </w:tr>
      <w:tr>
        <w:tc>
          <w:tcPr>
            <w:tcW w:type="dxa" w:w="12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13–14</w:t>
            </w:r>
          </w:p>
        </w:tc>
        <w:tc>
          <w:tcPr>
            <w:tcW w:type="dxa" w:w="50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Tenant screening &amp; lease kit, pre-inspection checklist</w:t>
            </w:r>
          </w:p>
        </w:tc>
        <w:tc>
          <w:tcPr>
            <w:tcW w:type="dxa" w:w="16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PDF/DOCX</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8–10</w:t>
            </w:r>
          </w:p>
        </w:tc>
      </w:tr>
    </w:tbl>
    <w:p>
      <w:pPr>
        <w:spacing w:after="80"/>
      </w:pPr>
    </w:p>
    <w:p>
      <w:pPr>
        <w:spacing w:after="160" w:line="300"/>
      </w:pPr>
      <w:r>
        <w:rPr>
          <w:rFonts w:ascii="Calibri" w:cs="Calibri" w:eastAsia="Calibri" w:hAnsi="Calibri"/>
          <w:b/>
          <w:bCs/>
          <w:color w:val="2D3748"/>
          <w:sz w:val="22"/>
          <w:szCs w:val="22"/>
        </w:rPr>
        <w:t xml:space="preserve">Phase 3 total: ~91–120 hours. </w:t>
      </w:r>
      <w:r>
        <w:rPr>
          <w:rFonts w:ascii="Calibri" w:cs="Calibri" w:eastAsia="Calibri" w:hAnsi="Calibri"/>
          <w:color w:val="2D3748"/>
          <w:sz w:val="22"/>
          <w:szCs w:val="22"/>
        </w:rPr>
        <w:t xml:space="preserve">The video modules are the biggest time investment but also the strongest conversion driver for the $297 tier.</w:t>
      </w:r>
    </w:p>
    <w:p>
      <w:pPr>
        <w:pStyle w:val="Heading2"/>
        <w:pBdr>
          <w:bottom w:val="single" w:color="2A7F62" w:sz="2" w:space="4"/>
        </w:pBdr>
        <w:spacing w:before="300" w:after="160"/>
      </w:pPr>
      <w:r>
        <w:rPr>
          <w:rFonts w:ascii="Georgia" w:cs="Georgia" w:eastAsia="Georgia" w:hAnsi="Georgia"/>
          <w:b/>
          <w:bCs/>
          <w:color w:val="2A7F62"/>
          <w:sz w:val="32"/>
          <w:szCs w:val="32"/>
        </w:rPr>
        <w:t xml:space="preserve">Phase 4: Launch Preparation (Weeks 13–16)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Week</w:t>
            </w:r>
          </w:p>
        </w:tc>
        <w:tc>
          <w:tcPr>
            <w:tcW w:type="dxa" w:w="63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Task</w:t>
            </w:r>
          </w:p>
        </w:tc>
        <w:tc>
          <w:tcPr>
            <w:tcW w:type="dxa" w:w="18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Est. Hours</w:t>
            </w:r>
          </w:p>
        </w:tc>
      </w:tr>
      <w:tr>
        <w:tc>
          <w:tcPr>
            <w:tcW w:type="dxa" w:w="12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13</w:t>
            </w:r>
          </w:p>
        </w:tc>
        <w:tc>
          <w:tcPr>
            <w:tcW w:type="dxa" w:w="63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Gumroad store setup: product pages, tier configuration, checkout flows</w:t>
            </w:r>
          </w:p>
        </w:tc>
        <w:tc>
          <w:tcPr>
            <w:tcW w:type="dxa" w:w="18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6–8</w:t>
            </w:r>
          </w:p>
        </w:tc>
      </w:tr>
      <w:tr>
        <w:tc>
          <w:tcPr>
            <w:tcW w:type="dxa" w:w="12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13–14</w:t>
            </w:r>
          </w:p>
        </w:tc>
        <w:tc>
          <w:tcPr>
            <w:tcW w:type="dxa" w:w="63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Sales page copywriting (long-form, conversion-optimized)</w:t>
            </w:r>
          </w:p>
        </w:tc>
        <w:tc>
          <w:tcPr>
            <w:tcW w:type="dxa" w:w="18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10–15</w:t>
            </w:r>
          </w:p>
        </w:tc>
      </w:tr>
      <w:tr>
        <w:tc>
          <w:tcPr>
            <w:tcW w:type="dxa" w:w="12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14</w:t>
            </w:r>
          </w:p>
        </w:tc>
        <w:tc>
          <w:tcPr>
            <w:tcW w:type="dxa" w:w="63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Beta reader review (3–5 homeowners who’ve built or are planning ADUs)</w:t>
            </w:r>
          </w:p>
        </w:tc>
        <w:tc>
          <w:tcPr>
            <w:tcW w:type="dxa" w:w="18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4–6</w:t>
            </w:r>
          </w:p>
        </w:tc>
      </w:tr>
      <w:tr>
        <w:tc>
          <w:tcPr>
            <w:tcW w:type="dxa" w:w="12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14–15</w:t>
            </w:r>
          </w:p>
        </w:tc>
        <w:tc>
          <w:tcPr>
            <w:tcW w:type="dxa" w:w="63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Revisions based on beta feedback</w:t>
            </w:r>
          </w:p>
        </w:tc>
        <w:tc>
          <w:tcPr>
            <w:tcW w:type="dxa" w:w="18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8–12</w:t>
            </w:r>
          </w:p>
        </w:tc>
      </w:tr>
      <w:tr>
        <w:tc>
          <w:tcPr>
            <w:tcW w:type="dxa" w:w="12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15</w:t>
            </w:r>
          </w:p>
        </w:tc>
        <w:tc>
          <w:tcPr>
            <w:tcW w:type="dxa" w:w="63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Email sequence setup (lead magnet → nurture → launch)</w:t>
            </w:r>
          </w:p>
        </w:tc>
        <w:tc>
          <w:tcPr>
            <w:tcW w:type="dxa" w:w="18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6–8</w:t>
            </w:r>
          </w:p>
        </w:tc>
      </w:tr>
      <w:tr>
        <w:tc>
          <w:tcPr>
            <w:tcW w:type="dxa" w:w="12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15–16</w:t>
            </w:r>
          </w:p>
        </w:tc>
        <w:tc>
          <w:tcPr>
            <w:tcW w:type="dxa" w:w="63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Launch campaign: Reddit, ADU forums, SEO content, social</w:t>
            </w:r>
          </w:p>
        </w:tc>
        <w:tc>
          <w:tcPr>
            <w:tcW w:type="dxa" w:w="18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40"/>
            </w:pPr>
            <w:r>
              <w:rPr>
                <w:rFonts w:ascii="Calibri" w:cs="Calibri" w:eastAsia="Calibri" w:hAnsi="Calibri"/>
                <w:b w:val="false"/>
                <w:bCs w:val="false"/>
                <w:color w:val="2D3748"/>
                <w:sz w:val="20"/>
                <w:szCs w:val="20"/>
              </w:rPr>
              <w:t xml:space="preserve">10–15</w:t>
            </w:r>
          </w:p>
        </w:tc>
      </w:tr>
    </w:tbl>
    <w:p>
      <w:pPr>
        <w:spacing w:after="80"/>
      </w:pPr>
    </w:p>
    <w:p>
      <w:pPr>
        <w:spacing w:after="160" w:line="300"/>
      </w:pPr>
      <w:r>
        <w:rPr>
          <w:rFonts w:ascii="Calibri" w:cs="Calibri" w:eastAsia="Calibri" w:hAnsi="Calibri"/>
          <w:b/>
          <w:bCs/>
          <w:color w:val="2D3748"/>
          <w:sz w:val="22"/>
          <w:szCs w:val="22"/>
        </w:rPr>
        <w:t xml:space="preserve">Phase 4 total: ~44–64 hours. </w:t>
      </w:r>
      <w:r>
        <w:rPr>
          <w:rFonts w:ascii="Calibri" w:cs="Calibri" w:eastAsia="Calibri" w:hAnsi="Calibri"/>
          <w:color w:val="2D3748"/>
          <w:sz w:val="22"/>
          <w:szCs w:val="22"/>
        </w:rPr>
        <w:t xml:space="preserve">Total project: ~305–411 hours across 16 weeks.</w:t>
      </w:r>
    </w:p>
    <w:p>
      <w:pPr>
        <w:shd w:fill="E6F4F0" w:val="clear"/>
        <w:spacing w:before="200" w:after="60"/>
        <w:ind w:left="360" w:right="360"/>
      </w:pPr>
      <w:r>
        <w:rPr>
          <w:rFonts w:ascii="Calibri" w:cs="Calibri" w:eastAsia="Calibri" w:hAnsi="Calibri"/>
          <w:color w:val="2A7F62"/>
          <w:sz w:val="22"/>
          <w:szCs w:val="22"/>
        </w:rPr>
        <w:t xml:space="preserve">●  </w:t>
      </w:r>
      <w:r>
        <w:rPr>
          <w:rFonts w:ascii="Calibri" w:cs="Calibri" w:eastAsia="Calibri" w:hAnsi="Calibri"/>
          <w:b/>
          <w:bCs/>
          <w:color w:val="1B2A4A"/>
          <w:sz w:val="22"/>
          <w:szCs w:val="22"/>
        </w:rPr>
        <w:t xml:space="preserve">LAUNCH STRATEGY</w:t>
      </w:r>
    </w:p>
    <w:p>
      <w:pPr>
        <w:shd w:fill="E6F4F0" w:val="clear"/>
        <w:spacing w:after="200"/>
        <w:ind w:left="360" w:right="360"/>
      </w:pPr>
      <w:r>
        <w:rPr>
          <w:rFonts w:ascii="Calibri" w:cs="Calibri" w:eastAsia="Calibri" w:hAnsi="Calibri"/>
          <w:color w:val="2D3748"/>
          <w:sz w:val="21"/>
          <w:szCs w:val="21"/>
        </w:rPr>
        <w:t xml:space="preserve">Lead with the Foundation tier at $97 to validate demand and collect reviews. The Builder tier can launch 2–4 weeks later. Complete tier follows once video modules are finished. This staged approach lets early buyers upgrade (Gumroad supports pay-the-difference upgrades) and builds social proof before the premium tier launches.</w:t>
      </w:r>
    </w:p>
    <w:p>
      <w:r>
        <w:br w:type="page"/>
      </w:r>
    </w:p>
    <w:p>
      <w:pPr>
        <w:pStyle w:val="Heading1"/>
        <w:spacing w:before="360" w:after="200"/>
      </w:pPr>
      <w:r>
        <w:rPr>
          <w:rFonts w:ascii="Georgia" w:cs="Georgia" w:eastAsia="Georgia" w:hAnsi="Georgia"/>
          <w:b/>
          <w:bCs/>
          <w:color w:val="1B2A4A"/>
          <w:sz w:val="44"/>
          <w:szCs w:val="44"/>
        </w:rPr>
        <w:t xml:space="preserve">Go-to-Market Strategy</w:t>
      </w:r>
    </w:p>
    <w:p>
      <w:pPr>
        <w:pStyle w:val="Heading2"/>
        <w:pBdr>
          <w:bottom w:val="single" w:color="2A7F62" w:sz="2" w:space="4"/>
        </w:pBdr>
        <w:spacing w:before="300" w:after="160"/>
      </w:pPr>
      <w:r>
        <w:rPr>
          <w:rFonts w:ascii="Georgia" w:cs="Georgia" w:eastAsia="Georgia" w:hAnsi="Georgia"/>
          <w:b/>
          <w:bCs/>
          <w:color w:val="2A7F62"/>
          <w:sz w:val="32"/>
          <w:szCs w:val="32"/>
        </w:rPr>
        <w:t xml:space="preserve">Lead Magnet: The Free ADU Feasibility Checklist</w:t>
      </w:r>
    </w:p>
    <w:p>
      <w:pPr>
        <w:spacing w:after="160" w:line="300"/>
      </w:pPr>
      <w:r>
        <w:rPr>
          <w:rFonts w:ascii="Calibri" w:cs="Calibri" w:eastAsia="Calibri" w:hAnsi="Calibri"/>
          <w:color w:val="2D3748"/>
          <w:sz w:val="22"/>
          <w:szCs w:val="22"/>
        </w:rPr>
        <w:t xml:space="preserve">A high-value, single-purpose freebie that solves the #1 question homeowners have: “Can I even build an ADU on my property?” This 5–7 page PDF covers zoning basics, lot requirements, and a self-assessment scoring system. It delivers immediate value, demonstrates expertise, and naturally leads into the paid guide (“Now that you know your property qualifies, here’s everything you need to actually build it”).</w:t>
      </w:r>
    </w:p>
    <w:p>
      <w:pPr>
        <w:pStyle w:val="Heading2"/>
        <w:pBdr>
          <w:bottom w:val="single" w:color="2A7F62" w:sz="2" w:space="4"/>
        </w:pBdr>
        <w:spacing w:before="300" w:after="160"/>
      </w:pPr>
      <w:r>
        <w:rPr>
          <w:rFonts w:ascii="Georgia" w:cs="Georgia" w:eastAsia="Georgia" w:hAnsi="Georgia"/>
          <w:b/>
          <w:bCs/>
          <w:color w:val="2A7F62"/>
          <w:sz w:val="32"/>
          <w:szCs w:val="32"/>
        </w:rPr>
        <w:t xml:space="preserve">Distribution Channels</w:t>
      </w:r>
    </w:p>
    <w:p>
      <w:pPr>
        <w:spacing w:before="240" w:after="120"/>
      </w:pPr>
      <w:r>
        <w:rPr>
          <w:rFonts w:ascii="Georgia" w:cs="Georgia" w:eastAsia="Georgia" w:hAnsi="Georgia"/>
          <w:b/>
          <w:bCs/>
          <w:color w:val="1B2A4A"/>
          <w:sz w:val="26"/>
          <w:szCs w:val="26"/>
        </w:rPr>
        <w:t xml:space="preserve">Primary: Gumroad Organic + SEO Content</w:t>
      </w:r>
    </w:p>
    <w:p>
      <w:pPr>
        <w:spacing w:after="160" w:line="300"/>
      </w:pPr>
      <w:r>
        <w:rPr>
          <w:rFonts w:ascii="Calibri" w:cs="Calibri" w:eastAsia="Calibri" w:hAnsi="Calibri"/>
          <w:color w:val="2D3748"/>
          <w:sz w:val="22"/>
          <w:szCs w:val="22"/>
        </w:rPr>
        <w:t xml:space="preserve">Gumroad’s zero ADU competition means the product will index immediately for anyone searching the platform. Pair this with 5–10 SEO-optimized blog posts targeting long-tail keywords: “ADU cost breakdown 2025,” “ADU permit process California,” “how to finance an ADU,” “ADU contractor red flags.” Each post links to the free checklist, which feeds the email funnel.</w:t>
      </w:r>
    </w:p>
    <w:p>
      <w:pPr>
        <w:spacing w:before="240" w:after="120"/>
      </w:pPr>
      <w:r>
        <w:rPr>
          <w:rFonts w:ascii="Georgia" w:cs="Georgia" w:eastAsia="Georgia" w:hAnsi="Georgia"/>
          <w:b/>
          <w:bCs/>
          <w:color w:val="1B2A4A"/>
          <w:sz w:val="26"/>
          <w:szCs w:val="26"/>
        </w:rPr>
        <w:t xml:space="preserve">Secondary: Reddit and Community Engagement</w:t>
      </w:r>
    </w:p>
    <w:p>
      <w:pPr>
        <w:spacing w:after="160" w:line="300"/>
      </w:pPr>
      <w:r>
        <w:rPr>
          <w:rFonts w:ascii="Calibri" w:cs="Calibri" w:eastAsia="Calibri" w:hAnsi="Calibri"/>
          <w:color w:val="2D3748"/>
          <w:sz w:val="22"/>
          <w:szCs w:val="22"/>
        </w:rPr>
        <w:t xml:space="preserve">Authentic participation in r/homeimprovement, r/realestateinvesting, r/ADU (small but targeted), and r/construction. The strategy is value-first: answer questions thoroughly, share genuine expertise, and link to the free checklist when directly relevant. Your construction PM credentials give you immediate credibility that generic digital marketers lack. This is not a spam campaign — it’s demonstrating the exact expertise that the product packages.</w:t>
      </w:r>
    </w:p>
    <w:p>
      <w:pPr>
        <w:spacing w:before="240" w:after="120"/>
      </w:pPr>
      <w:r>
        <w:rPr>
          <w:rFonts w:ascii="Georgia" w:cs="Georgia" w:eastAsia="Georgia" w:hAnsi="Georgia"/>
          <w:b/>
          <w:bCs/>
          <w:color w:val="1B2A4A"/>
          <w:sz w:val="26"/>
          <w:szCs w:val="26"/>
        </w:rPr>
        <w:t xml:space="preserve">Tertiary: Partnerships and Affiliates</w:t>
      </w:r>
    </w:p>
    <w:p>
      <w:pPr>
        <w:spacing w:after="160" w:line="300"/>
      </w:pPr>
      <w:r>
        <w:rPr>
          <w:rFonts w:ascii="Calibri" w:cs="Calibri" w:eastAsia="Calibri" w:hAnsi="Calibri"/>
          <w:color w:val="2D3748"/>
          <w:sz w:val="22"/>
          <w:szCs w:val="22"/>
        </w:rPr>
        <w:t xml:space="preserve">ADU-adjacent businesses — lenders, prefab manufacturers, architects, real estate agents — all benefit from educated homeowners. An affiliate program (20–30% commission) gives these partners an incentive to recommend the guide, and their endorsement carries weight with their existing audiences. Reach out to 10–20 ADU-focused professionals for launch partnerships.</w:t>
      </w:r>
    </w:p>
    <w:p>
      <w:pPr>
        <w:pStyle w:val="Heading2"/>
        <w:pBdr>
          <w:bottom w:val="single" w:color="2A7F62" w:sz="2" w:space="4"/>
        </w:pBdr>
        <w:spacing w:before="300" w:after="160"/>
      </w:pPr>
      <w:r>
        <w:rPr>
          <w:rFonts w:ascii="Georgia" w:cs="Georgia" w:eastAsia="Georgia" w:hAnsi="Georgia"/>
          <w:b/>
          <w:bCs/>
          <w:color w:val="2A7F62"/>
          <w:sz w:val="32"/>
          <w:szCs w:val="32"/>
        </w:rPr>
        <w:t xml:space="preserve">Pricing Psychology</w:t>
      </w:r>
    </w:p>
    <w:p>
      <w:pPr>
        <w:spacing w:after="160" w:line="300"/>
      </w:pPr>
      <w:r>
        <w:rPr>
          <w:rFonts w:ascii="Calibri" w:cs="Calibri" w:eastAsia="Calibri" w:hAnsi="Calibri"/>
          <w:color w:val="2D3748"/>
          <w:sz w:val="22"/>
          <w:szCs w:val="22"/>
        </w:rPr>
        <w:t xml:space="preserve">The tiered structure uses a classic anchoring strategy: the $297 Complete tier makes the $197 Builder tier feel like a deal, while the $97 Foundation tier serves as an accessible entry point. Based on comparable digital product data, expect roughly 30% Foundation, 45% Builder, 20% Complete, and 5% direct-to-Complete upgrades — yielding a blended AOV around $167. The key psychological lever: “This guide costs less than one hour with an ADU consultant and covers 100x more ground.”</w:t>
      </w:r>
    </w:p>
    <w:p>
      <w:pPr>
        <w:pStyle w:val="Heading2"/>
        <w:pBdr>
          <w:bottom w:val="single" w:color="2A7F62" w:sz="2" w:space="4"/>
        </w:pBdr>
        <w:spacing w:before="300" w:after="160"/>
      </w:pPr>
      <w:r>
        <w:rPr>
          <w:rFonts w:ascii="Georgia" w:cs="Georgia" w:eastAsia="Georgia" w:hAnsi="Georgia"/>
          <w:b/>
          <w:bCs/>
          <w:color w:val="2A7F62"/>
          <w:sz w:val="32"/>
          <w:szCs w:val="32"/>
        </w:rPr>
        <w:t xml:space="preserve">Content Moat and Update Strategy</w:t>
      </w:r>
    </w:p>
    <w:p>
      <w:pPr>
        <w:spacing w:after="160" w:line="300"/>
      </w:pPr>
      <w:r>
        <w:rPr>
          <w:rFonts w:ascii="Calibri" w:cs="Calibri" w:eastAsia="Calibri" w:hAnsi="Calibri"/>
          <w:color w:val="2D3748"/>
          <w:sz w:val="22"/>
          <w:szCs w:val="22"/>
        </w:rPr>
        <w:t xml:space="preserve">ADU legislation changes annually in California and regularly in other states. Committing to quarterly regulatory monitoring and annual guide updates creates a defensible advantage that no static book can match. The update cadence also justifies the tier-differentiated update access (1 year, 2 years, lifetime) and creates a natural re-engagement touchpoint with past buyers.</w:t>
      </w:r>
    </w:p>
    <w:p>
      <w:pPr>
        <w:pStyle w:val="Heading1"/>
        <w:spacing w:before="360" w:after="200"/>
      </w:pPr>
      <w:r>
        <w:rPr>
          <w:rFonts w:ascii="Georgia" w:cs="Georgia" w:eastAsia="Georgia" w:hAnsi="Georgia"/>
          <w:b/>
          <w:bCs/>
          <w:color w:val="1B2A4A"/>
          <w:sz w:val="44"/>
          <w:szCs w:val="44"/>
        </w:rPr>
        <w:t xml:space="preserve">Success Metrics and Milestones</w:t>
      </w:r>
    </w:p>
    <w:p>
      <w:pPr>
        <w:pStyle w:val="Heading2"/>
        <w:pBdr>
          <w:bottom w:val="single" w:color="2A7F62" w:sz="2" w:space="4"/>
        </w:pBdr>
        <w:spacing w:before="300" w:after="160"/>
      </w:pPr>
      <w:r>
        <w:rPr>
          <w:rFonts w:ascii="Georgia" w:cs="Georgia" w:eastAsia="Georgia" w:hAnsi="Georgia"/>
          <w:b/>
          <w:bCs/>
          <w:color w:val="2A7F62"/>
          <w:sz w:val="32"/>
          <w:szCs w:val="32"/>
        </w:rPr>
        <w:t xml:space="preserve">Launch Month (Month 1)</w:t>
      </w:r>
    </w:p>
    <w:p>
      <w:pPr>
        <w:pStyle w:val="ListParagraph"/>
        <w:numPr>
          <w:ilvl w:val="0"/>
          <w:numId w:val="2"/>
        </w:numPr>
        <w:spacing w:after="80" w:line="280"/>
      </w:pPr>
      <w:r>
        <w:rPr>
          <w:rFonts w:ascii="Calibri" w:cs="Calibri" w:eastAsia="Calibri" w:hAnsi="Calibri"/>
          <w:color w:val="2D3748"/>
          <w:sz w:val="22"/>
          <w:szCs w:val="22"/>
        </w:rPr>
        <w:t xml:space="preserve">Target: 50–100 units sold across all tiers</w:t>
      </w:r>
    </w:p>
    <w:p>
      <w:pPr>
        <w:pStyle w:val="ListParagraph"/>
        <w:numPr>
          <w:ilvl w:val="0"/>
          <w:numId w:val="2"/>
        </w:numPr>
        <w:spacing w:after="80" w:line="280"/>
      </w:pPr>
      <w:r>
        <w:rPr>
          <w:rFonts w:ascii="Calibri" w:cs="Calibri" w:eastAsia="Calibri" w:hAnsi="Calibri"/>
          <w:color w:val="2D3748"/>
          <w:sz w:val="22"/>
          <w:szCs w:val="22"/>
        </w:rPr>
        <w:t xml:space="preserve">Minimum 3 five-star reviews on Gumroad</w:t>
      </w:r>
    </w:p>
    <w:p>
      <w:pPr>
        <w:pStyle w:val="ListParagraph"/>
        <w:numPr>
          <w:ilvl w:val="0"/>
          <w:numId w:val="2"/>
        </w:numPr>
        <w:spacing w:after="80" w:line="280"/>
      </w:pPr>
      <w:r>
        <w:rPr>
          <w:rFonts w:ascii="Calibri" w:cs="Calibri" w:eastAsia="Calibri" w:hAnsi="Calibri"/>
          <w:color w:val="2D3748"/>
          <w:sz w:val="22"/>
          <w:szCs w:val="22"/>
        </w:rPr>
        <w:t xml:space="preserve">Email list: 500+ subscribers from free checklist</w:t>
      </w:r>
    </w:p>
    <w:p>
      <w:pPr>
        <w:pStyle w:val="ListParagraph"/>
        <w:numPr>
          <w:ilvl w:val="0"/>
          <w:numId w:val="2"/>
        </w:numPr>
        <w:spacing w:after="80" w:line="280"/>
      </w:pPr>
      <w:r>
        <w:rPr>
          <w:rFonts w:ascii="Calibri" w:cs="Calibri" w:eastAsia="Calibri" w:hAnsi="Calibri"/>
          <w:color w:val="2D3748"/>
          <w:sz w:val="22"/>
          <w:szCs w:val="22"/>
        </w:rPr>
        <w:t xml:space="preserve">Validate that Builder tier outsells Foundation (confirms value perception)</w:t>
      </w:r>
    </w:p>
    <w:p>
      <w:pPr>
        <w:pStyle w:val="Heading2"/>
        <w:pBdr>
          <w:bottom w:val="single" w:color="2A7F62" w:sz="2" w:space="4"/>
        </w:pBdr>
        <w:spacing w:before="300" w:after="160"/>
      </w:pPr>
      <w:r>
        <w:rPr>
          <w:rFonts w:ascii="Georgia" w:cs="Georgia" w:eastAsia="Georgia" w:hAnsi="Georgia"/>
          <w:b/>
          <w:bCs/>
          <w:color w:val="2A7F62"/>
          <w:sz w:val="32"/>
          <w:szCs w:val="32"/>
        </w:rPr>
        <w:t xml:space="preserve">Quarter 1 (Months 1–3)</w:t>
      </w:r>
    </w:p>
    <w:p>
      <w:pPr>
        <w:pStyle w:val="ListParagraph"/>
        <w:numPr>
          <w:ilvl w:val="0"/>
          <w:numId w:val="2"/>
        </w:numPr>
        <w:spacing w:after="80" w:line="280"/>
      </w:pPr>
      <w:r>
        <w:rPr>
          <w:rFonts w:ascii="Calibri" w:cs="Calibri" w:eastAsia="Calibri" w:hAnsi="Calibri"/>
          <w:color w:val="2D3748"/>
          <w:sz w:val="22"/>
          <w:szCs w:val="22"/>
        </w:rPr>
        <w:t xml:space="preserve">Target: 200–400 cumulative units</w:t>
      </w:r>
    </w:p>
    <w:p>
      <w:pPr>
        <w:pStyle w:val="ListParagraph"/>
        <w:numPr>
          <w:ilvl w:val="0"/>
          <w:numId w:val="2"/>
        </w:numPr>
        <w:spacing w:after="80" w:line="280"/>
      </w:pPr>
      <w:r>
        <w:rPr>
          <w:rFonts w:ascii="Calibri" w:cs="Calibri" w:eastAsia="Calibri" w:hAnsi="Calibri"/>
          <w:color w:val="2D3748"/>
          <w:sz w:val="22"/>
          <w:szCs w:val="22"/>
        </w:rPr>
        <w:t xml:space="preserve">Revenue target: $33,000–$67,000</w:t>
      </w:r>
    </w:p>
    <w:p>
      <w:pPr>
        <w:pStyle w:val="ListParagraph"/>
        <w:numPr>
          <w:ilvl w:val="0"/>
          <w:numId w:val="2"/>
        </w:numPr>
        <w:spacing w:after="80" w:line="280"/>
      </w:pPr>
      <w:r>
        <w:rPr>
          <w:rFonts w:ascii="Calibri" w:cs="Calibri" w:eastAsia="Calibri" w:hAnsi="Calibri"/>
          <w:color w:val="2D3748"/>
          <w:sz w:val="22"/>
          <w:szCs w:val="22"/>
        </w:rPr>
        <w:t xml:space="preserve">Refund rate below 5% (Gumroad average for digital products: 3–5%)</w:t>
      </w:r>
    </w:p>
    <w:p>
      <w:pPr>
        <w:pStyle w:val="ListParagraph"/>
        <w:numPr>
          <w:ilvl w:val="0"/>
          <w:numId w:val="2"/>
        </w:numPr>
        <w:spacing w:after="80" w:line="280"/>
      </w:pPr>
      <w:r>
        <w:rPr>
          <w:rFonts w:ascii="Calibri" w:cs="Calibri" w:eastAsia="Calibri" w:hAnsi="Calibri"/>
          <w:color w:val="2D3748"/>
          <w:sz w:val="22"/>
          <w:szCs w:val="22"/>
        </w:rPr>
        <w:t xml:space="preserve">Identify top 3 improvement areas from customer feedback</w:t>
      </w:r>
    </w:p>
    <w:p>
      <w:pPr>
        <w:pStyle w:val="ListParagraph"/>
        <w:numPr>
          <w:ilvl w:val="0"/>
          <w:numId w:val="2"/>
        </w:numPr>
        <w:spacing w:after="80" w:line="280"/>
      </w:pPr>
      <w:r>
        <w:rPr>
          <w:rFonts w:ascii="Calibri" w:cs="Calibri" w:eastAsia="Calibri" w:hAnsi="Calibri"/>
          <w:color w:val="2D3748"/>
          <w:sz w:val="22"/>
          <w:szCs w:val="22"/>
        </w:rPr>
        <w:t xml:space="preserve">First quarterly legislation update published</w:t>
      </w:r>
    </w:p>
    <w:p>
      <w:pPr>
        <w:pStyle w:val="Heading2"/>
        <w:pBdr>
          <w:bottom w:val="single" w:color="2A7F62" w:sz="2" w:space="4"/>
        </w:pBdr>
        <w:spacing w:before="300" w:after="160"/>
      </w:pPr>
      <w:r>
        <w:rPr>
          <w:rFonts w:ascii="Georgia" w:cs="Georgia" w:eastAsia="Georgia" w:hAnsi="Georgia"/>
          <w:b/>
          <w:bCs/>
          <w:color w:val="2A7F62"/>
          <w:sz w:val="32"/>
          <w:szCs w:val="32"/>
        </w:rPr>
        <w:t xml:space="preserve">Year 1</w:t>
      </w:r>
    </w:p>
    <w:p>
      <w:pPr>
        <w:pStyle w:val="ListParagraph"/>
        <w:numPr>
          <w:ilvl w:val="0"/>
          <w:numId w:val="2"/>
        </w:numPr>
        <w:spacing w:after="80" w:line="280"/>
      </w:pPr>
      <w:r>
        <w:rPr>
          <w:rFonts w:ascii="Calibri" w:cs="Calibri" w:eastAsia="Calibri" w:hAnsi="Calibri"/>
          <w:color w:val="2D3748"/>
          <w:sz w:val="22"/>
          <w:szCs w:val="22"/>
        </w:rPr>
        <w:t xml:space="preserve">Target: 500–1,200 cumulative units</w:t>
      </w:r>
    </w:p>
    <w:p>
      <w:pPr>
        <w:pStyle w:val="ListParagraph"/>
        <w:numPr>
          <w:ilvl w:val="0"/>
          <w:numId w:val="2"/>
        </w:numPr>
        <w:spacing w:after="80" w:line="280"/>
      </w:pPr>
      <w:r>
        <w:rPr>
          <w:rFonts w:ascii="Calibri" w:cs="Calibri" w:eastAsia="Calibri" w:hAnsi="Calibri"/>
          <w:color w:val="2D3748"/>
          <w:sz w:val="22"/>
          <w:szCs w:val="22"/>
        </w:rPr>
        <w:t xml:space="preserve">Revenue target: $83,500–$200,400</w:t>
      </w:r>
    </w:p>
    <w:p>
      <w:pPr>
        <w:pStyle w:val="ListParagraph"/>
        <w:numPr>
          <w:ilvl w:val="0"/>
          <w:numId w:val="2"/>
        </w:numPr>
        <w:spacing w:after="80" w:line="280"/>
      </w:pPr>
      <w:r>
        <w:rPr>
          <w:rFonts w:ascii="Calibri" w:cs="Calibri" w:eastAsia="Calibri" w:hAnsi="Calibri"/>
          <w:color w:val="2D3748"/>
          <w:sz w:val="22"/>
          <w:szCs w:val="22"/>
        </w:rPr>
        <w:t xml:space="preserve">Launch annual update subscription ($47/year) for Foundation and Builder buyers</w:t>
      </w:r>
    </w:p>
    <w:p>
      <w:pPr>
        <w:pStyle w:val="ListParagraph"/>
        <w:numPr>
          <w:ilvl w:val="0"/>
          <w:numId w:val="2"/>
        </w:numPr>
        <w:spacing w:after="80" w:line="280"/>
      </w:pPr>
      <w:r>
        <w:rPr>
          <w:rFonts w:ascii="Calibri" w:cs="Calibri" w:eastAsia="Calibri" w:hAnsi="Calibri"/>
          <w:color w:val="2D3748"/>
          <w:sz w:val="22"/>
          <w:szCs w:val="22"/>
        </w:rPr>
        <w:t xml:space="preserve">Evaluate 1-on-1 consultation add-on demand</w:t>
      </w:r>
    </w:p>
    <w:p>
      <w:pPr>
        <w:pStyle w:val="ListParagraph"/>
        <w:numPr>
          <w:ilvl w:val="0"/>
          <w:numId w:val="2"/>
        </w:numPr>
        <w:spacing w:after="80" w:line="280"/>
      </w:pPr>
      <w:r>
        <w:rPr>
          <w:rFonts w:ascii="Calibri" w:cs="Calibri" w:eastAsia="Calibri" w:hAnsi="Calibri"/>
          <w:color w:val="2D3748"/>
          <w:sz w:val="22"/>
          <w:szCs w:val="22"/>
        </w:rPr>
        <w:t xml:space="preserve">Assess expansion into adjacent products (renovation guide, contractor hiring toolkit)</w:t>
      </w:r>
    </w:p>
    <w:p>
      <w:pPr>
        <w:spacing w:after="200"/>
      </w:pPr>
    </w:p>
    <w:p>
      <w:pPr>
        <w:shd w:fill="E6F4F0" w:val="clear"/>
        <w:spacing w:before="200" w:after="60"/>
        <w:ind w:left="360" w:right="360"/>
      </w:pPr>
      <w:r>
        <w:rPr>
          <w:rFonts w:ascii="Calibri" w:cs="Calibri" w:eastAsia="Calibri" w:hAnsi="Calibri"/>
          <w:color w:val="2A7F62"/>
          <w:sz w:val="22"/>
          <w:szCs w:val="22"/>
        </w:rPr>
        <w:t xml:space="preserve">●  </w:t>
      </w:r>
      <w:r>
        <w:rPr>
          <w:rFonts w:ascii="Calibri" w:cs="Calibri" w:eastAsia="Calibri" w:hAnsi="Calibri"/>
          <w:b/>
          <w:bCs/>
          <w:color w:val="1B2A4A"/>
          <w:sz w:val="22"/>
          <w:szCs w:val="22"/>
        </w:rPr>
        <w:t xml:space="preserve">NEXT STEPS</w:t>
      </w:r>
    </w:p>
    <w:p>
      <w:pPr>
        <w:shd w:fill="E6F4F0" w:val="clear"/>
        <w:spacing w:after="200"/>
        <w:ind w:left="360" w:right="360"/>
      </w:pPr>
      <w:r>
        <w:rPr>
          <w:rFonts w:ascii="Calibri" w:cs="Calibri" w:eastAsia="Calibri" w:hAnsi="Calibri"/>
          <w:color w:val="2D3748"/>
          <w:sz w:val="21"/>
          <w:szCs w:val="21"/>
        </w:rPr>
        <w:t xml:space="preserve">This architecture document is the blueprint. The recommended immediate next step is to write Chapter 1 as a proof-of-concept — it sets the tone, establishes authority, and can double as the basis for SEO content and the lead magnet. From there, build the Foundation tier deliverables in sequence, get to market, and iterate.</w:t>
      </w:r>
    </w:p>
    <w:sectPr>
      <w:headerReference w:type="default" r:id="rId6"/>
      <w:footerReference w:type="default" r:id="rId7"/>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1" w:space="4"/>
      </w:pBdr>
      <w:jc w:val="center"/>
    </w:pPr>
    <w:r>
      <w:rPr>
        <w:rFonts w:ascii="Calibri" w:cs="Calibri" w:eastAsia="Calibri" w:hAnsi="Calibri"/>
        <w:color w:val="4A5568"/>
        <w:sz w:val="18"/>
        <w:szCs w:val="18"/>
      </w:rPr>
      <w:t xml:space="preserve">Page </w:t>
    </w:r>
    <w:r>
      <w:rPr>
        <w:rFonts w:ascii="Calibri" w:cs="Calibri" w:eastAsia="Calibri" w:hAnsi="Calibri"/>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0" w:sz="1" w:space="4"/>
      </w:pBdr>
    </w:pPr>
    <w:r>
      <w:rPr>
        <w:rFonts w:ascii="Calibri" w:cs="Calibri" w:eastAsia="Calibri" w:hAnsi="Calibri"/>
        <w:i/>
        <w:iCs/>
        <w:color w:val="4A5568"/>
        <w:sz w:val="18"/>
        <w:szCs w:val="18"/>
      </w:rPr>
      <w:t xml:space="preserve">The Complete ADU Homeowner’s Guide</w:t>
    </w:r>
    <w:r>
      <w:rPr>
        <w:rFonts w:ascii="Calibri" w:cs="Calibri" w:eastAsia="Calibri" w:hAnsi="Calibri"/>
        <w:i/>
        <w:iCs/>
        <w:color w:val="4A5568"/>
        <w:sz w:val="18"/>
        <w:szCs w:val="18"/>
      </w:rPr>
      <w:ptab w:alignment="right" w:relativeTo="margin" w:leader="none"/>
      <w:t xml:space="preserve">Product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B2A4A"/>
      <w:sz w:val="44"/>
      <w:szCs w:val="44"/>
    </w:rPr>
  </w:style>
  <w:style w:type="paragraph" w:styleId="Heading2">
    <w:name w:val="Heading 2"/>
    <w:basedOn w:val="Normal"/>
    <w:next w:val="Normal"/>
    <w:qFormat/>
    <w:pPr>
      <w:spacing w:before="300" w:after="160"/>
      <w:outlineLvl w:val="1"/>
    </w:pPr>
    <w:rPr>
      <w:rFonts w:ascii="Georgia" w:cs="Georgia" w:eastAsia="Georgia" w:hAnsi="Georgia"/>
      <w:b/>
      <w:bCs/>
      <w:color w:val="2A7F62"/>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2026-02-26T06:02:25.786Z</dcterms:created>
  <dcterms:modified xsi:type="dcterms:W3CDTF">2026-02-26T06:02:25.787Z</dcterms:modified>
</cp:coreProperties>
</file>

<file path=docProps/custom.xml><?xml version="1.0" encoding="utf-8"?>
<Properties xmlns="http://schemas.openxmlformats.org/officeDocument/2006/custom-properties" xmlns:vt="http://schemas.openxmlformats.org/officeDocument/2006/docPropsVTypes"/>
</file>