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A4DBC" w14:textId="574B80CA" w:rsidR="00653332" w:rsidRDefault="00653332" w:rsidP="00C232AC">
      <w:pPr>
        <w:pStyle w:val="TOCHeading"/>
        <w:rPr>
          <w:rFonts w:ascii="Times New Roman" w:eastAsiaTheme="minorHAnsi" w:hAnsi="Times New Roman" w:cs="Times New Roman"/>
          <w:bCs w:val="0"/>
          <w:color w:val="auto"/>
          <w:sz w:val="24"/>
          <w:szCs w:val="24"/>
          <w:lang w:val="en-GB" w:eastAsia="en-US"/>
        </w:rPr>
      </w:pPr>
      <w:r w:rsidRPr="000577B2">
        <w:rPr>
          <w:rFonts w:ascii="Times New Roman" w:eastAsiaTheme="minorHAnsi" w:hAnsi="Times New Roman" w:cs="Times New Roman"/>
          <w:bCs w:val="0"/>
          <w:color w:val="auto"/>
          <w:sz w:val="24"/>
          <w:szCs w:val="24"/>
          <w:lang w:val="en-GB" w:eastAsia="en-US"/>
        </w:rPr>
        <w:t xml:space="preserve">Explaining right-wing terrorism and violence in Western Europe: </w:t>
      </w:r>
      <w:r w:rsidR="00412B9C">
        <w:rPr>
          <w:rFonts w:ascii="Times New Roman" w:eastAsiaTheme="minorHAnsi" w:hAnsi="Times New Roman" w:cs="Times New Roman"/>
          <w:bCs w:val="0"/>
          <w:color w:val="auto"/>
          <w:sz w:val="24"/>
          <w:szCs w:val="24"/>
          <w:lang w:val="en-GB" w:eastAsia="en-US"/>
        </w:rPr>
        <w:br/>
      </w:r>
      <w:r w:rsidRPr="000577B2">
        <w:rPr>
          <w:rFonts w:ascii="Times New Roman" w:eastAsiaTheme="minorHAnsi" w:hAnsi="Times New Roman" w:cs="Times New Roman"/>
          <w:bCs w:val="0"/>
          <w:color w:val="auto"/>
          <w:sz w:val="24"/>
          <w:szCs w:val="24"/>
          <w:lang w:val="en-GB" w:eastAsia="en-US"/>
        </w:rPr>
        <w:t>Grievances, opportunities, and polarization</w:t>
      </w:r>
    </w:p>
    <w:p w14:paraId="06989B54" w14:textId="5A164121" w:rsidR="00452E27" w:rsidRDefault="00452E27" w:rsidP="00452E27"/>
    <w:p w14:paraId="22CD85D4" w14:textId="1AD1A2AD" w:rsidR="00452E27" w:rsidRPr="00452E27" w:rsidRDefault="00452E27" w:rsidP="00452E27">
      <w:r w:rsidRPr="00452E27">
        <w:t>Jacob Aasland Ravndal</w:t>
      </w:r>
    </w:p>
    <w:p w14:paraId="40D0486D" w14:textId="45749F50" w:rsidR="00C232AC" w:rsidRDefault="00C232AC" w:rsidP="00C232AC"/>
    <w:p w14:paraId="158D5C64" w14:textId="4A6ED0E4" w:rsidR="00653332" w:rsidRDefault="00653332" w:rsidP="00653332"/>
    <w:p w14:paraId="1850986B" w14:textId="77777777" w:rsidR="00DD613A" w:rsidRPr="000577B2" w:rsidRDefault="00DD613A" w:rsidP="00653332"/>
    <w:p w14:paraId="72BF14E5" w14:textId="2ADB637C" w:rsidR="00653332" w:rsidRPr="000577B2" w:rsidRDefault="00371F2E" w:rsidP="00653332">
      <w:pPr>
        <w:jc w:val="center"/>
      </w:pPr>
      <w:r w:rsidRPr="000577B2">
        <w:t>Appendices</w:t>
      </w:r>
      <w:r w:rsidR="00C232AC">
        <w:t xml:space="preserve"> I–III</w:t>
      </w:r>
    </w:p>
    <w:p w14:paraId="4ABE37C0" w14:textId="3076651B" w:rsidR="00371F2E" w:rsidRDefault="00371F2E" w:rsidP="00653332">
      <w:pPr>
        <w:jc w:val="center"/>
      </w:pPr>
    </w:p>
    <w:p w14:paraId="491180D8" w14:textId="456A5F38" w:rsidR="00A74B6A" w:rsidRDefault="00A74B6A" w:rsidP="00653332">
      <w:pPr>
        <w:jc w:val="center"/>
      </w:pPr>
    </w:p>
    <w:p w14:paraId="430C58D6" w14:textId="534B1333" w:rsidR="00A74B6A" w:rsidRPr="000577B2" w:rsidRDefault="00A74B6A" w:rsidP="00653332">
      <w:pPr>
        <w:jc w:val="center"/>
      </w:pPr>
    </w:p>
    <w:p w14:paraId="77A363B4" w14:textId="77777777" w:rsidR="00371F2E" w:rsidRPr="000577B2" w:rsidRDefault="00371F2E" w:rsidP="00653332">
      <w:pPr>
        <w:jc w:val="center"/>
      </w:pPr>
    </w:p>
    <w:sdt>
      <w:sdtPr>
        <w:rPr>
          <w:rFonts w:ascii="Times New Roman" w:eastAsiaTheme="minorHAnsi" w:hAnsi="Times New Roman" w:cs="Times New Roman"/>
          <w:b w:val="0"/>
          <w:bCs w:val="0"/>
          <w:color w:val="auto"/>
          <w:sz w:val="24"/>
          <w:szCs w:val="24"/>
          <w:lang w:val="en-GB" w:eastAsia="en-US"/>
        </w:rPr>
        <w:id w:val="-1835904696"/>
        <w:docPartObj>
          <w:docPartGallery w:val="Table of Contents"/>
          <w:docPartUnique/>
        </w:docPartObj>
      </w:sdtPr>
      <w:sdtEndPr>
        <w:rPr>
          <w:noProof/>
        </w:rPr>
      </w:sdtEndPr>
      <w:sdtContent>
        <w:p w14:paraId="55E1F8F6" w14:textId="21429E29" w:rsidR="00980048" w:rsidRPr="00A74B6A" w:rsidRDefault="00980048">
          <w:pPr>
            <w:pStyle w:val="TOCHeading"/>
            <w:rPr>
              <w:rFonts w:ascii="Times New Roman" w:hAnsi="Times New Roman" w:cs="Times New Roman"/>
              <w:color w:val="auto"/>
              <w:sz w:val="24"/>
              <w:szCs w:val="24"/>
              <w:lang w:val="en-GB"/>
            </w:rPr>
          </w:pPr>
          <w:r w:rsidRPr="00A74B6A">
            <w:rPr>
              <w:rFonts w:ascii="Times New Roman" w:hAnsi="Times New Roman" w:cs="Times New Roman"/>
              <w:color w:val="auto"/>
              <w:sz w:val="24"/>
              <w:szCs w:val="24"/>
              <w:lang w:val="en-GB"/>
            </w:rPr>
            <w:t>Contents</w:t>
          </w:r>
        </w:p>
        <w:p w14:paraId="04E20979" w14:textId="2136C8CC" w:rsidR="00452E27" w:rsidRDefault="00980048">
          <w:pPr>
            <w:pStyle w:val="TOC1"/>
            <w:tabs>
              <w:tab w:val="right" w:leader="dot" w:pos="9062"/>
            </w:tabs>
            <w:rPr>
              <w:rFonts w:asciiTheme="minorHAnsi" w:eastAsiaTheme="minorEastAsia" w:hAnsiTheme="minorHAnsi" w:cstheme="minorBidi"/>
              <w:noProof/>
              <w:sz w:val="22"/>
              <w:szCs w:val="22"/>
              <w:lang w:val="nb-NO" w:eastAsia="nb-NO"/>
            </w:rPr>
          </w:pPr>
          <w:r w:rsidRPr="000577B2">
            <w:fldChar w:fldCharType="begin"/>
          </w:r>
          <w:r w:rsidRPr="000577B2">
            <w:instrText xml:space="preserve"> TOC \o "1-3" \h \z \u </w:instrText>
          </w:r>
          <w:r w:rsidRPr="000577B2">
            <w:fldChar w:fldCharType="separate"/>
          </w:r>
          <w:bookmarkStart w:id="0" w:name="_GoBack"/>
          <w:bookmarkEnd w:id="0"/>
          <w:r w:rsidR="00452E27" w:rsidRPr="00223919">
            <w:rPr>
              <w:rStyle w:val="Hyperlink"/>
              <w:noProof/>
            </w:rPr>
            <w:fldChar w:fldCharType="begin"/>
          </w:r>
          <w:r w:rsidR="00452E27" w:rsidRPr="00223919">
            <w:rPr>
              <w:rStyle w:val="Hyperlink"/>
              <w:noProof/>
            </w:rPr>
            <w:instrText xml:space="preserve"> </w:instrText>
          </w:r>
          <w:r w:rsidR="00452E27">
            <w:rPr>
              <w:noProof/>
            </w:rPr>
            <w:instrText>HYPERLINK \l "_Toc496794570"</w:instrText>
          </w:r>
          <w:r w:rsidR="00452E27" w:rsidRPr="00223919">
            <w:rPr>
              <w:rStyle w:val="Hyperlink"/>
              <w:noProof/>
            </w:rPr>
            <w:instrText xml:space="preserve"> </w:instrText>
          </w:r>
          <w:r w:rsidR="00452E27" w:rsidRPr="00223919">
            <w:rPr>
              <w:rStyle w:val="Hyperlink"/>
              <w:noProof/>
            </w:rPr>
          </w:r>
          <w:r w:rsidR="00452E27" w:rsidRPr="00223919">
            <w:rPr>
              <w:rStyle w:val="Hyperlink"/>
              <w:noProof/>
            </w:rPr>
            <w:fldChar w:fldCharType="separate"/>
          </w:r>
          <w:r w:rsidR="00452E27" w:rsidRPr="00223919">
            <w:rPr>
              <w:rStyle w:val="Hyperlink"/>
              <w:noProof/>
            </w:rPr>
            <w:t>Appendix I</w:t>
          </w:r>
          <w:r w:rsidR="00452E27">
            <w:rPr>
              <w:noProof/>
              <w:webHidden/>
            </w:rPr>
            <w:tab/>
          </w:r>
          <w:r w:rsidR="00452E27">
            <w:rPr>
              <w:noProof/>
              <w:webHidden/>
            </w:rPr>
            <w:fldChar w:fldCharType="begin"/>
          </w:r>
          <w:r w:rsidR="00452E27">
            <w:rPr>
              <w:noProof/>
              <w:webHidden/>
            </w:rPr>
            <w:instrText xml:space="preserve"> PAGEREF _Toc496794570 \h </w:instrText>
          </w:r>
          <w:r w:rsidR="00452E27">
            <w:rPr>
              <w:noProof/>
              <w:webHidden/>
            </w:rPr>
          </w:r>
          <w:r w:rsidR="00452E27">
            <w:rPr>
              <w:noProof/>
              <w:webHidden/>
            </w:rPr>
            <w:fldChar w:fldCharType="separate"/>
          </w:r>
          <w:r w:rsidR="00452E27">
            <w:rPr>
              <w:noProof/>
              <w:webHidden/>
            </w:rPr>
            <w:t>2</w:t>
          </w:r>
          <w:r w:rsidR="00452E27">
            <w:rPr>
              <w:noProof/>
              <w:webHidden/>
            </w:rPr>
            <w:fldChar w:fldCharType="end"/>
          </w:r>
          <w:r w:rsidR="00452E27" w:rsidRPr="00223919">
            <w:rPr>
              <w:rStyle w:val="Hyperlink"/>
              <w:noProof/>
            </w:rPr>
            <w:fldChar w:fldCharType="end"/>
          </w:r>
        </w:p>
        <w:p w14:paraId="6E922106" w14:textId="6739541E" w:rsidR="00452E27" w:rsidRDefault="00452E27">
          <w:pPr>
            <w:pStyle w:val="TOC2"/>
            <w:tabs>
              <w:tab w:val="right" w:leader="dot" w:pos="9062"/>
            </w:tabs>
            <w:rPr>
              <w:rFonts w:asciiTheme="minorHAnsi" w:eastAsiaTheme="minorEastAsia" w:hAnsiTheme="minorHAnsi" w:cstheme="minorBidi"/>
              <w:noProof/>
              <w:sz w:val="22"/>
              <w:szCs w:val="22"/>
              <w:lang w:val="nb-NO" w:eastAsia="nb-NO"/>
            </w:rPr>
          </w:pPr>
          <w:hyperlink w:anchor="_Toc496794571" w:history="1">
            <w:r w:rsidRPr="00223919">
              <w:rPr>
                <w:rStyle w:val="Hyperlink"/>
                <w:noProof/>
              </w:rPr>
              <w:t>Outcome set – measurements and fuzzy scores</w:t>
            </w:r>
            <w:r>
              <w:rPr>
                <w:noProof/>
                <w:webHidden/>
              </w:rPr>
              <w:tab/>
            </w:r>
            <w:r>
              <w:rPr>
                <w:noProof/>
                <w:webHidden/>
              </w:rPr>
              <w:fldChar w:fldCharType="begin"/>
            </w:r>
            <w:r>
              <w:rPr>
                <w:noProof/>
                <w:webHidden/>
              </w:rPr>
              <w:instrText xml:space="preserve"> PAGEREF _Toc496794571 \h </w:instrText>
            </w:r>
            <w:r>
              <w:rPr>
                <w:noProof/>
                <w:webHidden/>
              </w:rPr>
            </w:r>
            <w:r>
              <w:rPr>
                <w:noProof/>
                <w:webHidden/>
              </w:rPr>
              <w:fldChar w:fldCharType="separate"/>
            </w:r>
            <w:r>
              <w:rPr>
                <w:noProof/>
                <w:webHidden/>
              </w:rPr>
              <w:t>2</w:t>
            </w:r>
            <w:r>
              <w:rPr>
                <w:noProof/>
                <w:webHidden/>
              </w:rPr>
              <w:fldChar w:fldCharType="end"/>
            </w:r>
          </w:hyperlink>
        </w:p>
        <w:p w14:paraId="7709DA9D" w14:textId="54AE6C97" w:rsidR="00452E27" w:rsidRDefault="00452E27">
          <w:pPr>
            <w:pStyle w:val="TOC2"/>
            <w:tabs>
              <w:tab w:val="right" w:leader="dot" w:pos="9062"/>
            </w:tabs>
            <w:rPr>
              <w:rFonts w:asciiTheme="minorHAnsi" w:eastAsiaTheme="minorEastAsia" w:hAnsiTheme="minorHAnsi" w:cstheme="minorBidi"/>
              <w:noProof/>
              <w:sz w:val="22"/>
              <w:szCs w:val="22"/>
              <w:lang w:val="nb-NO" w:eastAsia="nb-NO"/>
            </w:rPr>
          </w:pPr>
          <w:hyperlink w:anchor="_Toc496794572" w:history="1">
            <w:r w:rsidRPr="00223919">
              <w:rPr>
                <w:rStyle w:val="Hyperlink"/>
                <w:noProof/>
              </w:rPr>
              <w:t>Causal conditions – measurements and fuzzy scores</w:t>
            </w:r>
            <w:r>
              <w:rPr>
                <w:noProof/>
                <w:webHidden/>
              </w:rPr>
              <w:tab/>
            </w:r>
            <w:r>
              <w:rPr>
                <w:noProof/>
                <w:webHidden/>
              </w:rPr>
              <w:fldChar w:fldCharType="begin"/>
            </w:r>
            <w:r>
              <w:rPr>
                <w:noProof/>
                <w:webHidden/>
              </w:rPr>
              <w:instrText xml:space="preserve"> PAGEREF _Toc496794572 \h </w:instrText>
            </w:r>
            <w:r>
              <w:rPr>
                <w:noProof/>
                <w:webHidden/>
              </w:rPr>
            </w:r>
            <w:r>
              <w:rPr>
                <w:noProof/>
                <w:webHidden/>
              </w:rPr>
              <w:fldChar w:fldCharType="separate"/>
            </w:r>
            <w:r>
              <w:rPr>
                <w:noProof/>
                <w:webHidden/>
              </w:rPr>
              <w:t>5</w:t>
            </w:r>
            <w:r>
              <w:rPr>
                <w:noProof/>
                <w:webHidden/>
              </w:rPr>
              <w:fldChar w:fldCharType="end"/>
            </w:r>
          </w:hyperlink>
        </w:p>
        <w:p w14:paraId="5014A78E" w14:textId="60658E28" w:rsidR="00452E27" w:rsidRDefault="00452E27">
          <w:pPr>
            <w:pStyle w:val="TOC2"/>
            <w:tabs>
              <w:tab w:val="right" w:leader="dot" w:pos="9062"/>
            </w:tabs>
            <w:rPr>
              <w:rFonts w:asciiTheme="minorHAnsi" w:eastAsiaTheme="minorEastAsia" w:hAnsiTheme="minorHAnsi" w:cstheme="minorBidi"/>
              <w:noProof/>
              <w:sz w:val="22"/>
              <w:szCs w:val="22"/>
              <w:lang w:val="nb-NO" w:eastAsia="nb-NO"/>
            </w:rPr>
          </w:pPr>
          <w:hyperlink w:anchor="_Toc496794573" w:history="1">
            <w:r w:rsidRPr="00223919">
              <w:rPr>
                <w:rStyle w:val="Hyperlink"/>
                <w:noProof/>
              </w:rPr>
              <w:t>Truth table</w:t>
            </w:r>
            <w:r>
              <w:rPr>
                <w:noProof/>
                <w:webHidden/>
              </w:rPr>
              <w:tab/>
            </w:r>
            <w:r>
              <w:rPr>
                <w:noProof/>
                <w:webHidden/>
              </w:rPr>
              <w:fldChar w:fldCharType="begin"/>
            </w:r>
            <w:r>
              <w:rPr>
                <w:noProof/>
                <w:webHidden/>
              </w:rPr>
              <w:instrText xml:space="preserve"> PAGEREF _Toc496794573 \h </w:instrText>
            </w:r>
            <w:r>
              <w:rPr>
                <w:noProof/>
                <w:webHidden/>
              </w:rPr>
            </w:r>
            <w:r>
              <w:rPr>
                <w:noProof/>
                <w:webHidden/>
              </w:rPr>
              <w:fldChar w:fldCharType="separate"/>
            </w:r>
            <w:r>
              <w:rPr>
                <w:noProof/>
                <w:webHidden/>
              </w:rPr>
              <w:t>9</w:t>
            </w:r>
            <w:r>
              <w:rPr>
                <w:noProof/>
                <w:webHidden/>
              </w:rPr>
              <w:fldChar w:fldCharType="end"/>
            </w:r>
          </w:hyperlink>
        </w:p>
        <w:p w14:paraId="436CC96E" w14:textId="40032631" w:rsidR="00452E27" w:rsidRDefault="00452E27">
          <w:pPr>
            <w:pStyle w:val="TOC2"/>
            <w:tabs>
              <w:tab w:val="right" w:leader="dot" w:pos="9062"/>
            </w:tabs>
            <w:rPr>
              <w:rFonts w:asciiTheme="minorHAnsi" w:eastAsiaTheme="minorEastAsia" w:hAnsiTheme="minorHAnsi" w:cstheme="minorBidi"/>
              <w:noProof/>
              <w:sz w:val="22"/>
              <w:szCs w:val="22"/>
              <w:lang w:val="nb-NO" w:eastAsia="nb-NO"/>
            </w:rPr>
          </w:pPr>
          <w:hyperlink w:anchor="_Toc496794574" w:history="1">
            <w:r w:rsidRPr="00223919">
              <w:rPr>
                <w:rStyle w:val="Hyperlink"/>
                <w:noProof/>
              </w:rPr>
              <w:t>Analysis of the negated set</w:t>
            </w:r>
            <w:r>
              <w:rPr>
                <w:noProof/>
                <w:webHidden/>
              </w:rPr>
              <w:tab/>
            </w:r>
            <w:r>
              <w:rPr>
                <w:noProof/>
                <w:webHidden/>
              </w:rPr>
              <w:fldChar w:fldCharType="begin"/>
            </w:r>
            <w:r>
              <w:rPr>
                <w:noProof/>
                <w:webHidden/>
              </w:rPr>
              <w:instrText xml:space="preserve"> PAGEREF _Toc496794574 \h </w:instrText>
            </w:r>
            <w:r>
              <w:rPr>
                <w:noProof/>
                <w:webHidden/>
              </w:rPr>
            </w:r>
            <w:r>
              <w:rPr>
                <w:noProof/>
                <w:webHidden/>
              </w:rPr>
              <w:fldChar w:fldCharType="separate"/>
            </w:r>
            <w:r>
              <w:rPr>
                <w:noProof/>
                <w:webHidden/>
              </w:rPr>
              <w:t>10</w:t>
            </w:r>
            <w:r>
              <w:rPr>
                <w:noProof/>
                <w:webHidden/>
              </w:rPr>
              <w:fldChar w:fldCharType="end"/>
            </w:r>
          </w:hyperlink>
        </w:p>
        <w:p w14:paraId="3F784871" w14:textId="67206C47" w:rsidR="00452E27" w:rsidRDefault="00452E27">
          <w:pPr>
            <w:pStyle w:val="TOC2"/>
            <w:tabs>
              <w:tab w:val="right" w:leader="dot" w:pos="9062"/>
            </w:tabs>
            <w:rPr>
              <w:rFonts w:asciiTheme="minorHAnsi" w:eastAsiaTheme="minorEastAsia" w:hAnsiTheme="minorHAnsi" w:cstheme="minorBidi"/>
              <w:noProof/>
              <w:sz w:val="22"/>
              <w:szCs w:val="22"/>
              <w:lang w:val="nb-NO" w:eastAsia="nb-NO"/>
            </w:rPr>
          </w:pPr>
          <w:hyperlink w:anchor="_Toc496794575" w:history="1">
            <w:r w:rsidRPr="00223919">
              <w:rPr>
                <w:rStyle w:val="Hyperlink"/>
                <w:noProof/>
              </w:rPr>
              <w:t>Robustness test scores</w:t>
            </w:r>
            <w:r>
              <w:rPr>
                <w:noProof/>
                <w:webHidden/>
              </w:rPr>
              <w:tab/>
            </w:r>
            <w:r>
              <w:rPr>
                <w:noProof/>
                <w:webHidden/>
              </w:rPr>
              <w:fldChar w:fldCharType="begin"/>
            </w:r>
            <w:r>
              <w:rPr>
                <w:noProof/>
                <w:webHidden/>
              </w:rPr>
              <w:instrText xml:space="preserve"> PAGEREF _Toc496794575 \h </w:instrText>
            </w:r>
            <w:r>
              <w:rPr>
                <w:noProof/>
                <w:webHidden/>
              </w:rPr>
            </w:r>
            <w:r>
              <w:rPr>
                <w:noProof/>
                <w:webHidden/>
              </w:rPr>
              <w:fldChar w:fldCharType="separate"/>
            </w:r>
            <w:r>
              <w:rPr>
                <w:noProof/>
                <w:webHidden/>
              </w:rPr>
              <w:t>12</w:t>
            </w:r>
            <w:r>
              <w:rPr>
                <w:noProof/>
                <w:webHidden/>
              </w:rPr>
              <w:fldChar w:fldCharType="end"/>
            </w:r>
          </w:hyperlink>
        </w:p>
        <w:p w14:paraId="047FFBD5" w14:textId="04C7EF9F" w:rsidR="00452E27" w:rsidRDefault="00452E27">
          <w:pPr>
            <w:pStyle w:val="TOC1"/>
            <w:tabs>
              <w:tab w:val="right" w:leader="dot" w:pos="9062"/>
            </w:tabs>
            <w:rPr>
              <w:rFonts w:asciiTheme="minorHAnsi" w:eastAsiaTheme="minorEastAsia" w:hAnsiTheme="minorHAnsi" w:cstheme="minorBidi"/>
              <w:noProof/>
              <w:sz w:val="22"/>
              <w:szCs w:val="22"/>
              <w:lang w:val="nb-NO" w:eastAsia="nb-NO"/>
            </w:rPr>
          </w:pPr>
          <w:hyperlink w:anchor="_Toc496794576" w:history="1">
            <w:r w:rsidRPr="00223919">
              <w:rPr>
                <w:rStyle w:val="Hyperlink"/>
                <w:noProof/>
              </w:rPr>
              <w:t>Appendix II – National hate crime statistics</w:t>
            </w:r>
            <w:r>
              <w:rPr>
                <w:noProof/>
                <w:webHidden/>
              </w:rPr>
              <w:tab/>
            </w:r>
            <w:r>
              <w:rPr>
                <w:noProof/>
                <w:webHidden/>
              </w:rPr>
              <w:fldChar w:fldCharType="begin"/>
            </w:r>
            <w:r>
              <w:rPr>
                <w:noProof/>
                <w:webHidden/>
              </w:rPr>
              <w:instrText xml:space="preserve"> PAGEREF _Toc496794576 \h </w:instrText>
            </w:r>
            <w:r>
              <w:rPr>
                <w:noProof/>
                <w:webHidden/>
              </w:rPr>
            </w:r>
            <w:r>
              <w:rPr>
                <w:noProof/>
                <w:webHidden/>
              </w:rPr>
              <w:fldChar w:fldCharType="separate"/>
            </w:r>
            <w:r>
              <w:rPr>
                <w:noProof/>
                <w:webHidden/>
              </w:rPr>
              <w:t>15</w:t>
            </w:r>
            <w:r>
              <w:rPr>
                <w:noProof/>
                <w:webHidden/>
              </w:rPr>
              <w:fldChar w:fldCharType="end"/>
            </w:r>
          </w:hyperlink>
        </w:p>
        <w:p w14:paraId="3CECD99E" w14:textId="1F433C77" w:rsidR="00452E27" w:rsidRDefault="00452E27">
          <w:pPr>
            <w:pStyle w:val="TOC1"/>
            <w:tabs>
              <w:tab w:val="right" w:leader="dot" w:pos="9062"/>
            </w:tabs>
            <w:rPr>
              <w:rFonts w:asciiTheme="minorHAnsi" w:eastAsiaTheme="minorEastAsia" w:hAnsiTheme="minorHAnsi" w:cstheme="minorBidi"/>
              <w:noProof/>
              <w:sz w:val="22"/>
              <w:szCs w:val="22"/>
              <w:lang w:val="nb-NO" w:eastAsia="nb-NO"/>
            </w:rPr>
          </w:pPr>
          <w:hyperlink w:anchor="_Toc496794577" w:history="1">
            <w:r w:rsidRPr="00223919">
              <w:rPr>
                <w:rStyle w:val="Hyperlink"/>
                <w:noProof/>
              </w:rPr>
              <w:t>Appendix III – A selection of country-specific sources on RTV in Western Europe</w:t>
            </w:r>
            <w:r>
              <w:rPr>
                <w:noProof/>
                <w:webHidden/>
              </w:rPr>
              <w:tab/>
            </w:r>
            <w:r>
              <w:rPr>
                <w:noProof/>
                <w:webHidden/>
              </w:rPr>
              <w:fldChar w:fldCharType="begin"/>
            </w:r>
            <w:r>
              <w:rPr>
                <w:noProof/>
                <w:webHidden/>
              </w:rPr>
              <w:instrText xml:space="preserve"> PAGEREF _Toc496794577 \h </w:instrText>
            </w:r>
            <w:r>
              <w:rPr>
                <w:noProof/>
                <w:webHidden/>
              </w:rPr>
            </w:r>
            <w:r>
              <w:rPr>
                <w:noProof/>
                <w:webHidden/>
              </w:rPr>
              <w:fldChar w:fldCharType="separate"/>
            </w:r>
            <w:r>
              <w:rPr>
                <w:noProof/>
                <w:webHidden/>
              </w:rPr>
              <w:t>16</w:t>
            </w:r>
            <w:r>
              <w:rPr>
                <w:noProof/>
                <w:webHidden/>
              </w:rPr>
              <w:fldChar w:fldCharType="end"/>
            </w:r>
          </w:hyperlink>
        </w:p>
        <w:p w14:paraId="3F64CCD9" w14:textId="71EBF9FB" w:rsidR="00980048" w:rsidRPr="000577B2" w:rsidRDefault="00980048" w:rsidP="00980048">
          <w:r w:rsidRPr="000577B2">
            <w:rPr>
              <w:b/>
              <w:bCs/>
              <w:noProof/>
            </w:rPr>
            <w:fldChar w:fldCharType="end"/>
          </w:r>
        </w:p>
      </w:sdtContent>
    </w:sdt>
    <w:p w14:paraId="4B9A695E" w14:textId="77777777" w:rsidR="00371F2E" w:rsidRPr="000577B2" w:rsidRDefault="00371F2E" w:rsidP="00763F19">
      <w:pPr>
        <w:pStyle w:val="Jacoboverskrift1"/>
        <w:rPr>
          <w:rFonts w:cs="Times New Roman"/>
          <w:sz w:val="24"/>
          <w:szCs w:val="24"/>
        </w:rPr>
        <w:sectPr w:rsidR="00371F2E" w:rsidRPr="000577B2" w:rsidSect="007B0E49">
          <w:headerReference w:type="default" r:id="rId8"/>
          <w:footerReference w:type="default" r:id="rId9"/>
          <w:pgSz w:w="11906" w:h="16838"/>
          <w:pgMar w:top="1417" w:right="1417" w:bottom="1417" w:left="1417" w:header="708" w:footer="708" w:gutter="0"/>
          <w:pgNumType w:start="1"/>
          <w:cols w:space="708"/>
          <w:docGrid w:linePitch="360"/>
        </w:sectPr>
      </w:pPr>
    </w:p>
    <w:p w14:paraId="7C24C888" w14:textId="3A25F1DC" w:rsidR="001A2456" w:rsidRPr="000577B2" w:rsidRDefault="001A2456" w:rsidP="00CC645A">
      <w:pPr>
        <w:pStyle w:val="Jacoboverskrift1"/>
        <w:spacing w:before="240"/>
        <w:rPr>
          <w:rFonts w:cs="Times New Roman"/>
          <w:sz w:val="24"/>
          <w:szCs w:val="24"/>
        </w:rPr>
      </w:pPr>
      <w:bookmarkStart w:id="1" w:name="_Toc496794570"/>
      <w:r w:rsidRPr="000577B2">
        <w:rPr>
          <w:rFonts w:cs="Times New Roman"/>
          <w:sz w:val="24"/>
          <w:szCs w:val="24"/>
        </w:rPr>
        <w:lastRenderedPageBreak/>
        <w:t>Appendix I</w:t>
      </w:r>
      <w:bookmarkEnd w:id="1"/>
      <w:r w:rsidR="00CC645A">
        <w:rPr>
          <w:rFonts w:cs="Times New Roman"/>
          <w:sz w:val="24"/>
          <w:szCs w:val="24"/>
        </w:rPr>
        <w:t xml:space="preserve"> </w:t>
      </w:r>
    </w:p>
    <w:p w14:paraId="26E2EBC3" w14:textId="4284F700" w:rsidR="008A1605" w:rsidRPr="000577B2" w:rsidRDefault="00CC645A" w:rsidP="001A2456">
      <w:pPr>
        <w:pStyle w:val="Jacoboverskrift2"/>
      </w:pPr>
      <w:bookmarkStart w:id="2" w:name="_Toc496794571"/>
      <w:r>
        <w:t>O</w:t>
      </w:r>
      <w:r w:rsidR="00C65E6B">
        <w:t xml:space="preserve">utcome </w:t>
      </w:r>
      <w:r w:rsidR="007B0E49">
        <w:t>set</w:t>
      </w:r>
      <w:r>
        <w:t xml:space="preserve"> –</w:t>
      </w:r>
      <w:r w:rsidR="00D71F2D">
        <w:t xml:space="preserve"> </w:t>
      </w:r>
      <w:r>
        <w:t>measurements and fuzzy scores</w:t>
      </w:r>
      <w:bookmarkEnd w:id="2"/>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910"/>
        <w:gridCol w:w="1254"/>
        <w:gridCol w:w="4728"/>
        <w:gridCol w:w="803"/>
      </w:tblGrid>
      <w:tr w:rsidR="005E294B" w:rsidRPr="000577B2" w14:paraId="3C6B0C8C" w14:textId="77777777" w:rsidTr="00CC645A">
        <w:tc>
          <w:tcPr>
            <w:tcW w:w="9072" w:type="dxa"/>
            <w:gridSpan w:val="5"/>
            <w:tcBorders>
              <w:bottom w:val="single" w:sz="4" w:space="0" w:color="auto"/>
            </w:tcBorders>
          </w:tcPr>
          <w:p w14:paraId="3F04F656" w14:textId="2287DEA1" w:rsidR="005E294B" w:rsidRPr="000577B2" w:rsidRDefault="00882B04" w:rsidP="004045AE">
            <w:pPr>
              <w:pStyle w:val="Jacobnormal"/>
              <w:spacing w:line="240" w:lineRule="auto"/>
            </w:pPr>
            <w:r w:rsidRPr="000577B2">
              <w:rPr>
                <w:i/>
              </w:rPr>
              <w:t xml:space="preserve">Table </w:t>
            </w:r>
            <w:r w:rsidR="004045AE" w:rsidRPr="000577B2">
              <w:rPr>
                <w:i/>
              </w:rPr>
              <w:t>1</w:t>
            </w:r>
            <w:r w:rsidRPr="000577B2">
              <w:t>. RTV scores</w:t>
            </w:r>
          </w:p>
        </w:tc>
      </w:tr>
      <w:tr w:rsidR="0081215D" w:rsidRPr="000577B2" w14:paraId="4D9CEAA4" w14:textId="77777777" w:rsidTr="00CC645A">
        <w:tc>
          <w:tcPr>
            <w:tcW w:w="1377" w:type="dxa"/>
            <w:vMerge w:val="restart"/>
            <w:tcBorders>
              <w:top w:val="single" w:sz="4" w:space="0" w:color="auto"/>
              <w:bottom w:val="nil"/>
            </w:tcBorders>
          </w:tcPr>
          <w:p w14:paraId="01659759" w14:textId="53928A84" w:rsidR="0081215D" w:rsidRPr="00CC645A" w:rsidRDefault="0081215D" w:rsidP="00653332">
            <w:pPr>
              <w:pStyle w:val="Jacobnormal"/>
              <w:spacing w:line="240" w:lineRule="auto"/>
            </w:pPr>
            <w:r w:rsidRPr="00CC645A">
              <w:t>Country</w:t>
            </w:r>
          </w:p>
        </w:tc>
        <w:tc>
          <w:tcPr>
            <w:tcW w:w="2167" w:type="dxa"/>
            <w:gridSpan w:val="2"/>
            <w:tcBorders>
              <w:top w:val="single" w:sz="4" w:space="0" w:color="auto"/>
              <w:bottom w:val="single" w:sz="4" w:space="0" w:color="auto"/>
            </w:tcBorders>
          </w:tcPr>
          <w:p w14:paraId="121357F0" w14:textId="364BEFFD" w:rsidR="0081215D" w:rsidRPr="00CC645A" w:rsidRDefault="0081215D" w:rsidP="000544C7">
            <w:pPr>
              <w:pStyle w:val="Jacobnormal"/>
              <w:spacing w:line="240" w:lineRule="auto"/>
            </w:pPr>
            <w:r w:rsidRPr="00CC645A">
              <w:t xml:space="preserve">Quantitative </w:t>
            </w:r>
            <w:r w:rsidR="000544C7">
              <w:t>measure</w:t>
            </w:r>
          </w:p>
        </w:tc>
        <w:tc>
          <w:tcPr>
            <w:tcW w:w="4751" w:type="dxa"/>
            <w:vMerge w:val="restart"/>
            <w:tcBorders>
              <w:top w:val="single" w:sz="4" w:space="0" w:color="auto"/>
              <w:bottom w:val="nil"/>
            </w:tcBorders>
          </w:tcPr>
          <w:p w14:paraId="0B214AF3" w14:textId="2162D6F6" w:rsidR="0081215D" w:rsidRPr="00CC645A" w:rsidRDefault="0081215D" w:rsidP="00CC33A9">
            <w:pPr>
              <w:pStyle w:val="Jacobnormal"/>
              <w:spacing w:line="240" w:lineRule="auto"/>
            </w:pPr>
            <w:r w:rsidRPr="00CC645A">
              <w:t>Qualitative assessment</w:t>
            </w:r>
          </w:p>
        </w:tc>
        <w:tc>
          <w:tcPr>
            <w:tcW w:w="777" w:type="dxa"/>
            <w:vMerge w:val="restart"/>
            <w:tcBorders>
              <w:top w:val="single" w:sz="4" w:space="0" w:color="auto"/>
              <w:bottom w:val="nil"/>
            </w:tcBorders>
          </w:tcPr>
          <w:p w14:paraId="17450351" w14:textId="56212119" w:rsidR="0081215D" w:rsidRPr="00CC645A" w:rsidRDefault="0081215D" w:rsidP="00CC33A9">
            <w:pPr>
              <w:pStyle w:val="Jacobnormal"/>
              <w:spacing w:line="240" w:lineRule="auto"/>
            </w:pPr>
            <w:r w:rsidRPr="00CC645A">
              <w:t>Fu</w:t>
            </w:r>
            <w:r w:rsidR="00D71F2D">
              <w:t>zz</w:t>
            </w:r>
            <w:r w:rsidRPr="00CC645A">
              <w:t>y score</w:t>
            </w:r>
          </w:p>
        </w:tc>
      </w:tr>
      <w:tr w:rsidR="00CC645A" w:rsidRPr="000577B2" w14:paraId="3F53272B" w14:textId="7BC3A8A2" w:rsidTr="00CC645A">
        <w:tc>
          <w:tcPr>
            <w:tcW w:w="1377" w:type="dxa"/>
            <w:vMerge/>
            <w:tcBorders>
              <w:top w:val="single" w:sz="4" w:space="0" w:color="auto"/>
              <w:bottom w:val="single" w:sz="4" w:space="0" w:color="auto"/>
            </w:tcBorders>
          </w:tcPr>
          <w:p w14:paraId="5416B826" w14:textId="2439AC45" w:rsidR="0081215D" w:rsidRPr="000577B2" w:rsidRDefault="0081215D" w:rsidP="00CC33A9">
            <w:pPr>
              <w:pStyle w:val="Jacobnormal"/>
              <w:spacing w:line="240" w:lineRule="auto"/>
              <w:rPr>
                <w:i/>
              </w:rPr>
            </w:pPr>
          </w:p>
        </w:tc>
        <w:tc>
          <w:tcPr>
            <w:tcW w:w="910" w:type="dxa"/>
            <w:tcBorders>
              <w:top w:val="single" w:sz="4" w:space="0" w:color="auto"/>
              <w:bottom w:val="single" w:sz="4" w:space="0" w:color="auto"/>
            </w:tcBorders>
          </w:tcPr>
          <w:p w14:paraId="6F0AF7FB" w14:textId="77777777" w:rsidR="0081215D" w:rsidRPr="00CC645A" w:rsidRDefault="0081215D" w:rsidP="000D50EE">
            <w:pPr>
              <w:pStyle w:val="Jacobnormal"/>
              <w:spacing w:line="240" w:lineRule="auto"/>
            </w:pPr>
            <w:r w:rsidRPr="00CC645A">
              <w:t>Deadly events/</w:t>
            </w:r>
          </w:p>
          <w:p w14:paraId="63B1D9B9" w14:textId="3E656104" w:rsidR="0081215D" w:rsidRPr="00CC645A" w:rsidRDefault="0081215D" w:rsidP="009F79C9">
            <w:pPr>
              <w:pStyle w:val="Jacobnormal"/>
              <w:spacing w:line="240" w:lineRule="auto"/>
            </w:pPr>
            <w:r w:rsidRPr="00CC645A">
              <w:t xml:space="preserve">deaths </w:t>
            </w:r>
          </w:p>
        </w:tc>
        <w:tc>
          <w:tcPr>
            <w:tcW w:w="1257" w:type="dxa"/>
            <w:tcBorders>
              <w:top w:val="single" w:sz="4" w:space="0" w:color="auto"/>
              <w:bottom w:val="single" w:sz="4" w:space="0" w:color="auto"/>
            </w:tcBorders>
          </w:tcPr>
          <w:p w14:paraId="06A374F5" w14:textId="31518148" w:rsidR="0081215D" w:rsidRPr="00CC645A" w:rsidRDefault="0081215D" w:rsidP="000D50EE">
            <w:pPr>
              <w:pStyle w:val="Jacobnormal"/>
              <w:spacing w:line="240" w:lineRule="auto"/>
            </w:pPr>
            <w:r w:rsidRPr="00CC645A">
              <w:t>Deadly events per capita</w:t>
            </w:r>
          </w:p>
        </w:tc>
        <w:tc>
          <w:tcPr>
            <w:tcW w:w="4751" w:type="dxa"/>
            <w:vMerge/>
            <w:tcBorders>
              <w:top w:val="nil"/>
              <w:bottom w:val="single" w:sz="4" w:space="0" w:color="auto"/>
            </w:tcBorders>
          </w:tcPr>
          <w:p w14:paraId="47CA84BD" w14:textId="60934F92" w:rsidR="0081215D" w:rsidRPr="000577B2" w:rsidRDefault="0081215D" w:rsidP="00CC33A9">
            <w:pPr>
              <w:pStyle w:val="Jacobnormal"/>
              <w:spacing w:line="240" w:lineRule="auto"/>
              <w:rPr>
                <w:i/>
              </w:rPr>
            </w:pPr>
          </w:p>
        </w:tc>
        <w:tc>
          <w:tcPr>
            <w:tcW w:w="777" w:type="dxa"/>
            <w:vMerge/>
            <w:tcBorders>
              <w:top w:val="nil"/>
              <w:bottom w:val="single" w:sz="4" w:space="0" w:color="auto"/>
            </w:tcBorders>
          </w:tcPr>
          <w:p w14:paraId="1C293F36" w14:textId="6F5C0847" w:rsidR="0081215D" w:rsidRPr="000577B2" w:rsidRDefault="0081215D" w:rsidP="00CC33A9">
            <w:pPr>
              <w:pStyle w:val="Jacobnormal"/>
              <w:spacing w:line="240" w:lineRule="auto"/>
              <w:rPr>
                <w:i/>
              </w:rPr>
            </w:pPr>
          </w:p>
        </w:tc>
      </w:tr>
      <w:tr w:rsidR="00CC645A" w:rsidRPr="000577B2" w14:paraId="6B4F5051" w14:textId="77777777" w:rsidTr="00CC645A">
        <w:tc>
          <w:tcPr>
            <w:tcW w:w="1377" w:type="dxa"/>
            <w:tcBorders>
              <w:top w:val="single" w:sz="4" w:space="0" w:color="auto"/>
              <w:bottom w:val="nil"/>
            </w:tcBorders>
          </w:tcPr>
          <w:p w14:paraId="315CDF00" w14:textId="77777777" w:rsidR="00653332" w:rsidRPr="000577B2" w:rsidRDefault="00653332" w:rsidP="00CC33A9">
            <w:pPr>
              <w:pStyle w:val="Jacobnormal"/>
              <w:spacing w:line="240" w:lineRule="auto"/>
              <w:rPr>
                <w:i/>
              </w:rPr>
            </w:pPr>
          </w:p>
        </w:tc>
        <w:tc>
          <w:tcPr>
            <w:tcW w:w="910" w:type="dxa"/>
            <w:tcBorders>
              <w:top w:val="single" w:sz="4" w:space="0" w:color="auto"/>
              <w:bottom w:val="nil"/>
            </w:tcBorders>
          </w:tcPr>
          <w:p w14:paraId="52E3E1EF" w14:textId="77777777" w:rsidR="00653332" w:rsidRPr="000577B2" w:rsidRDefault="00653332" w:rsidP="000D50EE">
            <w:pPr>
              <w:pStyle w:val="Jacobnormal"/>
              <w:spacing w:line="240" w:lineRule="auto"/>
              <w:rPr>
                <w:i/>
              </w:rPr>
            </w:pPr>
          </w:p>
        </w:tc>
        <w:tc>
          <w:tcPr>
            <w:tcW w:w="1257" w:type="dxa"/>
            <w:tcBorders>
              <w:top w:val="single" w:sz="4" w:space="0" w:color="auto"/>
              <w:bottom w:val="nil"/>
            </w:tcBorders>
          </w:tcPr>
          <w:p w14:paraId="0B5F6CFD" w14:textId="77777777" w:rsidR="00653332" w:rsidRPr="000577B2" w:rsidRDefault="00653332" w:rsidP="000D50EE">
            <w:pPr>
              <w:pStyle w:val="Jacobnormal"/>
              <w:spacing w:line="240" w:lineRule="auto"/>
              <w:rPr>
                <w:i/>
              </w:rPr>
            </w:pPr>
          </w:p>
        </w:tc>
        <w:tc>
          <w:tcPr>
            <w:tcW w:w="4751" w:type="dxa"/>
            <w:tcBorders>
              <w:top w:val="single" w:sz="4" w:space="0" w:color="auto"/>
              <w:bottom w:val="nil"/>
            </w:tcBorders>
          </w:tcPr>
          <w:p w14:paraId="66E4CD3F" w14:textId="77777777" w:rsidR="00653332" w:rsidRPr="000577B2" w:rsidRDefault="00653332" w:rsidP="00CC33A9">
            <w:pPr>
              <w:pStyle w:val="Jacobnormal"/>
              <w:spacing w:line="240" w:lineRule="auto"/>
              <w:rPr>
                <w:i/>
              </w:rPr>
            </w:pPr>
          </w:p>
        </w:tc>
        <w:tc>
          <w:tcPr>
            <w:tcW w:w="777" w:type="dxa"/>
            <w:tcBorders>
              <w:top w:val="single" w:sz="4" w:space="0" w:color="auto"/>
              <w:bottom w:val="nil"/>
            </w:tcBorders>
          </w:tcPr>
          <w:p w14:paraId="72A2D196" w14:textId="77777777" w:rsidR="00653332" w:rsidRPr="000577B2" w:rsidRDefault="00653332" w:rsidP="00CC33A9">
            <w:pPr>
              <w:pStyle w:val="Jacobnormal"/>
              <w:spacing w:line="240" w:lineRule="auto"/>
              <w:rPr>
                <w:i/>
              </w:rPr>
            </w:pPr>
          </w:p>
        </w:tc>
      </w:tr>
      <w:tr w:rsidR="00CC645A" w:rsidRPr="000577B2" w14:paraId="6335F6C8" w14:textId="756AA925" w:rsidTr="00CC645A">
        <w:trPr>
          <w:trHeight w:val="2381"/>
        </w:trPr>
        <w:tc>
          <w:tcPr>
            <w:tcW w:w="1377" w:type="dxa"/>
            <w:tcBorders>
              <w:top w:val="nil"/>
              <w:bottom w:val="nil"/>
            </w:tcBorders>
          </w:tcPr>
          <w:p w14:paraId="741274A9" w14:textId="0A3EB5B4" w:rsidR="000D50EE" w:rsidRPr="000577B2" w:rsidRDefault="000D50EE" w:rsidP="00CC33A9">
            <w:pPr>
              <w:pStyle w:val="Jacobnormal"/>
              <w:spacing w:line="240" w:lineRule="auto"/>
            </w:pPr>
            <w:r w:rsidRPr="000577B2">
              <w:t>Sweden</w:t>
            </w:r>
          </w:p>
        </w:tc>
        <w:tc>
          <w:tcPr>
            <w:tcW w:w="910" w:type="dxa"/>
            <w:tcBorders>
              <w:top w:val="nil"/>
              <w:bottom w:val="nil"/>
            </w:tcBorders>
          </w:tcPr>
          <w:p w14:paraId="79766607" w14:textId="5666598B" w:rsidR="000D50EE" w:rsidRPr="000577B2" w:rsidRDefault="009F79C9" w:rsidP="00CC33A9">
            <w:pPr>
              <w:pStyle w:val="Jacobnormal"/>
              <w:spacing w:line="240" w:lineRule="auto"/>
            </w:pPr>
            <w:r w:rsidRPr="000577B2">
              <w:t>17/20</w:t>
            </w:r>
          </w:p>
        </w:tc>
        <w:tc>
          <w:tcPr>
            <w:tcW w:w="1257" w:type="dxa"/>
            <w:tcBorders>
              <w:top w:val="nil"/>
              <w:bottom w:val="nil"/>
            </w:tcBorders>
          </w:tcPr>
          <w:p w14:paraId="031261A6" w14:textId="4FFF9612" w:rsidR="000D50EE" w:rsidRPr="000577B2" w:rsidRDefault="000D50EE" w:rsidP="00CC33A9">
            <w:pPr>
              <w:pStyle w:val="Jacobnormal"/>
              <w:spacing w:line="240" w:lineRule="auto"/>
            </w:pPr>
            <w:r w:rsidRPr="000577B2">
              <w:t>1</w:t>
            </w:r>
            <w:r w:rsidR="00D71F2D">
              <w:t>.</w:t>
            </w:r>
            <w:r w:rsidRPr="000577B2">
              <w:t>9</w:t>
            </w:r>
          </w:p>
        </w:tc>
        <w:tc>
          <w:tcPr>
            <w:tcW w:w="4751" w:type="dxa"/>
            <w:tcBorders>
              <w:top w:val="nil"/>
              <w:bottom w:val="nil"/>
            </w:tcBorders>
          </w:tcPr>
          <w:p w14:paraId="465D7400" w14:textId="61D95604" w:rsidR="000D50EE" w:rsidRPr="000577B2" w:rsidRDefault="002165F3" w:rsidP="00CC33A9">
            <w:pPr>
              <w:pStyle w:val="Jacobnormal"/>
              <w:spacing w:line="240" w:lineRule="auto"/>
            </w:pPr>
            <w:r>
              <w:t>Besides</w:t>
            </w:r>
            <w:r w:rsidR="000D50EE" w:rsidRPr="000577B2">
              <w:t xml:space="preserve"> having Western Europe’s highest </w:t>
            </w:r>
            <w:r w:rsidR="00BF451F">
              <w:t xml:space="preserve">score on the </w:t>
            </w:r>
            <w:r w:rsidR="000D50EE" w:rsidRPr="000577B2">
              <w:t xml:space="preserve">number of deadly </w:t>
            </w:r>
            <w:r w:rsidR="0081215D" w:rsidRPr="000577B2">
              <w:t xml:space="preserve">RTV </w:t>
            </w:r>
            <w:r w:rsidR="000D50EE" w:rsidRPr="000577B2">
              <w:t xml:space="preserve">events per capita, Sweden also scores high on non-lethal RTV events. In addition, extensive RTV is documented by hate crimes statistics from SÄPO and BRÅ (see Appendix II) as well as </w:t>
            </w:r>
            <w:r w:rsidR="00A74B6A">
              <w:t xml:space="preserve">in </w:t>
            </w:r>
            <w:r w:rsidR="000D50EE" w:rsidRPr="000577B2">
              <w:t xml:space="preserve">a number of reports and academic studies (see Appendix III).  </w:t>
            </w:r>
          </w:p>
          <w:p w14:paraId="7338C04B" w14:textId="17522B8D" w:rsidR="002B5951" w:rsidRPr="000577B2" w:rsidRDefault="002B5951" w:rsidP="00CC33A9">
            <w:pPr>
              <w:pStyle w:val="Jacobnormal"/>
              <w:spacing w:line="240" w:lineRule="auto"/>
            </w:pPr>
          </w:p>
        </w:tc>
        <w:tc>
          <w:tcPr>
            <w:tcW w:w="777" w:type="dxa"/>
            <w:tcBorders>
              <w:top w:val="nil"/>
              <w:bottom w:val="nil"/>
            </w:tcBorders>
          </w:tcPr>
          <w:p w14:paraId="17E7E8EE" w14:textId="4E48C9E6" w:rsidR="000D50EE" w:rsidRPr="000577B2" w:rsidRDefault="000D50EE" w:rsidP="00CC33A9">
            <w:pPr>
              <w:pStyle w:val="Jacobnormal"/>
              <w:spacing w:line="240" w:lineRule="auto"/>
            </w:pPr>
            <w:r w:rsidRPr="000577B2">
              <w:t>1.0</w:t>
            </w:r>
          </w:p>
        </w:tc>
      </w:tr>
      <w:tr w:rsidR="00CC645A" w:rsidRPr="000577B2" w14:paraId="32271D32" w14:textId="36DFA8EF" w:rsidTr="00CC645A">
        <w:tc>
          <w:tcPr>
            <w:tcW w:w="1377" w:type="dxa"/>
            <w:tcBorders>
              <w:top w:val="nil"/>
            </w:tcBorders>
          </w:tcPr>
          <w:p w14:paraId="2849390A" w14:textId="5EF115E5" w:rsidR="000D50EE" w:rsidRPr="000577B2" w:rsidRDefault="000D50EE" w:rsidP="00CC33A9">
            <w:pPr>
              <w:pStyle w:val="Jacobnormal"/>
              <w:spacing w:line="240" w:lineRule="auto"/>
            </w:pPr>
            <w:r w:rsidRPr="000577B2">
              <w:t>Germany</w:t>
            </w:r>
          </w:p>
        </w:tc>
        <w:tc>
          <w:tcPr>
            <w:tcW w:w="910" w:type="dxa"/>
            <w:tcBorders>
              <w:top w:val="nil"/>
            </w:tcBorders>
          </w:tcPr>
          <w:p w14:paraId="663EA3E8" w14:textId="6A3E7104" w:rsidR="000D50EE" w:rsidRPr="000577B2" w:rsidRDefault="009F79C9" w:rsidP="00CC33A9">
            <w:pPr>
              <w:pStyle w:val="Jacobnormal"/>
              <w:spacing w:line="240" w:lineRule="auto"/>
            </w:pPr>
            <w:r w:rsidRPr="000577B2">
              <w:t>82/104</w:t>
            </w:r>
          </w:p>
        </w:tc>
        <w:tc>
          <w:tcPr>
            <w:tcW w:w="1257" w:type="dxa"/>
            <w:tcBorders>
              <w:top w:val="nil"/>
            </w:tcBorders>
          </w:tcPr>
          <w:p w14:paraId="1C1DFB11" w14:textId="1B2D1026" w:rsidR="000D50EE" w:rsidRPr="000577B2" w:rsidRDefault="000D50EE" w:rsidP="00CC33A9">
            <w:pPr>
              <w:pStyle w:val="Jacobnormal"/>
              <w:spacing w:line="240" w:lineRule="auto"/>
            </w:pPr>
            <w:r w:rsidRPr="000577B2">
              <w:t>1</w:t>
            </w:r>
            <w:r w:rsidR="00D71F2D">
              <w:t>.</w:t>
            </w:r>
            <w:r w:rsidRPr="000577B2">
              <w:t>0</w:t>
            </w:r>
          </w:p>
        </w:tc>
        <w:tc>
          <w:tcPr>
            <w:tcW w:w="4751" w:type="dxa"/>
            <w:tcBorders>
              <w:top w:val="nil"/>
            </w:tcBorders>
          </w:tcPr>
          <w:p w14:paraId="35072A86" w14:textId="2AD152F4" w:rsidR="000D50EE" w:rsidRPr="000577B2" w:rsidRDefault="002165F3" w:rsidP="0081215D">
            <w:pPr>
              <w:pStyle w:val="Jacobnormal"/>
              <w:spacing w:line="240" w:lineRule="auto"/>
            </w:pPr>
            <w:r>
              <w:t>Besides</w:t>
            </w:r>
            <w:r w:rsidR="000D50EE" w:rsidRPr="000577B2">
              <w:t xml:space="preserve"> having Western Europe’s second highest </w:t>
            </w:r>
            <w:r w:rsidR="00BF451F">
              <w:t xml:space="preserve">score on the </w:t>
            </w:r>
            <w:r w:rsidR="000D50EE" w:rsidRPr="000577B2">
              <w:t xml:space="preserve">number of deadly events per capita, extensive RTV in Germany is </w:t>
            </w:r>
            <w:r w:rsidR="00A74B6A">
              <w:t>well</w:t>
            </w:r>
            <w:r w:rsidR="00D71F2D">
              <w:t xml:space="preserve"> </w:t>
            </w:r>
            <w:r w:rsidR="000D50EE" w:rsidRPr="000577B2">
              <w:t xml:space="preserve">documented in official hate crime statistics (see Appendix II) and in existing </w:t>
            </w:r>
            <w:r w:rsidR="00BF451F">
              <w:t>reports and</w:t>
            </w:r>
            <w:r w:rsidR="000D50EE" w:rsidRPr="000577B2">
              <w:t xml:space="preserve"> literature (see Appendix III). </w:t>
            </w:r>
          </w:p>
          <w:p w14:paraId="45358B20" w14:textId="640F2B90" w:rsidR="002B5951" w:rsidRPr="000577B2" w:rsidRDefault="002B5951" w:rsidP="0081215D">
            <w:pPr>
              <w:pStyle w:val="Jacobnormal"/>
              <w:spacing w:line="240" w:lineRule="auto"/>
            </w:pPr>
          </w:p>
        </w:tc>
        <w:tc>
          <w:tcPr>
            <w:tcW w:w="777" w:type="dxa"/>
            <w:tcBorders>
              <w:top w:val="nil"/>
            </w:tcBorders>
          </w:tcPr>
          <w:p w14:paraId="3D60B4B0" w14:textId="49CEF578" w:rsidR="000D50EE" w:rsidRPr="000577B2" w:rsidRDefault="000D50EE" w:rsidP="00CC33A9">
            <w:pPr>
              <w:pStyle w:val="Jacobnormal"/>
              <w:spacing w:line="240" w:lineRule="auto"/>
            </w:pPr>
            <w:r w:rsidRPr="000577B2">
              <w:t>1.0</w:t>
            </w:r>
          </w:p>
        </w:tc>
      </w:tr>
      <w:tr w:rsidR="00CC645A" w:rsidRPr="000577B2" w14:paraId="25CC3C96" w14:textId="420091F0" w:rsidTr="00CC645A">
        <w:tc>
          <w:tcPr>
            <w:tcW w:w="1377" w:type="dxa"/>
          </w:tcPr>
          <w:p w14:paraId="7FADC0FD" w14:textId="3FC7BA83" w:rsidR="000D50EE" w:rsidRPr="000577B2" w:rsidRDefault="000D50EE" w:rsidP="00720093">
            <w:pPr>
              <w:pStyle w:val="Jacobnormal"/>
              <w:spacing w:line="240" w:lineRule="auto"/>
            </w:pPr>
            <w:r w:rsidRPr="000577B2">
              <w:t>Greece</w:t>
            </w:r>
          </w:p>
        </w:tc>
        <w:tc>
          <w:tcPr>
            <w:tcW w:w="910" w:type="dxa"/>
          </w:tcPr>
          <w:p w14:paraId="34058201" w14:textId="5B208E20" w:rsidR="000D50EE" w:rsidRPr="000577B2" w:rsidRDefault="009F79C9" w:rsidP="009F79C9">
            <w:pPr>
              <w:pStyle w:val="Jacobnormal"/>
              <w:spacing w:line="240" w:lineRule="auto"/>
            </w:pPr>
            <w:r w:rsidRPr="000577B2">
              <w:t>6/</w:t>
            </w:r>
            <w:r w:rsidR="000D50EE" w:rsidRPr="000577B2">
              <w:t>7</w:t>
            </w:r>
          </w:p>
        </w:tc>
        <w:tc>
          <w:tcPr>
            <w:tcW w:w="1257" w:type="dxa"/>
          </w:tcPr>
          <w:p w14:paraId="47D1B667" w14:textId="3B68299E" w:rsidR="000D50EE" w:rsidRPr="000577B2" w:rsidRDefault="000D50EE" w:rsidP="00720093">
            <w:pPr>
              <w:pStyle w:val="Jacobnormal"/>
              <w:spacing w:line="240" w:lineRule="auto"/>
            </w:pPr>
            <w:r w:rsidRPr="000577B2">
              <w:t>0</w:t>
            </w:r>
            <w:r w:rsidR="00D71F2D">
              <w:t>.</w:t>
            </w:r>
            <w:r w:rsidRPr="000577B2">
              <w:t>6</w:t>
            </w:r>
          </w:p>
        </w:tc>
        <w:tc>
          <w:tcPr>
            <w:tcW w:w="4751" w:type="dxa"/>
          </w:tcPr>
          <w:p w14:paraId="15F3D823" w14:textId="001AE669" w:rsidR="000D50EE" w:rsidRPr="000577B2" w:rsidRDefault="002165F3" w:rsidP="0081215D">
            <w:pPr>
              <w:pStyle w:val="Jacobnormal"/>
              <w:spacing w:line="240" w:lineRule="auto"/>
            </w:pPr>
            <w:r>
              <w:t>Besides</w:t>
            </w:r>
            <w:r w:rsidR="000D50EE" w:rsidRPr="000577B2">
              <w:t xml:space="preserve"> </w:t>
            </w:r>
            <w:r w:rsidR="00BF451F">
              <w:t xml:space="preserve">scoring </w:t>
            </w:r>
            <w:r w:rsidR="000D50EE" w:rsidRPr="000577B2">
              <w:t xml:space="preserve">relatively high </w:t>
            </w:r>
            <w:r w:rsidR="00BF451F">
              <w:t xml:space="preserve">on the </w:t>
            </w:r>
            <w:r w:rsidR="000D50EE" w:rsidRPr="000577B2">
              <w:t xml:space="preserve">number of deadly RTV events per capita, extensive RTV in Greece is </w:t>
            </w:r>
            <w:r w:rsidR="0081215D" w:rsidRPr="000577B2">
              <w:t>indicated</w:t>
            </w:r>
            <w:r w:rsidR="000D50EE" w:rsidRPr="000577B2">
              <w:t xml:space="preserve"> by </w:t>
            </w:r>
            <w:r w:rsidR="00A74B6A">
              <w:t>its high number of</w:t>
            </w:r>
            <w:r w:rsidR="000D50EE" w:rsidRPr="000577B2">
              <w:t xml:space="preserve"> non-lethal RTV events, </w:t>
            </w:r>
            <w:r w:rsidR="0081215D" w:rsidRPr="000577B2">
              <w:t>and documented in</w:t>
            </w:r>
            <w:r w:rsidR="000D50EE" w:rsidRPr="000577B2">
              <w:t xml:space="preserve"> several reports and studies, in particular from Human Rights Watch and the online crowd-surfing site “The City At Times of Crisis” (see Appendix III). </w:t>
            </w:r>
          </w:p>
          <w:p w14:paraId="534F5712" w14:textId="5BDBAFCB" w:rsidR="002B5951" w:rsidRPr="000577B2" w:rsidRDefault="002B5951" w:rsidP="0081215D">
            <w:pPr>
              <w:pStyle w:val="Jacobnormal"/>
              <w:spacing w:line="240" w:lineRule="auto"/>
            </w:pPr>
          </w:p>
        </w:tc>
        <w:tc>
          <w:tcPr>
            <w:tcW w:w="777" w:type="dxa"/>
          </w:tcPr>
          <w:p w14:paraId="2AEB8166" w14:textId="03E22FC6" w:rsidR="000D50EE" w:rsidRPr="000577B2" w:rsidRDefault="000D50EE" w:rsidP="00720093">
            <w:pPr>
              <w:pStyle w:val="Jacobnormal"/>
              <w:spacing w:line="240" w:lineRule="auto"/>
            </w:pPr>
            <w:r w:rsidRPr="000577B2">
              <w:t>0.75</w:t>
            </w:r>
          </w:p>
        </w:tc>
      </w:tr>
      <w:tr w:rsidR="00CC645A" w:rsidRPr="000577B2" w14:paraId="6740D8AC" w14:textId="27CFFE66" w:rsidTr="00CC645A">
        <w:tc>
          <w:tcPr>
            <w:tcW w:w="1377" w:type="dxa"/>
          </w:tcPr>
          <w:p w14:paraId="53BBCAE6" w14:textId="016ECA16" w:rsidR="000D50EE" w:rsidRPr="000577B2" w:rsidRDefault="000D50EE" w:rsidP="00720093">
            <w:pPr>
              <w:pStyle w:val="Jacobnormal"/>
              <w:spacing w:line="240" w:lineRule="auto"/>
            </w:pPr>
            <w:r w:rsidRPr="000577B2">
              <w:t>UK</w:t>
            </w:r>
          </w:p>
        </w:tc>
        <w:tc>
          <w:tcPr>
            <w:tcW w:w="910" w:type="dxa"/>
          </w:tcPr>
          <w:p w14:paraId="453741C2" w14:textId="77FDDD92" w:rsidR="000D50EE" w:rsidRPr="000577B2" w:rsidRDefault="009F79C9" w:rsidP="00720093">
            <w:pPr>
              <w:pStyle w:val="Jacobnormal"/>
              <w:spacing w:line="240" w:lineRule="auto"/>
            </w:pPr>
            <w:r w:rsidRPr="000577B2">
              <w:t>31/33</w:t>
            </w:r>
          </w:p>
        </w:tc>
        <w:tc>
          <w:tcPr>
            <w:tcW w:w="1257" w:type="dxa"/>
          </w:tcPr>
          <w:p w14:paraId="6663CD18" w14:textId="2611571C" w:rsidR="000D50EE" w:rsidRPr="000577B2" w:rsidRDefault="000D50EE" w:rsidP="00720093">
            <w:pPr>
              <w:pStyle w:val="Jacobnormal"/>
              <w:spacing w:line="240" w:lineRule="auto"/>
            </w:pPr>
            <w:r w:rsidRPr="000577B2">
              <w:t>0</w:t>
            </w:r>
            <w:r w:rsidR="00D71F2D">
              <w:t>.</w:t>
            </w:r>
            <w:r w:rsidRPr="000577B2">
              <w:t>5</w:t>
            </w:r>
          </w:p>
        </w:tc>
        <w:tc>
          <w:tcPr>
            <w:tcW w:w="4751" w:type="dxa"/>
          </w:tcPr>
          <w:p w14:paraId="0980E28D" w14:textId="0247964E" w:rsidR="000D50EE" w:rsidRDefault="002165F3" w:rsidP="0081215D">
            <w:pPr>
              <w:pStyle w:val="Jacobnormal"/>
              <w:spacing w:line="240" w:lineRule="auto"/>
            </w:pPr>
            <w:r>
              <w:t>Besides</w:t>
            </w:r>
            <w:r w:rsidR="000D50EE" w:rsidRPr="000577B2">
              <w:t xml:space="preserve"> </w:t>
            </w:r>
            <w:r w:rsidR="00BF451F">
              <w:t>scoring</w:t>
            </w:r>
            <w:r w:rsidR="000D50EE" w:rsidRPr="000577B2">
              <w:t xml:space="preserve"> relatively high </w:t>
            </w:r>
            <w:r w:rsidR="00BF451F">
              <w:t xml:space="preserve">on the </w:t>
            </w:r>
            <w:r w:rsidR="000D50EE" w:rsidRPr="000577B2">
              <w:t xml:space="preserve">number of deadly RTV events per capita, extensive RTV in the UK is </w:t>
            </w:r>
            <w:r w:rsidR="0081215D" w:rsidRPr="000577B2">
              <w:t>indicated</w:t>
            </w:r>
            <w:r w:rsidR="000D50EE" w:rsidRPr="000577B2">
              <w:t xml:space="preserve"> </w:t>
            </w:r>
            <w:r w:rsidR="0081215D" w:rsidRPr="000577B2">
              <w:t xml:space="preserve">by many </w:t>
            </w:r>
            <w:r w:rsidR="000D50EE" w:rsidRPr="000577B2">
              <w:t xml:space="preserve">non-lethal RTV events, </w:t>
            </w:r>
            <w:r w:rsidR="00A74B6A">
              <w:t>and documented in</w:t>
            </w:r>
            <w:r w:rsidR="000D50EE" w:rsidRPr="000577B2">
              <w:t xml:space="preserve"> several reports and studies, in particular from </w:t>
            </w:r>
            <w:r w:rsidR="00A74B6A" w:rsidRPr="000577B2">
              <w:t xml:space="preserve">the Institute of Race Relations and </w:t>
            </w:r>
            <w:r w:rsidR="000D50EE" w:rsidRPr="000577B2">
              <w:t xml:space="preserve">Human Rights Watch (see Appendix III). </w:t>
            </w:r>
          </w:p>
          <w:p w14:paraId="1DBFEF02" w14:textId="75D50DD7" w:rsidR="00A74B6A" w:rsidRPr="000577B2" w:rsidRDefault="00A74B6A" w:rsidP="0081215D">
            <w:pPr>
              <w:pStyle w:val="Jacobnormal"/>
              <w:spacing w:line="240" w:lineRule="auto"/>
            </w:pPr>
          </w:p>
        </w:tc>
        <w:tc>
          <w:tcPr>
            <w:tcW w:w="777" w:type="dxa"/>
          </w:tcPr>
          <w:p w14:paraId="715F4872" w14:textId="76725A1E" w:rsidR="000D50EE" w:rsidRPr="000577B2" w:rsidRDefault="000D50EE" w:rsidP="00720093">
            <w:pPr>
              <w:pStyle w:val="Jacobnormal"/>
              <w:spacing w:line="240" w:lineRule="auto"/>
            </w:pPr>
            <w:r w:rsidRPr="000577B2">
              <w:t>0.75</w:t>
            </w:r>
          </w:p>
        </w:tc>
      </w:tr>
      <w:tr w:rsidR="00CC645A" w:rsidRPr="000577B2" w14:paraId="10C39B58" w14:textId="6F6B42DC" w:rsidTr="00CC645A">
        <w:tc>
          <w:tcPr>
            <w:tcW w:w="1377" w:type="dxa"/>
          </w:tcPr>
          <w:p w14:paraId="218C565F" w14:textId="27D6F200" w:rsidR="000D50EE" w:rsidRPr="000577B2" w:rsidRDefault="000D50EE" w:rsidP="00720093">
            <w:pPr>
              <w:pStyle w:val="Jacobnormal"/>
              <w:spacing w:line="240" w:lineRule="auto"/>
            </w:pPr>
            <w:r w:rsidRPr="000577B2">
              <w:t>Spain</w:t>
            </w:r>
          </w:p>
        </w:tc>
        <w:tc>
          <w:tcPr>
            <w:tcW w:w="910" w:type="dxa"/>
          </w:tcPr>
          <w:p w14:paraId="56C302B0" w14:textId="00B6B11F" w:rsidR="000D50EE" w:rsidRPr="000577B2" w:rsidRDefault="009F79C9" w:rsidP="00720093">
            <w:pPr>
              <w:pStyle w:val="Jacobnormal"/>
              <w:spacing w:line="240" w:lineRule="auto"/>
            </w:pPr>
            <w:r w:rsidRPr="000577B2">
              <w:t>22/22</w:t>
            </w:r>
          </w:p>
        </w:tc>
        <w:tc>
          <w:tcPr>
            <w:tcW w:w="1257" w:type="dxa"/>
          </w:tcPr>
          <w:p w14:paraId="1FDA42AC" w14:textId="0F5DEC9B" w:rsidR="000D50EE" w:rsidRPr="000577B2" w:rsidRDefault="000D50EE" w:rsidP="00720093">
            <w:pPr>
              <w:pStyle w:val="Jacobnormal"/>
              <w:spacing w:line="240" w:lineRule="auto"/>
            </w:pPr>
            <w:r w:rsidRPr="000577B2">
              <w:t>0</w:t>
            </w:r>
            <w:r w:rsidR="00D71F2D">
              <w:t>.</w:t>
            </w:r>
            <w:r w:rsidRPr="000577B2">
              <w:t>5</w:t>
            </w:r>
          </w:p>
        </w:tc>
        <w:tc>
          <w:tcPr>
            <w:tcW w:w="4751" w:type="dxa"/>
          </w:tcPr>
          <w:p w14:paraId="7A186442" w14:textId="05464706" w:rsidR="000D50EE" w:rsidRPr="000577B2" w:rsidRDefault="002165F3" w:rsidP="0081215D">
            <w:pPr>
              <w:pStyle w:val="Jacobnormal"/>
              <w:spacing w:line="240" w:lineRule="auto"/>
            </w:pPr>
            <w:r>
              <w:t>Besides</w:t>
            </w:r>
            <w:r w:rsidR="000D50EE" w:rsidRPr="000577B2">
              <w:t xml:space="preserve"> </w:t>
            </w:r>
            <w:r w:rsidR="00BF451F">
              <w:t>scoring</w:t>
            </w:r>
            <w:r w:rsidR="000D50EE" w:rsidRPr="000577B2">
              <w:t xml:space="preserve"> relatively high </w:t>
            </w:r>
            <w:r w:rsidR="00BF451F">
              <w:t xml:space="preserve">on the </w:t>
            </w:r>
            <w:r w:rsidR="000D50EE" w:rsidRPr="000577B2">
              <w:t xml:space="preserve">number of deadly RTV events per capita, extensive RTV in Spain is documented </w:t>
            </w:r>
            <w:r w:rsidR="00A74B6A">
              <w:t>in</w:t>
            </w:r>
            <w:r w:rsidR="000D50EE" w:rsidRPr="000577B2">
              <w:t xml:space="preserve"> a number of reports and studies, in particular from </w:t>
            </w:r>
            <w:proofErr w:type="spellStart"/>
            <w:r w:rsidR="000D50EE" w:rsidRPr="000577B2">
              <w:rPr>
                <w:i/>
              </w:rPr>
              <w:lastRenderedPageBreak/>
              <w:t>Moviemiento</w:t>
            </w:r>
            <w:proofErr w:type="spellEnd"/>
            <w:r w:rsidR="000D50EE" w:rsidRPr="000577B2">
              <w:rPr>
                <w:i/>
              </w:rPr>
              <w:t xml:space="preserve"> Contra la </w:t>
            </w:r>
            <w:proofErr w:type="spellStart"/>
            <w:r w:rsidR="000D50EE" w:rsidRPr="000577B2">
              <w:rPr>
                <w:i/>
              </w:rPr>
              <w:t>Intolerancia</w:t>
            </w:r>
            <w:proofErr w:type="spellEnd"/>
            <w:r w:rsidR="000D50EE" w:rsidRPr="000577B2">
              <w:t xml:space="preserve"> (see Appendix III). </w:t>
            </w:r>
          </w:p>
          <w:p w14:paraId="133C70E4" w14:textId="044F87C6" w:rsidR="002B5951" w:rsidRPr="000577B2" w:rsidRDefault="002B5951" w:rsidP="0081215D">
            <w:pPr>
              <w:pStyle w:val="Jacobnormal"/>
              <w:spacing w:line="240" w:lineRule="auto"/>
            </w:pPr>
          </w:p>
        </w:tc>
        <w:tc>
          <w:tcPr>
            <w:tcW w:w="777" w:type="dxa"/>
          </w:tcPr>
          <w:p w14:paraId="00F0DF19" w14:textId="6D9886E1" w:rsidR="000D50EE" w:rsidRPr="000577B2" w:rsidRDefault="000D50EE" w:rsidP="00720093">
            <w:pPr>
              <w:pStyle w:val="Jacobnormal"/>
              <w:spacing w:line="240" w:lineRule="auto"/>
            </w:pPr>
            <w:r w:rsidRPr="000577B2">
              <w:lastRenderedPageBreak/>
              <w:t>0.75</w:t>
            </w:r>
          </w:p>
        </w:tc>
      </w:tr>
      <w:tr w:rsidR="00CC645A" w:rsidRPr="000577B2" w14:paraId="708A2345" w14:textId="33AB6839" w:rsidTr="00CC645A">
        <w:tc>
          <w:tcPr>
            <w:tcW w:w="1377" w:type="dxa"/>
          </w:tcPr>
          <w:p w14:paraId="6B7882AE" w14:textId="772C74BE" w:rsidR="000D50EE" w:rsidRPr="000577B2" w:rsidRDefault="000D50EE" w:rsidP="00720093">
            <w:pPr>
              <w:pStyle w:val="Jacobnormal"/>
              <w:spacing w:line="240" w:lineRule="auto"/>
            </w:pPr>
            <w:r w:rsidRPr="000577B2">
              <w:t>Italy</w:t>
            </w:r>
          </w:p>
        </w:tc>
        <w:tc>
          <w:tcPr>
            <w:tcW w:w="910" w:type="dxa"/>
          </w:tcPr>
          <w:p w14:paraId="639BC6C0" w14:textId="626BC4EB" w:rsidR="000D50EE" w:rsidRPr="000577B2" w:rsidRDefault="009F79C9" w:rsidP="00720093">
            <w:pPr>
              <w:pStyle w:val="Jacobnormal"/>
              <w:spacing w:line="240" w:lineRule="auto"/>
            </w:pPr>
            <w:r w:rsidRPr="000577B2">
              <w:t>5/6</w:t>
            </w:r>
          </w:p>
        </w:tc>
        <w:tc>
          <w:tcPr>
            <w:tcW w:w="1257" w:type="dxa"/>
          </w:tcPr>
          <w:p w14:paraId="093A348A" w14:textId="214AA79E" w:rsidR="000D50EE" w:rsidRPr="000577B2" w:rsidRDefault="000D50EE" w:rsidP="00720093">
            <w:pPr>
              <w:pStyle w:val="Jacobnormal"/>
              <w:spacing w:line="240" w:lineRule="auto"/>
            </w:pPr>
            <w:r w:rsidRPr="000577B2">
              <w:t>0</w:t>
            </w:r>
            <w:r w:rsidR="00D71F2D">
              <w:t>.</w:t>
            </w:r>
            <w:r w:rsidRPr="000577B2">
              <w:t>1</w:t>
            </w:r>
          </w:p>
        </w:tc>
        <w:tc>
          <w:tcPr>
            <w:tcW w:w="4751" w:type="dxa"/>
          </w:tcPr>
          <w:p w14:paraId="2ECB3FFE" w14:textId="26F3BCEA" w:rsidR="000D50EE" w:rsidRPr="000577B2" w:rsidRDefault="000D50EE" w:rsidP="00CA5693">
            <w:pPr>
              <w:pStyle w:val="Jacobnormal"/>
              <w:spacing w:line="240" w:lineRule="auto"/>
            </w:pPr>
            <w:r w:rsidRPr="000577B2">
              <w:t xml:space="preserve">Although Italy has </w:t>
            </w:r>
            <w:r w:rsidR="00A74B6A">
              <w:t xml:space="preserve">experienced </w:t>
            </w:r>
            <w:r w:rsidRPr="000577B2">
              <w:t xml:space="preserve">relatively few deadly RTV events per capita, extensive RTV </w:t>
            </w:r>
            <w:r w:rsidR="00CA5693" w:rsidRPr="000577B2">
              <w:t>is indicated</w:t>
            </w:r>
            <w:r w:rsidRPr="000577B2">
              <w:t xml:space="preserve"> by </w:t>
            </w:r>
            <w:r w:rsidR="00A74B6A">
              <w:t>its high number of</w:t>
            </w:r>
            <w:r w:rsidRPr="000577B2">
              <w:t xml:space="preserve"> non-lethal RTV events, </w:t>
            </w:r>
            <w:r w:rsidR="00A74B6A">
              <w:t>and documented in several</w:t>
            </w:r>
            <w:r w:rsidRPr="000577B2">
              <w:t xml:space="preserve"> reports and st</w:t>
            </w:r>
            <w:r w:rsidR="000544C7">
              <w:t>udies, in particular from Human</w:t>
            </w:r>
            <w:r w:rsidRPr="000577B2">
              <w:t xml:space="preserve"> Rights Watch (see Appendix III). In addition, Italian anti-fascists provide detailed reports on RTV on their </w:t>
            </w:r>
            <w:r w:rsidR="00A74B6A">
              <w:t xml:space="preserve">national </w:t>
            </w:r>
            <w:r w:rsidRPr="000577B2">
              <w:t xml:space="preserve">website (see Appendix III).  </w:t>
            </w:r>
          </w:p>
          <w:p w14:paraId="18FE5832" w14:textId="3266DA23" w:rsidR="002B5951" w:rsidRPr="000577B2" w:rsidRDefault="002B5951" w:rsidP="00CA5693">
            <w:pPr>
              <w:pStyle w:val="Jacobnormal"/>
              <w:spacing w:line="240" w:lineRule="auto"/>
            </w:pPr>
          </w:p>
        </w:tc>
        <w:tc>
          <w:tcPr>
            <w:tcW w:w="777" w:type="dxa"/>
          </w:tcPr>
          <w:p w14:paraId="51CA17A4" w14:textId="76FD2F8F" w:rsidR="000D50EE" w:rsidRPr="000577B2" w:rsidRDefault="000D50EE" w:rsidP="00C049C7">
            <w:pPr>
              <w:pStyle w:val="Jacobnormal"/>
              <w:spacing w:line="240" w:lineRule="auto"/>
            </w:pPr>
            <w:r w:rsidRPr="000577B2">
              <w:t>0.75</w:t>
            </w:r>
          </w:p>
        </w:tc>
      </w:tr>
      <w:tr w:rsidR="00BF451F" w:rsidRPr="000577B2" w14:paraId="25AD7028" w14:textId="77777777" w:rsidTr="00CC645A">
        <w:tc>
          <w:tcPr>
            <w:tcW w:w="1377" w:type="dxa"/>
          </w:tcPr>
          <w:p w14:paraId="6EE6E2E1" w14:textId="23FEF724" w:rsidR="00BF451F" w:rsidRPr="000577B2" w:rsidRDefault="00BF451F" w:rsidP="00BF451F">
            <w:pPr>
              <w:pStyle w:val="Jacobnormal"/>
              <w:spacing w:line="240" w:lineRule="auto"/>
            </w:pPr>
            <w:r w:rsidRPr="000577B2">
              <w:t>Ireland</w:t>
            </w:r>
          </w:p>
        </w:tc>
        <w:tc>
          <w:tcPr>
            <w:tcW w:w="910" w:type="dxa"/>
          </w:tcPr>
          <w:p w14:paraId="2A9AB6D1" w14:textId="075BDD00" w:rsidR="00BF451F" w:rsidRPr="000577B2" w:rsidRDefault="00BF451F" w:rsidP="00BF451F">
            <w:pPr>
              <w:pStyle w:val="Jacobnormal"/>
              <w:spacing w:line="240" w:lineRule="auto"/>
            </w:pPr>
            <w:r w:rsidRPr="000577B2">
              <w:t>3/4</w:t>
            </w:r>
          </w:p>
        </w:tc>
        <w:tc>
          <w:tcPr>
            <w:tcW w:w="1257" w:type="dxa"/>
          </w:tcPr>
          <w:p w14:paraId="0C644B1E" w14:textId="480D1072" w:rsidR="00BF451F" w:rsidRPr="000577B2" w:rsidRDefault="00BF451F" w:rsidP="00BF451F">
            <w:pPr>
              <w:pStyle w:val="Jacobnormal"/>
              <w:spacing w:line="240" w:lineRule="auto"/>
            </w:pPr>
            <w:r w:rsidRPr="000577B2">
              <w:t>0</w:t>
            </w:r>
            <w:r w:rsidR="00D71F2D">
              <w:t>.</w:t>
            </w:r>
            <w:r w:rsidRPr="000577B2">
              <w:t>8</w:t>
            </w:r>
          </w:p>
        </w:tc>
        <w:tc>
          <w:tcPr>
            <w:tcW w:w="4751" w:type="dxa"/>
          </w:tcPr>
          <w:p w14:paraId="32655EB4" w14:textId="034BBF6C" w:rsidR="00BF451F" w:rsidRDefault="00BF451F" w:rsidP="00BF451F">
            <w:pPr>
              <w:pStyle w:val="Jacobnormal"/>
              <w:spacing w:line="240" w:lineRule="auto"/>
            </w:pPr>
            <w:r w:rsidRPr="000577B2">
              <w:t>Ireland’s high score on the number of deadly RTV events per capita must be balanced against its low (absolute) number of deadly events (</w:t>
            </w:r>
            <w:r>
              <w:t>three</w:t>
            </w:r>
            <w:r w:rsidRPr="000577B2">
              <w:t xml:space="preserve">). Literature on RTV in Ireland is limited, but existing reports indicate moderate </w:t>
            </w:r>
            <w:r>
              <w:t xml:space="preserve">to low </w:t>
            </w:r>
            <w:r w:rsidRPr="000577B2">
              <w:t>amounts (see Appendix III).</w:t>
            </w:r>
          </w:p>
          <w:p w14:paraId="7EA2738B" w14:textId="479B785D" w:rsidR="00BF451F" w:rsidRPr="000577B2" w:rsidRDefault="00BF451F" w:rsidP="00BF451F">
            <w:pPr>
              <w:pStyle w:val="Jacobnormal"/>
              <w:spacing w:line="240" w:lineRule="auto"/>
            </w:pPr>
          </w:p>
        </w:tc>
        <w:tc>
          <w:tcPr>
            <w:tcW w:w="777" w:type="dxa"/>
          </w:tcPr>
          <w:p w14:paraId="39379DCC" w14:textId="383CBA29" w:rsidR="00BF451F" w:rsidRPr="000577B2" w:rsidRDefault="00BF451F" w:rsidP="00BF451F">
            <w:pPr>
              <w:pStyle w:val="Jacobnormal"/>
              <w:spacing w:line="240" w:lineRule="auto"/>
            </w:pPr>
            <w:r w:rsidRPr="000577B2">
              <w:t>0</w:t>
            </w:r>
            <w:r w:rsidR="00D71F2D">
              <w:t>.</w:t>
            </w:r>
            <w:r w:rsidRPr="000577B2">
              <w:t>25</w:t>
            </w:r>
          </w:p>
        </w:tc>
      </w:tr>
      <w:tr w:rsidR="00BF451F" w:rsidRPr="000577B2" w14:paraId="16CCDECA" w14:textId="50F9D81D" w:rsidTr="00CC645A">
        <w:tc>
          <w:tcPr>
            <w:tcW w:w="1377" w:type="dxa"/>
          </w:tcPr>
          <w:p w14:paraId="670AAE69" w14:textId="307915F1" w:rsidR="00BF451F" w:rsidRPr="000577B2" w:rsidRDefault="00BF451F" w:rsidP="00BF451F">
            <w:pPr>
              <w:pStyle w:val="Jacobnormal"/>
              <w:spacing w:line="240" w:lineRule="auto"/>
            </w:pPr>
            <w:r w:rsidRPr="000577B2">
              <w:t>Norway</w:t>
            </w:r>
          </w:p>
        </w:tc>
        <w:tc>
          <w:tcPr>
            <w:tcW w:w="910" w:type="dxa"/>
          </w:tcPr>
          <w:p w14:paraId="1C942F44" w14:textId="3B844082" w:rsidR="00BF451F" w:rsidRPr="000577B2" w:rsidRDefault="00BF451F" w:rsidP="00BF451F">
            <w:pPr>
              <w:pStyle w:val="Jacobnormal"/>
              <w:spacing w:line="240" w:lineRule="auto"/>
            </w:pPr>
            <w:r w:rsidRPr="000577B2">
              <w:t>3/79</w:t>
            </w:r>
          </w:p>
        </w:tc>
        <w:tc>
          <w:tcPr>
            <w:tcW w:w="1257" w:type="dxa"/>
          </w:tcPr>
          <w:p w14:paraId="1FD1D79A" w14:textId="0CBE7B15" w:rsidR="00BF451F" w:rsidRPr="000577B2" w:rsidRDefault="00BF451F" w:rsidP="00BF451F">
            <w:pPr>
              <w:pStyle w:val="Jacobnormal"/>
              <w:spacing w:line="240" w:lineRule="auto"/>
            </w:pPr>
            <w:r w:rsidRPr="000577B2">
              <w:t>0</w:t>
            </w:r>
            <w:r w:rsidR="00D71F2D">
              <w:t>.</w:t>
            </w:r>
            <w:r w:rsidRPr="000577B2">
              <w:t>7</w:t>
            </w:r>
          </w:p>
        </w:tc>
        <w:tc>
          <w:tcPr>
            <w:tcW w:w="4751" w:type="dxa"/>
          </w:tcPr>
          <w:p w14:paraId="3D17CB76" w14:textId="085B67E1" w:rsidR="00BF451F" w:rsidRPr="000577B2" w:rsidRDefault="00BF451F" w:rsidP="00BF451F">
            <w:pPr>
              <w:pStyle w:val="Jacobnormal"/>
              <w:spacing w:line="240" w:lineRule="auto"/>
            </w:pPr>
            <w:r w:rsidRPr="000577B2">
              <w:t xml:space="preserve">Norway’s high score on the number of deadly RTV events per capita must be balanced against its low (absolute) number of deadly events (three). Furthermore, existing reports </w:t>
            </w:r>
            <w:r>
              <w:t xml:space="preserve">and datasets </w:t>
            </w:r>
            <w:r w:rsidRPr="000577B2">
              <w:t xml:space="preserve">suggest that RTV has been </w:t>
            </w:r>
            <w:r w:rsidR="00042734">
              <w:t>moderate</w:t>
            </w:r>
            <w:r w:rsidRPr="000577B2">
              <w:t xml:space="preserve"> or even low in Norway since the more violent 1990s (see Appendix III). </w:t>
            </w:r>
          </w:p>
          <w:p w14:paraId="5048E02C" w14:textId="5E8C07E5" w:rsidR="00BF451F" w:rsidRPr="000577B2" w:rsidRDefault="00BF451F" w:rsidP="00BF451F">
            <w:pPr>
              <w:pStyle w:val="Jacobnormal"/>
              <w:spacing w:line="240" w:lineRule="auto"/>
            </w:pPr>
          </w:p>
        </w:tc>
        <w:tc>
          <w:tcPr>
            <w:tcW w:w="777" w:type="dxa"/>
          </w:tcPr>
          <w:p w14:paraId="1BE4B77D" w14:textId="79151A45" w:rsidR="00BF451F" w:rsidRPr="000577B2" w:rsidRDefault="00BF451F" w:rsidP="00BF451F">
            <w:pPr>
              <w:pStyle w:val="Jacobnormal"/>
              <w:spacing w:line="240" w:lineRule="auto"/>
            </w:pPr>
            <w:r w:rsidRPr="000577B2">
              <w:t>0.25</w:t>
            </w:r>
          </w:p>
        </w:tc>
      </w:tr>
      <w:tr w:rsidR="00BF451F" w:rsidRPr="000577B2" w14:paraId="18E69759" w14:textId="305FFFEB" w:rsidTr="00CC645A">
        <w:tc>
          <w:tcPr>
            <w:tcW w:w="1377" w:type="dxa"/>
          </w:tcPr>
          <w:p w14:paraId="4E61514B" w14:textId="4F90A252" w:rsidR="00BF451F" w:rsidRPr="000577B2" w:rsidRDefault="00BF451F" w:rsidP="00BF451F">
            <w:pPr>
              <w:pStyle w:val="Jacobnormal"/>
              <w:spacing w:line="240" w:lineRule="auto"/>
            </w:pPr>
            <w:r w:rsidRPr="000577B2">
              <w:t>Belgium</w:t>
            </w:r>
          </w:p>
        </w:tc>
        <w:tc>
          <w:tcPr>
            <w:tcW w:w="910" w:type="dxa"/>
          </w:tcPr>
          <w:p w14:paraId="3FE0F60A" w14:textId="7AAFFA11" w:rsidR="00BF451F" w:rsidRPr="000577B2" w:rsidRDefault="00BF451F" w:rsidP="00BF451F">
            <w:pPr>
              <w:pStyle w:val="Jacobnormal"/>
              <w:spacing w:line="240" w:lineRule="auto"/>
            </w:pPr>
            <w:r w:rsidRPr="000577B2">
              <w:t>3/5</w:t>
            </w:r>
          </w:p>
        </w:tc>
        <w:tc>
          <w:tcPr>
            <w:tcW w:w="1257" w:type="dxa"/>
          </w:tcPr>
          <w:p w14:paraId="06789A91" w14:textId="02849359" w:rsidR="00BF451F" w:rsidRPr="000577B2" w:rsidRDefault="00BF451F" w:rsidP="00BF451F">
            <w:pPr>
              <w:pStyle w:val="Jacobnormal"/>
              <w:spacing w:line="240" w:lineRule="auto"/>
            </w:pPr>
            <w:r w:rsidRPr="000577B2">
              <w:t>0</w:t>
            </w:r>
            <w:r w:rsidR="00D71F2D">
              <w:t>.</w:t>
            </w:r>
            <w:r w:rsidRPr="000577B2">
              <w:t>3</w:t>
            </w:r>
          </w:p>
        </w:tc>
        <w:tc>
          <w:tcPr>
            <w:tcW w:w="4751" w:type="dxa"/>
          </w:tcPr>
          <w:p w14:paraId="024F778C" w14:textId="33157215" w:rsidR="00BF451F" w:rsidRPr="000577B2" w:rsidRDefault="00BF451F" w:rsidP="00BF451F">
            <w:pPr>
              <w:pStyle w:val="Jacobnormal"/>
              <w:spacing w:line="240" w:lineRule="auto"/>
            </w:pPr>
            <w:r>
              <w:t>Apart from</w:t>
            </w:r>
            <w:r w:rsidRPr="000577B2">
              <w:t xml:space="preserve"> Belgium’s moderate </w:t>
            </w:r>
            <w:r w:rsidR="002165F3">
              <w:t xml:space="preserve">score on </w:t>
            </w:r>
            <w:r w:rsidRPr="000577B2">
              <w:t xml:space="preserve">number of deadly events per capita, few non-lethal RTV events have been registered. </w:t>
            </w:r>
            <w:r>
              <w:t>R</w:t>
            </w:r>
            <w:r w:rsidRPr="000577B2">
              <w:t xml:space="preserve">eports on RTV in Belgium are limited, but testify </w:t>
            </w:r>
            <w:r w:rsidR="00D71F2D">
              <w:t>to</w:t>
            </w:r>
            <w:r w:rsidRPr="000577B2">
              <w:t xml:space="preserve"> moderate </w:t>
            </w:r>
            <w:r>
              <w:t xml:space="preserve">to low </w:t>
            </w:r>
            <w:r w:rsidRPr="000577B2">
              <w:t>amounts (see Appendix III). This is confirmed in private correspondence between the author and representatives from the “</w:t>
            </w:r>
            <w:proofErr w:type="spellStart"/>
            <w:r w:rsidRPr="000577B2">
              <w:t>Interfederal</w:t>
            </w:r>
            <w:proofErr w:type="spellEnd"/>
            <w:r w:rsidRPr="000577B2">
              <w:t xml:space="preserve"> Centre for </w:t>
            </w:r>
            <w:r>
              <w:t>E</w:t>
            </w:r>
            <w:r w:rsidRPr="000577B2">
              <w:t xml:space="preserve">qual </w:t>
            </w:r>
            <w:r>
              <w:t>O</w:t>
            </w:r>
            <w:r w:rsidRPr="000577B2">
              <w:t xml:space="preserve">pportunities”. </w:t>
            </w:r>
          </w:p>
          <w:p w14:paraId="5BCE6ADD" w14:textId="48BC1D4C" w:rsidR="00BF451F" w:rsidRPr="000577B2" w:rsidRDefault="00BF451F" w:rsidP="00BF451F">
            <w:pPr>
              <w:pStyle w:val="Jacobnormal"/>
              <w:spacing w:line="240" w:lineRule="auto"/>
            </w:pPr>
          </w:p>
        </w:tc>
        <w:tc>
          <w:tcPr>
            <w:tcW w:w="777" w:type="dxa"/>
          </w:tcPr>
          <w:p w14:paraId="6DE9951D" w14:textId="58C664AC" w:rsidR="00BF451F" w:rsidRPr="000577B2" w:rsidRDefault="00BF451F" w:rsidP="00BF451F">
            <w:pPr>
              <w:pStyle w:val="Jacobnormal"/>
              <w:spacing w:line="240" w:lineRule="auto"/>
            </w:pPr>
            <w:r w:rsidRPr="000577B2">
              <w:t>0</w:t>
            </w:r>
            <w:r w:rsidR="00D71F2D">
              <w:t>.</w:t>
            </w:r>
            <w:r w:rsidRPr="000577B2">
              <w:t>25</w:t>
            </w:r>
          </w:p>
        </w:tc>
      </w:tr>
      <w:tr w:rsidR="00BF451F" w:rsidRPr="000577B2" w14:paraId="3501F2CF" w14:textId="77777777" w:rsidTr="00CC645A">
        <w:tc>
          <w:tcPr>
            <w:tcW w:w="1377" w:type="dxa"/>
          </w:tcPr>
          <w:p w14:paraId="37A59AD6" w14:textId="39300803" w:rsidR="00BF451F" w:rsidRPr="000577B2" w:rsidRDefault="00BF451F" w:rsidP="00BF451F">
            <w:pPr>
              <w:pStyle w:val="Jacobnormal"/>
              <w:spacing w:line="240" w:lineRule="auto"/>
            </w:pPr>
            <w:r w:rsidRPr="000577B2">
              <w:t>Netherlands</w:t>
            </w:r>
          </w:p>
        </w:tc>
        <w:tc>
          <w:tcPr>
            <w:tcW w:w="910" w:type="dxa"/>
          </w:tcPr>
          <w:p w14:paraId="6731E466" w14:textId="02B04052" w:rsidR="00BF451F" w:rsidRPr="000577B2" w:rsidRDefault="00BF451F" w:rsidP="00BF451F">
            <w:pPr>
              <w:pStyle w:val="Jacobnormal"/>
              <w:spacing w:line="240" w:lineRule="auto"/>
            </w:pPr>
            <w:r w:rsidRPr="000577B2">
              <w:t>3/3</w:t>
            </w:r>
          </w:p>
        </w:tc>
        <w:tc>
          <w:tcPr>
            <w:tcW w:w="1257" w:type="dxa"/>
          </w:tcPr>
          <w:p w14:paraId="00141A0A" w14:textId="4E11118B" w:rsidR="00BF451F" w:rsidRPr="000577B2" w:rsidRDefault="00BF451F" w:rsidP="00BF451F">
            <w:pPr>
              <w:pStyle w:val="Jacobnormal"/>
              <w:spacing w:line="240" w:lineRule="auto"/>
            </w:pPr>
            <w:r w:rsidRPr="000577B2">
              <w:t>0</w:t>
            </w:r>
            <w:r w:rsidR="00D71F2D">
              <w:t>.</w:t>
            </w:r>
            <w:r w:rsidRPr="000577B2">
              <w:t>2</w:t>
            </w:r>
          </w:p>
        </w:tc>
        <w:tc>
          <w:tcPr>
            <w:tcW w:w="4751" w:type="dxa"/>
          </w:tcPr>
          <w:p w14:paraId="26A2B120" w14:textId="7BBBE0B3" w:rsidR="00BF451F" w:rsidRPr="000577B2" w:rsidRDefault="002165F3" w:rsidP="00BF451F">
            <w:pPr>
              <w:pStyle w:val="Jacobnormal"/>
              <w:spacing w:line="240" w:lineRule="auto"/>
            </w:pPr>
            <w:r>
              <w:t>T</w:t>
            </w:r>
            <w:r w:rsidR="00BF451F" w:rsidRPr="000577B2">
              <w:t xml:space="preserve">he Netherlands </w:t>
            </w:r>
            <w:r>
              <w:t xml:space="preserve">scores </w:t>
            </w:r>
            <w:r w:rsidR="00BF451F" w:rsidRPr="000577B2">
              <w:t xml:space="preserve">low </w:t>
            </w:r>
            <w:r>
              <w:t xml:space="preserve">on the </w:t>
            </w:r>
            <w:r w:rsidR="00BF451F" w:rsidRPr="000577B2">
              <w:t xml:space="preserve">number of deadly events per capita, </w:t>
            </w:r>
            <w:r>
              <w:t xml:space="preserve">and </w:t>
            </w:r>
            <w:r w:rsidR="00BF451F" w:rsidRPr="000577B2">
              <w:t>few non-lethal RTV events have been registered. However, several existing reports and studies, in particular from the Anne Frank House, indicate moderate amounts</w:t>
            </w:r>
            <w:r>
              <w:t xml:space="preserve"> of</w:t>
            </w:r>
            <w:r w:rsidRPr="000577B2">
              <w:t xml:space="preserve"> RTV </w:t>
            </w:r>
            <w:r w:rsidR="00BF451F" w:rsidRPr="000577B2">
              <w:t xml:space="preserve">(see Appendices II and III). </w:t>
            </w:r>
          </w:p>
          <w:p w14:paraId="1E37A436" w14:textId="18CB30DB" w:rsidR="00BF451F" w:rsidRPr="000577B2" w:rsidRDefault="00BF451F" w:rsidP="00BF451F">
            <w:pPr>
              <w:pStyle w:val="Jacobnormal"/>
              <w:spacing w:line="240" w:lineRule="auto"/>
            </w:pPr>
          </w:p>
        </w:tc>
        <w:tc>
          <w:tcPr>
            <w:tcW w:w="777" w:type="dxa"/>
          </w:tcPr>
          <w:p w14:paraId="57A37665" w14:textId="7FDAF362" w:rsidR="00BF451F" w:rsidRPr="000577B2" w:rsidRDefault="00BF451F" w:rsidP="00BF451F">
            <w:pPr>
              <w:pStyle w:val="Jacobnormal"/>
              <w:spacing w:line="240" w:lineRule="auto"/>
            </w:pPr>
            <w:r w:rsidRPr="000577B2">
              <w:t>0</w:t>
            </w:r>
            <w:r w:rsidR="00D71F2D">
              <w:t>.</w:t>
            </w:r>
            <w:r w:rsidRPr="000577B2">
              <w:t>25</w:t>
            </w:r>
          </w:p>
        </w:tc>
      </w:tr>
      <w:tr w:rsidR="00BF451F" w:rsidRPr="000577B2" w14:paraId="3C07E073" w14:textId="77777777" w:rsidTr="00CC645A">
        <w:tc>
          <w:tcPr>
            <w:tcW w:w="1377" w:type="dxa"/>
          </w:tcPr>
          <w:p w14:paraId="4777ACA2" w14:textId="6448738D" w:rsidR="00BF451F" w:rsidRPr="000577B2" w:rsidRDefault="00BF451F" w:rsidP="00BF451F">
            <w:pPr>
              <w:pStyle w:val="Jacobnormal"/>
              <w:spacing w:line="240" w:lineRule="auto"/>
            </w:pPr>
            <w:r w:rsidRPr="000577B2">
              <w:t>Denmark</w:t>
            </w:r>
          </w:p>
        </w:tc>
        <w:tc>
          <w:tcPr>
            <w:tcW w:w="910" w:type="dxa"/>
          </w:tcPr>
          <w:p w14:paraId="5526A575" w14:textId="0BEAE987" w:rsidR="00BF451F" w:rsidRPr="000577B2" w:rsidRDefault="00BF451F" w:rsidP="00BF451F">
            <w:pPr>
              <w:pStyle w:val="Jacobnormal"/>
              <w:spacing w:line="240" w:lineRule="auto"/>
            </w:pPr>
            <w:r w:rsidRPr="000577B2">
              <w:t>1/1</w:t>
            </w:r>
          </w:p>
        </w:tc>
        <w:tc>
          <w:tcPr>
            <w:tcW w:w="1257" w:type="dxa"/>
          </w:tcPr>
          <w:p w14:paraId="46A654D7" w14:textId="0DB7FA67" w:rsidR="00BF451F" w:rsidRPr="000577B2" w:rsidRDefault="00BF451F" w:rsidP="00BF451F">
            <w:pPr>
              <w:pStyle w:val="Jacobnormal"/>
              <w:spacing w:line="240" w:lineRule="auto"/>
            </w:pPr>
            <w:r w:rsidRPr="000577B2">
              <w:t>0</w:t>
            </w:r>
            <w:r w:rsidR="00D71F2D">
              <w:t>.</w:t>
            </w:r>
            <w:r w:rsidRPr="000577B2">
              <w:t>2</w:t>
            </w:r>
          </w:p>
        </w:tc>
        <w:tc>
          <w:tcPr>
            <w:tcW w:w="4751" w:type="dxa"/>
          </w:tcPr>
          <w:p w14:paraId="12C022C8" w14:textId="660E0860" w:rsidR="00BF451F" w:rsidRPr="000577B2" w:rsidRDefault="00BF451F" w:rsidP="00BF451F">
            <w:pPr>
              <w:pStyle w:val="Jacobnormal"/>
              <w:spacing w:line="240" w:lineRule="auto"/>
            </w:pPr>
            <w:r w:rsidRPr="000577B2">
              <w:t xml:space="preserve">Notwithstanding Denmark’s low </w:t>
            </w:r>
            <w:r w:rsidR="002165F3">
              <w:t xml:space="preserve">score on the </w:t>
            </w:r>
            <w:r w:rsidRPr="000577B2">
              <w:t xml:space="preserve">number of deadly events per capita, </w:t>
            </w:r>
            <w:r w:rsidR="002165F3">
              <w:t>several</w:t>
            </w:r>
            <w:r w:rsidRPr="000577B2">
              <w:t xml:space="preserve"> non-lethal RTV events have been registered. In addition, official hate crime reports and </w:t>
            </w:r>
            <w:r w:rsidR="002165F3">
              <w:lastRenderedPageBreak/>
              <w:t xml:space="preserve">existing </w:t>
            </w:r>
            <w:r w:rsidRPr="000577B2">
              <w:t xml:space="preserve">literature testify </w:t>
            </w:r>
            <w:r w:rsidR="00D71F2D">
              <w:t>to</w:t>
            </w:r>
            <w:r w:rsidRPr="000577B2">
              <w:t xml:space="preserve"> moderate amounts </w:t>
            </w:r>
            <w:r w:rsidR="002165F3">
              <w:t>of</w:t>
            </w:r>
            <w:r w:rsidR="002165F3" w:rsidRPr="000577B2">
              <w:t xml:space="preserve"> RTV </w:t>
            </w:r>
            <w:r w:rsidRPr="000577B2">
              <w:t xml:space="preserve">(see Appendices II and III).   </w:t>
            </w:r>
          </w:p>
          <w:p w14:paraId="7611A60D" w14:textId="628FE395" w:rsidR="00BF451F" w:rsidRPr="000577B2" w:rsidRDefault="00BF451F" w:rsidP="00BF451F">
            <w:pPr>
              <w:pStyle w:val="Jacobnormal"/>
              <w:spacing w:line="240" w:lineRule="auto"/>
            </w:pPr>
          </w:p>
        </w:tc>
        <w:tc>
          <w:tcPr>
            <w:tcW w:w="777" w:type="dxa"/>
          </w:tcPr>
          <w:p w14:paraId="1E1C3AC9" w14:textId="4364253D" w:rsidR="00BF451F" w:rsidRPr="000577B2" w:rsidRDefault="00BF451F" w:rsidP="00BF451F">
            <w:pPr>
              <w:pStyle w:val="Jacobnormal"/>
              <w:spacing w:line="240" w:lineRule="auto"/>
            </w:pPr>
            <w:r w:rsidRPr="000577B2">
              <w:lastRenderedPageBreak/>
              <w:t>0</w:t>
            </w:r>
            <w:r w:rsidR="00D71F2D">
              <w:t>.</w:t>
            </w:r>
            <w:r w:rsidRPr="000577B2">
              <w:t>25</w:t>
            </w:r>
          </w:p>
        </w:tc>
      </w:tr>
      <w:tr w:rsidR="00BF451F" w:rsidRPr="000577B2" w14:paraId="1E77CA82" w14:textId="77777777" w:rsidTr="00CC645A">
        <w:tc>
          <w:tcPr>
            <w:tcW w:w="1377" w:type="dxa"/>
          </w:tcPr>
          <w:p w14:paraId="1B35B525" w14:textId="779E6FC1" w:rsidR="00BF451F" w:rsidRPr="000577B2" w:rsidRDefault="00BF451F" w:rsidP="00BF451F">
            <w:pPr>
              <w:pStyle w:val="Jacobnormal"/>
              <w:spacing w:line="240" w:lineRule="auto"/>
            </w:pPr>
            <w:r w:rsidRPr="000577B2">
              <w:t>Austria</w:t>
            </w:r>
          </w:p>
        </w:tc>
        <w:tc>
          <w:tcPr>
            <w:tcW w:w="910" w:type="dxa"/>
          </w:tcPr>
          <w:p w14:paraId="7672FA72" w14:textId="65CDE284" w:rsidR="00BF451F" w:rsidRPr="000577B2" w:rsidRDefault="00BF451F" w:rsidP="00BF451F">
            <w:pPr>
              <w:pStyle w:val="Jacobnormal"/>
              <w:spacing w:line="240" w:lineRule="auto"/>
            </w:pPr>
            <w:r w:rsidRPr="000577B2">
              <w:t>1/4</w:t>
            </w:r>
          </w:p>
        </w:tc>
        <w:tc>
          <w:tcPr>
            <w:tcW w:w="1257" w:type="dxa"/>
          </w:tcPr>
          <w:p w14:paraId="33FED57C" w14:textId="73F5713F" w:rsidR="00BF451F" w:rsidRPr="000577B2" w:rsidRDefault="00BF451F" w:rsidP="00BF451F">
            <w:pPr>
              <w:pStyle w:val="Jacobnormal"/>
              <w:spacing w:line="240" w:lineRule="auto"/>
            </w:pPr>
            <w:r w:rsidRPr="000577B2">
              <w:t>0</w:t>
            </w:r>
            <w:r w:rsidR="00D71F2D">
              <w:t>.</w:t>
            </w:r>
            <w:r w:rsidRPr="000577B2">
              <w:t>1</w:t>
            </w:r>
          </w:p>
        </w:tc>
        <w:tc>
          <w:tcPr>
            <w:tcW w:w="4751" w:type="dxa"/>
          </w:tcPr>
          <w:p w14:paraId="707C9982" w14:textId="6C697857" w:rsidR="00BF451F" w:rsidRPr="000577B2" w:rsidRDefault="00BF451F" w:rsidP="00BF451F">
            <w:pPr>
              <w:pStyle w:val="Jacobnormal"/>
              <w:spacing w:line="240" w:lineRule="auto"/>
            </w:pPr>
            <w:r w:rsidRPr="000577B2">
              <w:t xml:space="preserve">Notwithstanding Austria’s low number of deadly events per capita, several RTV events have been registered. However, all events were committed by the same lone actor. </w:t>
            </w:r>
            <w:r>
              <w:t xml:space="preserve">Apart from RTV events data, </w:t>
            </w:r>
            <w:r w:rsidRPr="000577B2">
              <w:t>annual hate crime statistics and existing reports</w:t>
            </w:r>
            <w:r>
              <w:t xml:space="preserve"> indicate moderate amounts of RTV</w:t>
            </w:r>
            <w:r w:rsidR="002165F3">
              <w:t xml:space="preserve"> </w:t>
            </w:r>
            <w:r w:rsidRPr="000577B2">
              <w:t xml:space="preserve">(see Appendices II and III). </w:t>
            </w:r>
          </w:p>
          <w:p w14:paraId="5250C971" w14:textId="0268C72C" w:rsidR="00BF451F" w:rsidRPr="000577B2" w:rsidRDefault="00BF451F" w:rsidP="00BF451F">
            <w:pPr>
              <w:pStyle w:val="Jacobnormal"/>
              <w:spacing w:line="240" w:lineRule="auto"/>
            </w:pPr>
          </w:p>
        </w:tc>
        <w:tc>
          <w:tcPr>
            <w:tcW w:w="777" w:type="dxa"/>
          </w:tcPr>
          <w:p w14:paraId="004CD443" w14:textId="2A0660CB" w:rsidR="00BF451F" w:rsidRPr="000577B2" w:rsidRDefault="00BF451F" w:rsidP="00BF451F">
            <w:pPr>
              <w:pStyle w:val="Jacobnormal"/>
              <w:spacing w:line="240" w:lineRule="auto"/>
            </w:pPr>
            <w:r w:rsidRPr="000577B2">
              <w:t>0</w:t>
            </w:r>
            <w:r w:rsidR="00D71F2D">
              <w:t>.</w:t>
            </w:r>
            <w:r w:rsidRPr="000577B2">
              <w:t>25</w:t>
            </w:r>
          </w:p>
        </w:tc>
      </w:tr>
      <w:tr w:rsidR="00BF451F" w:rsidRPr="000577B2" w14:paraId="34D2218C" w14:textId="77777777" w:rsidTr="00CC645A">
        <w:tc>
          <w:tcPr>
            <w:tcW w:w="1377" w:type="dxa"/>
          </w:tcPr>
          <w:p w14:paraId="5DD22C2D" w14:textId="758B1539" w:rsidR="00BF451F" w:rsidRPr="000577B2" w:rsidRDefault="00BF451F" w:rsidP="00BF451F">
            <w:pPr>
              <w:pStyle w:val="Jacobnormal"/>
              <w:spacing w:line="240" w:lineRule="auto"/>
            </w:pPr>
            <w:r w:rsidRPr="000577B2">
              <w:t>France</w:t>
            </w:r>
          </w:p>
        </w:tc>
        <w:tc>
          <w:tcPr>
            <w:tcW w:w="910" w:type="dxa"/>
          </w:tcPr>
          <w:p w14:paraId="62F5B0BC" w14:textId="442E49B1" w:rsidR="00BF451F" w:rsidRPr="000577B2" w:rsidRDefault="00BF451F" w:rsidP="00BF451F">
            <w:pPr>
              <w:pStyle w:val="Jacobnormal"/>
              <w:spacing w:line="240" w:lineRule="auto"/>
            </w:pPr>
            <w:r w:rsidRPr="000577B2">
              <w:t>9/11</w:t>
            </w:r>
          </w:p>
        </w:tc>
        <w:tc>
          <w:tcPr>
            <w:tcW w:w="1257" w:type="dxa"/>
          </w:tcPr>
          <w:p w14:paraId="0689F5D7" w14:textId="51BC1C98" w:rsidR="00BF451F" w:rsidRPr="000577B2" w:rsidRDefault="00BF451F" w:rsidP="00BF451F">
            <w:pPr>
              <w:pStyle w:val="Jacobnormal"/>
              <w:spacing w:line="240" w:lineRule="auto"/>
            </w:pPr>
            <w:r w:rsidRPr="000577B2">
              <w:t>0</w:t>
            </w:r>
            <w:r w:rsidR="00D71F2D">
              <w:t>.</w:t>
            </w:r>
            <w:r w:rsidRPr="000577B2">
              <w:t>1</w:t>
            </w:r>
          </w:p>
        </w:tc>
        <w:tc>
          <w:tcPr>
            <w:tcW w:w="4751" w:type="dxa"/>
          </w:tcPr>
          <w:p w14:paraId="794272E9" w14:textId="2E5FA697" w:rsidR="00BF451F" w:rsidRPr="000577B2" w:rsidRDefault="00BF451F" w:rsidP="00BF451F">
            <w:pPr>
              <w:pStyle w:val="Jacobnormal"/>
              <w:spacing w:line="240" w:lineRule="auto"/>
            </w:pPr>
            <w:r w:rsidRPr="000577B2">
              <w:t>France</w:t>
            </w:r>
            <w:r>
              <w:t xml:space="preserve"> scores low on the</w:t>
            </w:r>
            <w:r w:rsidRPr="000577B2">
              <w:t xml:space="preserve"> number of deadly events per capita, </w:t>
            </w:r>
            <w:r>
              <w:t xml:space="preserve">and </w:t>
            </w:r>
            <w:r w:rsidRPr="000577B2">
              <w:t>few non-lethal RTV events have been registered. However, annual hate crime statistics and existing reports</w:t>
            </w:r>
            <w:r>
              <w:t xml:space="preserve"> indicate moderate to low amounts of RTV</w:t>
            </w:r>
            <w:r w:rsidR="002165F3">
              <w:t xml:space="preserve"> </w:t>
            </w:r>
            <w:r w:rsidRPr="000577B2">
              <w:t>(see Appendices II and III).</w:t>
            </w:r>
          </w:p>
          <w:p w14:paraId="75A8EEE7" w14:textId="031608F9" w:rsidR="00BF451F" w:rsidRPr="000577B2" w:rsidRDefault="00BF451F" w:rsidP="00BF451F">
            <w:pPr>
              <w:pStyle w:val="Jacobnormal"/>
              <w:spacing w:line="240" w:lineRule="auto"/>
            </w:pPr>
          </w:p>
        </w:tc>
        <w:tc>
          <w:tcPr>
            <w:tcW w:w="777" w:type="dxa"/>
          </w:tcPr>
          <w:p w14:paraId="6CE1FDCA" w14:textId="38A1CCAF" w:rsidR="00BF451F" w:rsidRPr="000577B2" w:rsidRDefault="00BF451F" w:rsidP="00BF451F">
            <w:pPr>
              <w:pStyle w:val="Jacobnormal"/>
              <w:spacing w:line="240" w:lineRule="auto"/>
            </w:pPr>
            <w:r w:rsidRPr="000577B2">
              <w:t>0</w:t>
            </w:r>
            <w:r w:rsidR="00D71F2D">
              <w:t>.</w:t>
            </w:r>
            <w:r w:rsidRPr="000577B2">
              <w:t>25</w:t>
            </w:r>
          </w:p>
        </w:tc>
      </w:tr>
      <w:tr w:rsidR="00BF451F" w:rsidRPr="000577B2" w14:paraId="7C5CA3AA" w14:textId="77777777" w:rsidTr="00CC645A">
        <w:tc>
          <w:tcPr>
            <w:tcW w:w="1377" w:type="dxa"/>
          </w:tcPr>
          <w:p w14:paraId="22E6FAED" w14:textId="6BFBC581" w:rsidR="00BF451F" w:rsidRPr="000577B2" w:rsidRDefault="00BF451F" w:rsidP="00BF451F">
            <w:pPr>
              <w:pStyle w:val="Jacobnormal"/>
              <w:spacing w:line="240" w:lineRule="auto"/>
            </w:pPr>
            <w:r w:rsidRPr="000577B2">
              <w:t>Switzerland</w:t>
            </w:r>
          </w:p>
        </w:tc>
        <w:tc>
          <w:tcPr>
            <w:tcW w:w="910" w:type="dxa"/>
          </w:tcPr>
          <w:p w14:paraId="12352633" w14:textId="6676CCC0" w:rsidR="00BF451F" w:rsidRPr="000577B2" w:rsidRDefault="00BF451F" w:rsidP="00BF451F">
            <w:pPr>
              <w:pStyle w:val="Jacobnormal"/>
              <w:spacing w:line="240" w:lineRule="auto"/>
            </w:pPr>
            <w:r w:rsidRPr="000577B2">
              <w:t>1/1</w:t>
            </w:r>
          </w:p>
        </w:tc>
        <w:tc>
          <w:tcPr>
            <w:tcW w:w="1257" w:type="dxa"/>
          </w:tcPr>
          <w:p w14:paraId="1C072CAD" w14:textId="32362AC5" w:rsidR="00BF451F" w:rsidRPr="000577B2" w:rsidRDefault="00BF451F" w:rsidP="00BF451F">
            <w:pPr>
              <w:pStyle w:val="Jacobnormal"/>
              <w:spacing w:line="240" w:lineRule="auto"/>
            </w:pPr>
            <w:r w:rsidRPr="000577B2">
              <w:t>0</w:t>
            </w:r>
            <w:r w:rsidR="00D71F2D">
              <w:t>.</w:t>
            </w:r>
            <w:r w:rsidRPr="000577B2">
              <w:t>1</w:t>
            </w:r>
          </w:p>
        </w:tc>
        <w:tc>
          <w:tcPr>
            <w:tcW w:w="4751" w:type="dxa"/>
          </w:tcPr>
          <w:p w14:paraId="5A499A86" w14:textId="39E723BF" w:rsidR="00BF451F" w:rsidRPr="000577B2" w:rsidRDefault="00BF451F" w:rsidP="00BF451F">
            <w:pPr>
              <w:pStyle w:val="Jacobnormal"/>
              <w:spacing w:line="240" w:lineRule="auto"/>
            </w:pPr>
            <w:r>
              <w:t>Switzerland scores low on the</w:t>
            </w:r>
            <w:r w:rsidRPr="000577B2">
              <w:t xml:space="preserve"> number of deadly events per capita, </w:t>
            </w:r>
            <w:r>
              <w:t xml:space="preserve">and </w:t>
            </w:r>
            <w:r w:rsidRPr="000577B2">
              <w:t xml:space="preserve">few non-lethal RTV events have been registered. However, annual hate crime statistics and existing </w:t>
            </w:r>
            <w:r>
              <w:t xml:space="preserve">literature indicate </w:t>
            </w:r>
            <w:r w:rsidRPr="000577B2">
              <w:t xml:space="preserve">moderate </w:t>
            </w:r>
            <w:r>
              <w:t xml:space="preserve">to low </w:t>
            </w:r>
            <w:r w:rsidRPr="000577B2">
              <w:t>amounts of R</w:t>
            </w:r>
            <w:r w:rsidR="002165F3">
              <w:t>TV (see Appendices II and III).</w:t>
            </w:r>
          </w:p>
        </w:tc>
        <w:tc>
          <w:tcPr>
            <w:tcW w:w="777" w:type="dxa"/>
          </w:tcPr>
          <w:p w14:paraId="54B9F0ED" w14:textId="63138F32" w:rsidR="00BF451F" w:rsidRPr="000577B2" w:rsidRDefault="00BF451F" w:rsidP="00BF451F">
            <w:pPr>
              <w:pStyle w:val="Jacobnormal"/>
              <w:spacing w:line="240" w:lineRule="auto"/>
            </w:pPr>
            <w:r w:rsidRPr="000577B2">
              <w:t>0</w:t>
            </w:r>
            <w:r w:rsidR="00D71F2D">
              <w:t>.</w:t>
            </w:r>
            <w:r w:rsidRPr="000577B2">
              <w:t>25</w:t>
            </w:r>
          </w:p>
        </w:tc>
      </w:tr>
      <w:tr w:rsidR="00BF451F" w:rsidRPr="000577B2" w14:paraId="2BA81771" w14:textId="77777777" w:rsidTr="00CC645A">
        <w:tc>
          <w:tcPr>
            <w:tcW w:w="1377" w:type="dxa"/>
          </w:tcPr>
          <w:p w14:paraId="0AB6732C" w14:textId="19C4E18B" w:rsidR="00BF451F" w:rsidRPr="000577B2" w:rsidRDefault="00BF451F" w:rsidP="00BF451F">
            <w:pPr>
              <w:pStyle w:val="Jacobnormal"/>
              <w:spacing w:line="240" w:lineRule="auto"/>
            </w:pPr>
          </w:p>
        </w:tc>
        <w:tc>
          <w:tcPr>
            <w:tcW w:w="910" w:type="dxa"/>
          </w:tcPr>
          <w:p w14:paraId="146D068D" w14:textId="310D5C0D" w:rsidR="00BF451F" w:rsidRPr="000577B2" w:rsidRDefault="00BF451F" w:rsidP="00BF451F">
            <w:pPr>
              <w:pStyle w:val="Jacobnormal"/>
              <w:spacing w:line="240" w:lineRule="auto"/>
            </w:pPr>
          </w:p>
        </w:tc>
        <w:tc>
          <w:tcPr>
            <w:tcW w:w="1257" w:type="dxa"/>
          </w:tcPr>
          <w:p w14:paraId="35A0FF1A" w14:textId="68912E4B" w:rsidR="00BF451F" w:rsidRPr="000577B2" w:rsidRDefault="00BF451F" w:rsidP="00BF451F">
            <w:pPr>
              <w:pStyle w:val="Jacobnormal"/>
              <w:spacing w:line="240" w:lineRule="auto"/>
            </w:pPr>
          </w:p>
        </w:tc>
        <w:tc>
          <w:tcPr>
            <w:tcW w:w="4751" w:type="dxa"/>
          </w:tcPr>
          <w:p w14:paraId="7C6764E7" w14:textId="1E20A238" w:rsidR="00BF451F" w:rsidRPr="000577B2" w:rsidRDefault="00BF451F" w:rsidP="00BF451F">
            <w:pPr>
              <w:pStyle w:val="Jacobnormal"/>
              <w:spacing w:line="240" w:lineRule="auto"/>
            </w:pPr>
          </w:p>
        </w:tc>
        <w:tc>
          <w:tcPr>
            <w:tcW w:w="777" w:type="dxa"/>
          </w:tcPr>
          <w:p w14:paraId="2596F7AB" w14:textId="24A9EFB4" w:rsidR="00BF451F" w:rsidRPr="000577B2" w:rsidRDefault="00BF451F" w:rsidP="00BF451F">
            <w:pPr>
              <w:pStyle w:val="Jacobnormal"/>
              <w:spacing w:line="240" w:lineRule="auto"/>
            </w:pPr>
          </w:p>
        </w:tc>
      </w:tr>
      <w:tr w:rsidR="00BF451F" w:rsidRPr="000577B2" w14:paraId="7E76A7A3" w14:textId="77777777" w:rsidTr="00CC645A">
        <w:tc>
          <w:tcPr>
            <w:tcW w:w="1377" w:type="dxa"/>
          </w:tcPr>
          <w:p w14:paraId="19194956" w14:textId="700CEAA2" w:rsidR="00BF451F" w:rsidRPr="000577B2" w:rsidRDefault="00BF451F" w:rsidP="00BF451F">
            <w:pPr>
              <w:pStyle w:val="Jacobnormal"/>
              <w:spacing w:line="240" w:lineRule="auto"/>
            </w:pPr>
            <w:r w:rsidRPr="000577B2">
              <w:t>Finland</w:t>
            </w:r>
          </w:p>
        </w:tc>
        <w:tc>
          <w:tcPr>
            <w:tcW w:w="910" w:type="dxa"/>
          </w:tcPr>
          <w:p w14:paraId="7A1F2EBF" w14:textId="147D444A" w:rsidR="00BF451F" w:rsidRPr="000577B2" w:rsidRDefault="00BF451F" w:rsidP="00BF451F">
            <w:pPr>
              <w:pStyle w:val="Jacobnormal"/>
              <w:spacing w:line="240" w:lineRule="auto"/>
            </w:pPr>
            <w:r w:rsidRPr="000577B2">
              <w:t>-</w:t>
            </w:r>
          </w:p>
        </w:tc>
        <w:tc>
          <w:tcPr>
            <w:tcW w:w="1257" w:type="dxa"/>
          </w:tcPr>
          <w:p w14:paraId="195152AB" w14:textId="47778A89" w:rsidR="00BF451F" w:rsidRPr="000577B2" w:rsidRDefault="00BF451F" w:rsidP="00BF451F">
            <w:pPr>
              <w:pStyle w:val="Jacobnormal"/>
              <w:spacing w:line="240" w:lineRule="auto"/>
            </w:pPr>
            <w:r w:rsidRPr="000577B2">
              <w:t>-</w:t>
            </w:r>
          </w:p>
        </w:tc>
        <w:tc>
          <w:tcPr>
            <w:tcW w:w="4751" w:type="dxa"/>
          </w:tcPr>
          <w:p w14:paraId="500A7D17" w14:textId="77777777" w:rsidR="00BF451F" w:rsidRPr="000577B2" w:rsidRDefault="00BF451F" w:rsidP="00BF451F">
            <w:pPr>
              <w:pStyle w:val="Jacobnormal"/>
              <w:spacing w:line="240" w:lineRule="auto"/>
            </w:pPr>
            <w:r>
              <w:t>Although</w:t>
            </w:r>
            <w:r w:rsidRPr="000577B2">
              <w:t xml:space="preserve"> no deadly RTV events have been registered in Finland</w:t>
            </w:r>
            <w:r>
              <w:t xml:space="preserve"> between 1990 and 2015</w:t>
            </w:r>
            <w:r w:rsidRPr="000577B2">
              <w:t>, existing hate crime statistics and literature indicate moderate amounts</w:t>
            </w:r>
            <w:r>
              <w:t xml:space="preserve"> of RTV</w:t>
            </w:r>
            <w:r w:rsidRPr="000577B2">
              <w:t xml:space="preserve">, particularly during the 1990s (see Appendix III). </w:t>
            </w:r>
          </w:p>
          <w:p w14:paraId="5FDD3892" w14:textId="1A3689AD" w:rsidR="00BF451F" w:rsidRPr="000577B2" w:rsidRDefault="00BF451F" w:rsidP="00BF451F">
            <w:pPr>
              <w:pStyle w:val="Jacobnormal"/>
              <w:spacing w:line="240" w:lineRule="auto"/>
            </w:pPr>
          </w:p>
        </w:tc>
        <w:tc>
          <w:tcPr>
            <w:tcW w:w="777" w:type="dxa"/>
          </w:tcPr>
          <w:p w14:paraId="44D019B2" w14:textId="006963E2" w:rsidR="00BF451F" w:rsidRPr="000577B2" w:rsidRDefault="00BF451F" w:rsidP="00BF451F">
            <w:pPr>
              <w:pStyle w:val="Jacobnormal"/>
              <w:spacing w:line="240" w:lineRule="auto"/>
            </w:pPr>
            <w:r w:rsidRPr="000577B2">
              <w:t>0</w:t>
            </w:r>
            <w:r w:rsidR="00D71F2D">
              <w:t>.</w:t>
            </w:r>
            <w:r w:rsidRPr="000577B2">
              <w:t>25</w:t>
            </w:r>
          </w:p>
        </w:tc>
      </w:tr>
      <w:tr w:rsidR="00BF451F" w:rsidRPr="000577B2" w14:paraId="227EAD82" w14:textId="77777777" w:rsidTr="00CC645A">
        <w:tc>
          <w:tcPr>
            <w:tcW w:w="1377" w:type="dxa"/>
          </w:tcPr>
          <w:p w14:paraId="24EF7BF8" w14:textId="47D86C02" w:rsidR="00BF451F" w:rsidRPr="000577B2" w:rsidRDefault="00BF451F" w:rsidP="00BF451F">
            <w:pPr>
              <w:pStyle w:val="Jacobnormal"/>
              <w:spacing w:line="240" w:lineRule="auto"/>
            </w:pPr>
            <w:r w:rsidRPr="000577B2">
              <w:t>Portugal</w:t>
            </w:r>
          </w:p>
        </w:tc>
        <w:tc>
          <w:tcPr>
            <w:tcW w:w="910" w:type="dxa"/>
          </w:tcPr>
          <w:p w14:paraId="1273AF0A" w14:textId="54B453F4" w:rsidR="00BF451F" w:rsidRPr="000577B2" w:rsidRDefault="00BF451F" w:rsidP="00BF451F">
            <w:pPr>
              <w:pStyle w:val="Jacobnormal"/>
              <w:spacing w:line="240" w:lineRule="auto"/>
            </w:pPr>
            <w:r w:rsidRPr="000577B2">
              <w:t>3/3</w:t>
            </w:r>
          </w:p>
        </w:tc>
        <w:tc>
          <w:tcPr>
            <w:tcW w:w="1257" w:type="dxa"/>
          </w:tcPr>
          <w:p w14:paraId="7B0ED338" w14:textId="66298C19" w:rsidR="00BF451F" w:rsidRPr="000577B2" w:rsidRDefault="00BF451F" w:rsidP="00BF451F">
            <w:pPr>
              <w:pStyle w:val="Jacobnormal"/>
              <w:spacing w:line="240" w:lineRule="auto"/>
            </w:pPr>
            <w:r w:rsidRPr="000577B2">
              <w:t>0</w:t>
            </w:r>
            <w:r w:rsidR="00D71F2D">
              <w:t>.</w:t>
            </w:r>
            <w:r w:rsidRPr="000577B2">
              <w:t>3</w:t>
            </w:r>
          </w:p>
        </w:tc>
        <w:tc>
          <w:tcPr>
            <w:tcW w:w="4751" w:type="dxa"/>
          </w:tcPr>
          <w:p w14:paraId="02C9FB37" w14:textId="62F0815C" w:rsidR="00BF451F" w:rsidRPr="000577B2" w:rsidRDefault="00BF451F" w:rsidP="00BF451F">
            <w:pPr>
              <w:pStyle w:val="Jacobnormal"/>
              <w:spacing w:line="240" w:lineRule="auto"/>
            </w:pPr>
            <w:r>
              <w:t>Apart from</w:t>
            </w:r>
            <w:r w:rsidRPr="000577B2">
              <w:t xml:space="preserve"> the three deadly RTV events registered in Portugal, no other RTV events have been registered. Furthermore, the few </w:t>
            </w:r>
            <w:r>
              <w:t xml:space="preserve">existing </w:t>
            </w:r>
            <w:r w:rsidRPr="000577B2">
              <w:t xml:space="preserve">reports on RTV in Portugal testify </w:t>
            </w:r>
            <w:r w:rsidR="00D71F2D">
              <w:t>to</w:t>
            </w:r>
            <w:r w:rsidRPr="000577B2">
              <w:t xml:space="preserve"> </w:t>
            </w:r>
            <w:r w:rsidR="002165F3">
              <w:t xml:space="preserve">low amounts (see Appendix III). </w:t>
            </w:r>
          </w:p>
        </w:tc>
        <w:tc>
          <w:tcPr>
            <w:tcW w:w="777" w:type="dxa"/>
          </w:tcPr>
          <w:p w14:paraId="19B727CD" w14:textId="015D1120" w:rsidR="00BF451F" w:rsidRPr="000577B2" w:rsidRDefault="00BF451F" w:rsidP="00BF451F">
            <w:pPr>
              <w:pStyle w:val="Jacobnormal"/>
              <w:spacing w:line="240" w:lineRule="auto"/>
            </w:pPr>
            <w:r w:rsidRPr="000577B2">
              <w:t>0,0</w:t>
            </w:r>
          </w:p>
        </w:tc>
      </w:tr>
      <w:tr w:rsidR="00BF451F" w:rsidRPr="000577B2" w14:paraId="4C45BC10" w14:textId="77777777" w:rsidTr="00CC645A">
        <w:tc>
          <w:tcPr>
            <w:tcW w:w="1377" w:type="dxa"/>
          </w:tcPr>
          <w:p w14:paraId="733075B3" w14:textId="6A66BA7C" w:rsidR="00BF451F" w:rsidRPr="000577B2" w:rsidRDefault="00BF451F" w:rsidP="00BF451F">
            <w:pPr>
              <w:pStyle w:val="Jacobnormal"/>
              <w:spacing w:line="240" w:lineRule="auto"/>
            </w:pPr>
          </w:p>
        </w:tc>
        <w:tc>
          <w:tcPr>
            <w:tcW w:w="910" w:type="dxa"/>
          </w:tcPr>
          <w:p w14:paraId="2520392F" w14:textId="020D1A4B" w:rsidR="00BF451F" w:rsidRPr="000577B2" w:rsidRDefault="00BF451F" w:rsidP="00BF451F">
            <w:pPr>
              <w:pStyle w:val="Jacobnormal"/>
              <w:spacing w:line="240" w:lineRule="auto"/>
            </w:pPr>
          </w:p>
        </w:tc>
        <w:tc>
          <w:tcPr>
            <w:tcW w:w="1257" w:type="dxa"/>
          </w:tcPr>
          <w:p w14:paraId="603E7BF1" w14:textId="4BB655C2" w:rsidR="00BF451F" w:rsidRPr="000577B2" w:rsidRDefault="00BF451F" w:rsidP="00BF451F">
            <w:pPr>
              <w:pStyle w:val="Jacobnormal"/>
              <w:spacing w:line="240" w:lineRule="auto"/>
            </w:pPr>
          </w:p>
        </w:tc>
        <w:tc>
          <w:tcPr>
            <w:tcW w:w="4751" w:type="dxa"/>
          </w:tcPr>
          <w:p w14:paraId="5825AB69" w14:textId="38CDB296" w:rsidR="00BF451F" w:rsidRPr="000577B2" w:rsidRDefault="00BF451F" w:rsidP="00BF451F">
            <w:pPr>
              <w:pStyle w:val="Jacobnormal"/>
              <w:spacing w:line="240" w:lineRule="auto"/>
            </w:pPr>
          </w:p>
        </w:tc>
        <w:tc>
          <w:tcPr>
            <w:tcW w:w="777" w:type="dxa"/>
          </w:tcPr>
          <w:p w14:paraId="382DB356" w14:textId="2D04DB42" w:rsidR="00BF451F" w:rsidRPr="000577B2" w:rsidRDefault="00BF451F" w:rsidP="00BF451F">
            <w:pPr>
              <w:pStyle w:val="Jacobnormal"/>
              <w:spacing w:line="240" w:lineRule="auto"/>
            </w:pPr>
          </w:p>
        </w:tc>
      </w:tr>
      <w:tr w:rsidR="00BF451F" w:rsidRPr="000577B2" w14:paraId="52B0A311" w14:textId="77777777" w:rsidTr="00CC645A">
        <w:tc>
          <w:tcPr>
            <w:tcW w:w="1377" w:type="dxa"/>
          </w:tcPr>
          <w:p w14:paraId="6A4124F9" w14:textId="2138F66F" w:rsidR="00BF451F" w:rsidRPr="000577B2" w:rsidRDefault="00BF451F" w:rsidP="00BF451F">
            <w:pPr>
              <w:pStyle w:val="Jacobnormal"/>
              <w:spacing w:line="240" w:lineRule="auto"/>
            </w:pPr>
            <w:r w:rsidRPr="000577B2">
              <w:t>Iceland</w:t>
            </w:r>
          </w:p>
        </w:tc>
        <w:tc>
          <w:tcPr>
            <w:tcW w:w="910" w:type="dxa"/>
          </w:tcPr>
          <w:p w14:paraId="60344CFB" w14:textId="7FDC2DB5" w:rsidR="00BF451F" w:rsidRPr="000577B2" w:rsidRDefault="00BF451F" w:rsidP="00BF451F">
            <w:pPr>
              <w:pStyle w:val="Jacobnormal"/>
              <w:spacing w:line="240" w:lineRule="auto"/>
            </w:pPr>
            <w:r w:rsidRPr="000577B2">
              <w:t>-</w:t>
            </w:r>
          </w:p>
        </w:tc>
        <w:tc>
          <w:tcPr>
            <w:tcW w:w="1257" w:type="dxa"/>
          </w:tcPr>
          <w:p w14:paraId="517A21EF" w14:textId="6EE7BE3C" w:rsidR="00BF451F" w:rsidRPr="000577B2" w:rsidRDefault="00BF451F" w:rsidP="00BF451F">
            <w:pPr>
              <w:pStyle w:val="Jacobnormal"/>
              <w:spacing w:line="240" w:lineRule="auto"/>
            </w:pPr>
            <w:r w:rsidRPr="000577B2">
              <w:t>-</w:t>
            </w:r>
          </w:p>
        </w:tc>
        <w:tc>
          <w:tcPr>
            <w:tcW w:w="4751" w:type="dxa"/>
          </w:tcPr>
          <w:p w14:paraId="2106FC33" w14:textId="6C9D4AB4" w:rsidR="00BF451F" w:rsidRPr="000577B2" w:rsidRDefault="00BF451F" w:rsidP="00BF451F">
            <w:pPr>
              <w:pStyle w:val="Jacobnormal"/>
              <w:spacing w:line="240" w:lineRule="auto"/>
            </w:pPr>
            <w:r w:rsidRPr="000577B2">
              <w:t>No deadly or non-lethal RTV events have been registered in Iceland. Existing literature on RTV in Iceland is limited, but indicate</w:t>
            </w:r>
            <w:r w:rsidR="00D71F2D">
              <w:t>s</w:t>
            </w:r>
            <w:r w:rsidRPr="000577B2">
              <w:t xml:space="preserve"> </w:t>
            </w:r>
            <w:r w:rsidR="002165F3">
              <w:t>low amounts of</w:t>
            </w:r>
            <w:r w:rsidRPr="000577B2">
              <w:t xml:space="preserve"> RTV (see Appendix III).</w:t>
            </w:r>
          </w:p>
          <w:p w14:paraId="5574A51D" w14:textId="4B79F709" w:rsidR="00BF451F" w:rsidRPr="000577B2" w:rsidRDefault="00BF451F" w:rsidP="00BF451F">
            <w:pPr>
              <w:pStyle w:val="Jacobnormal"/>
              <w:spacing w:line="240" w:lineRule="auto"/>
            </w:pPr>
          </w:p>
        </w:tc>
        <w:tc>
          <w:tcPr>
            <w:tcW w:w="777" w:type="dxa"/>
          </w:tcPr>
          <w:p w14:paraId="76EF3AD3" w14:textId="10A9F04E" w:rsidR="00BF451F" w:rsidRPr="000577B2" w:rsidRDefault="00BF451F" w:rsidP="00BF451F">
            <w:pPr>
              <w:pStyle w:val="Jacobnormal"/>
              <w:spacing w:line="240" w:lineRule="auto"/>
            </w:pPr>
            <w:r w:rsidRPr="000577B2">
              <w:t>0,0</w:t>
            </w:r>
          </w:p>
        </w:tc>
      </w:tr>
      <w:tr w:rsidR="00BF451F" w:rsidRPr="000577B2" w14:paraId="4945ACC3" w14:textId="77777777" w:rsidTr="00CC645A">
        <w:tc>
          <w:tcPr>
            <w:tcW w:w="1377" w:type="dxa"/>
          </w:tcPr>
          <w:p w14:paraId="509BC23A" w14:textId="6274A844" w:rsidR="00BF451F" w:rsidRPr="000577B2" w:rsidRDefault="00BF451F" w:rsidP="00BF451F">
            <w:pPr>
              <w:pStyle w:val="Jacobnormal"/>
              <w:spacing w:line="240" w:lineRule="auto"/>
            </w:pPr>
            <w:r w:rsidRPr="000577B2">
              <w:t>Luxemburg</w:t>
            </w:r>
          </w:p>
        </w:tc>
        <w:tc>
          <w:tcPr>
            <w:tcW w:w="910" w:type="dxa"/>
          </w:tcPr>
          <w:p w14:paraId="0277018B" w14:textId="306820EE" w:rsidR="00BF451F" w:rsidRPr="000577B2" w:rsidRDefault="00BF451F" w:rsidP="00BF451F">
            <w:pPr>
              <w:pStyle w:val="Jacobnormal"/>
              <w:spacing w:line="240" w:lineRule="auto"/>
            </w:pPr>
            <w:r w:rsidRPr="000577B2">
              <w:t>-</w:t>
            </w:r>
          </w:p>
        </w:tc>
        <w:tc>
          <w:tcPr>
            <w:tcW w:w="1257" w:type="dxa"/>
          </w:tcPr>
          <w:p w14:paraId="2A82D623" w14:textId="25C41757" w:rsidR="00BF451F" w:rsidRPr="000577B2" w:rsidRDefault="00BF451F" w:rsidP="00BF451F">
            <w:pPr>
              <w:pStyle w:val="Jacobnormal"/>
              <w:spacing w:line="240" w:lineRule="auto"/>
            </w:pPr>
            <w:r w:rsidRPr="000577B2">
              <w:t>-</w:t>
            </w:r>
          </w:p>
        </w:tc>
        <w:tc>
          <w:tcPr>
            <w:tcW w:w="4751" w:type="dxa"/>
          </w:tcPr>
          <w:p w14:paraId="785DCFBC" w14:textId="6947C8DC" w:rsidR="00BF451F" w:rsidRPr="000577B2" w:rsidRDefault="00BF451F" w:rsidP="002165F3">
            <w:pPr>
              <w:pStyle w:val="Jacobnormal"/>
              <w:spacing w:line="240" w:lineRule="auto"/>
            </w:pPr>
            <w:r w:rsidRPr="000577B2">
              <w:t>No deadly or non-lethal RTV events have been registered in Iceland. Existing literature on RTV in Luxemburg is limited, but indicate</w:t>
            </w:r>
            <w:r w:rsidR="00D71F2D">
              <w:t>s</w:t>
            </w:r>
            <w:r w:rsidRPr="000577B2">
              <w:t xml:space="preserve"> </w:t>
            </w:r>
            <w:r w:rsidR="002165F3">
              <w:t xml:space="preserve">low amounts of </w:t>
            </w:r>
            <w:r w:rsidRPr="000577B2">
              <w:t>RTV (see Appendix III).</w:t>
            </w:r>
          </w:p>
        </w:tc>
        <w:tc>
          <w:tcPr>
            <w:tcW w:w="777" w:type="dxa"/>
          </w:tcPr>
          <w:p w14:paraId="41F75A08" w14:textId="5C7F573F" w:rsidR="00BF451F" w:rsidRPr="000577B2" w:rsidRDefault="00BF451F" w:rsidP="00BF451F">
            <w:pPr>
              <w:pStyle w:val="Jacobnormal"/>
              <w:spacing w:line="240" w:lineRule="auto"/>
            </w:pPr>
            <w:r w:rsidRPr="000577B2">
              <w:t>0,0</w:t>
            </w:r>
          </w:p>
        </w:tc>
      </w:tr>
      <w:tr w:rsidR="00BF451F" w:rsidRPr="000577B2" w14:paraId="7A4B7CE3" w14:textId="77777777" w:rsidTr="00CC645A">
        <w:tc>
          <w:tcPr>
            <w:tcW w:w="1377" w:type="dxa"/>
          </w:tcPr>
          <w:p w14:paraId="67271A26" w14:textId="3F5E7894" w:rsidR="00BF451F" w:rsidRPr="000577B2" w:rsidRDefault="00BF451F" w:rsidP="00BF451F">
            <w:pPr>
              <w:pStyle w:val="Jacobnormal"/>
              <w:spacing w:line="240" w:lineRule="auto"/>
            </w:pPr>
          </w:p>
        </w:tc>
        <w:tc>
          <w:tcPr>
            <w:tcW w:w="910" w:type="dxa"/>
          </w:tcPr>
          <w:p w14:paraId="62230270" w14:textId="62B7C71C" w:rsidR="00BF451F" w:rsidRPr="000577B2" w:rsidRDefault="00BF451F" w:rsidP="00BF451F">
            <w:pPr>
              <w:pStyle w:val="Jacobnormal"/>
              <w:spacing w:line="240" w:lineRule="auto"/>
            </w:pPr>
          </w:p>
        </w:tc>
        <w:tc>
          <w:tcPr>
            <w:tcW w:w="1257" w:type="dxa"/>
          </w:tcPr>
          <w:p w14:paraId="74216C55" w14:textId="104FDC01" w:rsidR="00BF451F" w:rsidRPr="000577B2" w:rsidRDefault="00BF451F" w:rsidP="00BF451F">
            <w:pPr>
              <w:pStyle w:val="Jacobnormal"/>
              <w:spacing w:line="240" w:lineRule="auto"/>
            </w:pPr>
          </w:p>
        </w:tc>
        <w:tc>
          <w:tcPr>
            <w:tcW w:w="4751" w:type="dxa"/>
          </w:tcPr>
          <w:p w14:paraId="4145FD6D" w14:textId="77E68596" w:rsidR="00BF451F" w:rsidRPr="000577B2" w:rsidRDefault="00BF451F" w:rsidP="00BF451F">
            <w:pPr>
              <w:pStyle w:val="Jacobnormal"/>
              <w:spacing w:line="240" w:lineRule="auto"/>
            </w:pPr>
          </w:p>
        </w:tc>
        <w:tc>
          <w:tcPr>
            <w:tcW w:w="777" w:type="dxa"/>
          </w:tcPr>
          <w:p w14:paraId="351824E0" w14:textId="11AC0BDD" w:rsidR="00BF451F" w:rsidRPr="000577B2" w:rsidRDefault="00BF451F" w:rsidP="00BF451F">
            <w:pPr>
              <w:pStyle w:val="Jacobnormal"/>
              <w:spacing w:line="240" w:lineRule="auto"/>
            </w:pPr>
          </w:p>
        </w:tc>
      </w:tr>
      <w:tr w:rsidR="00BF451F" w:rsidRPr="000577B2" w14:paraId="45745879" w14:textId="77777777" w:rsidTr="00CC645A">
        <w:tc>
          <w:tcPr>
            <w:tcW w:w="1377" w:type="dxa"/>
          </w:tcPr>
          <w:p w14:paraId="4A9A9B45" w14:textId="6997CCDD" w:rsidR="00BF451F" w:rsidRPr="000577B2" w:rsidRDefault="00BF451F" w:rsidP="00BF451F">
            <w:pPr>
              <w:pStyle w:val="Jacobnormal"/>
              <w:spacing w:line="240" w:lineRule="auto"/>
            </w:pPr>
          </w:p>
        </w:tc>
        <w:tc>
          <w:tcPr>
            <w:tcW w:w="910" w:type="dxa"/>
          </w:tcPr>
          <w:p w14:paraId="28438407" w14:textId="14B47276" w:rsidR="00BF451F" w:rsidRPr="000577B2" w:rsidRDefault="00BF451F" w:rsidP="00BF451F">
            <w:pPr>
              <w:pStyle w:val="Jacobnormal"/>
              <w:spacing w:line="240" w:lineRule="auto"/>
            </w:pPr>
          </w:p>
        </w:tc>
        <w:tc>
          <w:tcPr>
            <w:tcW w:w="1257" w:type="dxa"/>
          </w:tcPr>
          <w:p w14:paraId="412CD1D7" w14:textId="6804A17F" w:rsidR="00BF451F" w:rsidRPr="000577B2" w:rsidRDefault="00BF451F" w:rsidP="00BF451F">
            <w:pPr>
              <w:pStyle w:val="Jacobnormal"/>
              <w:spacing w:line="240" w:lineRule="auto"/>
            </w:pPr>
          </w:p>
        </w:tc>
        <w:tc>
          <w:tcPr>
            <w:tcW w:w="4751" w:type="dxa"/>
          </w:tcPr>
          <w:p w14:paraId="6F7B0204" w14:textId="329A643F" w:rsidR="00BF451F" w:rsidRPr="000577B2" w:rsidRDefault="00BF451F" w:rsidP="00BF451F">
            <w:pPr>
              <w:pStyle w:val="Jacobnormal"/>
              <w:spacing w:line="240" w:lineRule="auto"/>
            </w:pPr>
          </w:p>
        </w:tc>
        <w:tc>
          <w:tcPr>
            <w:tcW w:w="777" w:type="dxa"/>
          </w:tcPr>
          <w:p w14:paraId="5D093648" w14:textId="2644A5D3" w:rsidR="00BF451F" w:rsidRPr="000577B2" w:rsidRDefault="00BF451F" w:rsidP="00BF451F">
            <w:pPr>
              <w:pStyle w:val="Jacobnormal"/>
              <w:spacing w:line="240" w:lineRule="auto"/>
            </w:pPr>
          </w:p>
        </w:tc>
      </w:tr>
    </w:tbl>
    <w:p w14:paraId="0E6655DF" w14:textId="01F1884D" w:rsidR="00C65E6B" w:rsidRPr="000577B2" w:rsidRDefault="00CC645A" w:rsidP="00C65E6B">
      <w:pPr>
        <w:pStyle w:val="Jacoboverskrift2"/>
      </w:pPr>
      <w:bookmarkStart w:id="3" w:name="_Toc496794572"/>
      <w:r>
        <w:lastRenderedPageBreak/>
        <w:t>Causal conditions –</w:t>
      </w:r>
      <w:r w:rsidR="00D71F2D">
        <w:t xml:space="preserve"> </w:t>
      </w:r>
      <w:r>
        <w:t>measurements and fuzzy scores</w:t>
      </w:r>
      <w:bookmarkEnd w:id="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977"/>
        <w:gridCol w:w="4678"/>
      </w:tblGrid>
      <w:tr w:rsidR="009E030A" w:rsidRPr="000577B2" w14:paraId="372BD463" w14:textId="77777777" w:rsidTr="00E63457">
        <w:tc>
          <w:tcPr>
            <w:tcW w:w="8897" w:type="dxa"/>
            <w:gridSpan w:val="3"/>
            <w:tcBorders>
              <w:top w:val="nil"/>
              <w:bottom w:val="single" w:sz="4" w:space="0" w:color="auto"/>
            </w:tcBorders>
          </w:tcPr>
          <w:p w14:paraId="6187F0C0" w14:textId="445D53A5" w:rsidR="009E030A" w:rsidRPr="000577B2" w:rsidRDefault="004045AE" w:rsidP="00CC645A">
            <w:pPr>
              <w:pStyle w:val="Jacobnormal"/>
              <w:spacing w:line="240" w:lineRule="auto"/>
            </w:pPr>
            <w:r w:rsidRPr="000577B2">
              <w:rPr>
                <w:i/>
              </w:rPr>
              <w:t>Table 2</w:t>
            </w:r>
            <w:r w:rsidRPr="000577B2">
              <w:t xml:space="preserve">. Ethnic diversity </w:t>
            </w:r>
          </w:p>
        </w:tc>
      </w:tr>
      <w:tr w:rsidR="009E030A" w:rsidRPr="000577B2" w14:paraId="5A346197" w14:textId="77777777" w:rsidTr="00827B40">
        <w:tc>
          <w:tcPr>
            <w:tcW w:w="1242" w:type="dxa"/>
            <w:tcBorders>
              <w:top w:val="single" w:sz="4" w:space="0" w:color="auto"/>
              <w:bottom w:val="single" w:sz="4" w:space="0" w:color="auto"/>
            </w:tcBorders>
          </w:tcPr>
          <w:p w14:paraId="277F9D41" w14:textId="77777777" w:rsidR="009E030A" w:rsidRPr="00CC645A" w:rsidRDefault="009E030A" w:rsidP="00CC645A">
            <w:pPr>
              <w:pStyle w:val="Jacobnormal"/>
              <w:spacing w:line="240" w:lineRule="auto"/>
            </w:pPr>
            <w:r w:rsidRPr="00CC645A">
              <w:t>Fuzzy score</w:t>
            </w:r>
          </w:p>
        </w:tc>
        <w:tc>
          <w:tcPr>
            <w:tcW w:w="2977" w:type="dxa"/>
            <w:tcBorders>
              <w:top w:val="single" w:sz="4" w:space="0" w:color="auto"/>
              <w:bottom w:val="single" w:sz="4" w:space="0" w:color="auto"/>
            </w:tcBorders>
          </w:tcPr>
          <w:p w14:paraId="65C07E6F" w14:textId="77777777" w:rsidR="009E030A" w:rsidRPr="00CC645A" w:rsidRDefault="009E030A" w:rsidP="00CC645A">
            <w:pPr>
              <w:pStyle w:val="Jacobnormal"/>
              <w:spacing w:line="240" w:lineRule="auto"/>
            </w:pPr>
            <w:r w:rsidRPr="00CC645A">
              <w:t xml:space="preserve">Share of population born outside the EU </w:t>
            </w:r>
          </w:p>
        </w:tc>
        <w:tc>
          <w:tcPr>
            <w:tcW w:w="4678" w:type="dxa"/>
            <w:tcBorders>
              <w:top w:val="single" w:sz="4" w:space="0" w:color="auto"/>
              <w:bottom w:val="single" w:sz="4" w:space="0" w:color="auto"/>
            </w:tcBorders>
          </w:tcPr>
          <w:p w14:paraId="24BF4E87" w14:textId="77777777" w:rsidR="009E030A" w:rsidRPr="00CC645A" w:rsidRDefault="009E030A" w:rsidP="00CC645A">
            <w:pPr>
              <w:pStyle w:val="Jacobnormal"/>
              <w:spacing w:line="240" w:lineRule="auto"/>
            </w:pPr>
            <w:r w:rsidRPr="00CC645A">
              <w:t>Case distribution</w:t>
            </w:r>
          </w:p>
        </w:tc>
      </w:tr>
      <w:tr w:rsidR="009E030A" w:rsidRPr="000577B2" w14:paraId="23782D74" w14:textId="77777777" w:rsidTr="00827B40">
        <w:tc>
          <w:tcPr>
            <w:tcW w:w="1242" w:type="dxa"/>
            <w:tcBorders>
              <w:top w:val="single" w:sz="4" w:space="0" w:color="auto"/>
              <w:bottom w:val="nil"/>
            </w:tcBorders>
          </w:tcPr>
          <w:p w14:paraId="2690C1D0" w14:textId="77777777" w:rsidR="009E030A" w:rsidRPr="000577B2" w:rsidRDefault="009E030A" w:rsidP="00CC645A">
            <w:pPr>
              <w:pStyle w:val="Jacobnormal"/>
              <w:spacing w:line="240" w:lineRule="auto"/>
            </w:pPr>
            <w:r w:rsidRPr="000577B2">
              <w:t>1.0</w:t>
            </w:r>
          </w:p>
        </w:tc>
        <w:tc>
          <w:tcPr>
            <w:tcW w:w="2977" w:type="dxa"/>
            <w:tcBorders>
              <w:top w:val="single" w:sz="4" w:space="0" w:color="auto"/>
              <w:bottom w:val="nil"/>
            </w:tcBorders>
          </w:tcPr>
          <w:p w14:paraId="1A6807E1" w14:textId="77777777" w:rsidR="009E030A" w:rsidRPr="000577B2" w:rsidRDefault="009E030A" w:rsidP="00CC645A">
            <w:pPr>
              <w:pStyle w:val="Jacobnormal"/>
              <w:spacing w:line="240" w:lineRule="auto"/>
            </w:pPr>
            <w:r w:rsidRPr="000577B2">
              <w:t xml:space="preserve">&gt; 10 % </w:t>
            </w:r>
          </w:p>
        </w:tc>
        <w:tc>
          <w:tcPr>
            <w:tcW w:w="4678" w:type="dxa"/>
            <w:tcBorders>
              <w:top w:val="single" w:sz="4" w:space="0" w:color="auto"/>
              <w:bottom w:val="nil"/>
            </w:tcBorders>
          </w:tcPr>
          <w:p w14:paraId="240308E0" w14:textId="6978D7A7" w:rsidR="009E030A" w:rsidRPr="000577B2" w:rsidRDefault="009E030A" w:rsidP="00CC645A">
            <w:pPr>
              <w:pStyle w:val="Jacobnormal"/>
              <w:spacing w:line="240" w:lineRule="auto"/>
            </w:pPr>
            <w:r w:rsidRPr="000577B2">
              <w:t>Luxemburg (11), Sweden (10</w:t>
            </w:r>
            <w:r w:rsidR="00D71F2D">
              <w:t>.</w:t>
            </w:r>
            <w:r w:rsidRPr="000577B2">
              <w:t>6), Switzerland (10</w:t>
            </w:r>
            <w:r w:rsidR="00D71F2D">
              <w:t>.</w:t>
            </w:r>
            <w:r w:rsidRPr="000577B2">
              <w:t xml:space="preserve">6) </w:t>
            </w:r>
          </w:p>
        </w:tc>
      </w:tr>
      <w:tr w:rsidR="00827B40" w:rsidRPr="000577B2" w14:paraId="16087369" w14:textId="77777777" w:rsidTr="00827B40">
        <w:tc>
          <w:tcPr>
            <w:tcW w:w="1242" w:type="dxa"/>
            <w:tcBorders>
              <w:top w:val="nil"/>
            </w:tcBorders>
          </w:tcPr>
          <w:p w14:paraId="23BD8144" w14:textId="77777777" w:rsidR="00827B40" w:rsidRPr="000577B2" w:rsidRDefault="00827B40" w:rsidP="00CC645A">
            <w:pPr>
              <w:pStyle w:val="Jacobnormal"/>
              <w:spacing w:line="240" w:lineRule="auto"/>
            </w:pPr>
          </w:p>
        </w:tc>
        <w:tc>
          <w:tcPr>
            <w:tcW w:w="2977" w:type="dxa"/>
            <w:tcBorders>
              <w:top w:val="nil"/>
            </w:tcBorders>
          </w:tcPr>
          <w:p w14:paraId="3814D782" w14:textId="77777777" w:rsidR="00827B40" w:rsidRPr="000577B2" w:rsidRDefault="00827B40" w:rsidP="00CC645A">
            <w:pPr>
              <w:pStyle w:val="Jacobnormal"/>
              <w:spacing w:line="240" w:lineRule="auto"/>
            </w:pPr>
          </w:p>
        </w:tc>
        <w:tc>
          <w:tcPr>
            <w:tcW w:w="4678" w:type="dxa"/>
            <w:tcBorders>
              <w:top w:val="nil"/>
            </w:tcBorders>
          </w:tcPr>
          <w:p w14:paraId="129C6CD9" w14:textId="77777777" w:rsidR="00827B40" w:rsidRPr="000577B2" w:rsidRDefault="00827B40" w:rsidP="00CC645A">
            <w:pPr>
              <w:pStyle w:val="Jacobnormal"/>
              <w:spacing w:line="240" w:lineRule="auto"/>
            </w:pPr>
          </w:p>
        </w:tc>
      </w:tr>
      <w:tr w:rsidR="009E030A" w:rsidRPr="000577B2" w14:paraId="1CC35DA1" w14:textId="77777777" w:rsidTr="00E63457">
        <w:tc>
          <w:tcPr>
            <w:tcW w:w="1242" w:type="dxa"/>
          </w:tcPr>
          <w:p w14:paraId="547477D5" w14:textId="77777777" w:rsidR="009E030A" w:rsidRPr="000577B2" w:rsidRDefault="009E030A" w:rsidP="00CC645A">
            <w:pPr>
              <w:pStyle w:val="Jacobnormal"/>
              <w:spacing w:line="240" w:lineRule="auto"/>
            </w:pPr>
            <w:r w:rsidRPr="000577B2">
              <w:t>0.75</w:t>
            </w:r>
          </w:p>
        </w:tc>
        <w:tc>
          <w:tcPr>
            <w:tcW w:w="2977" w:type="dxa"/>
          </w:tcPr>
          <w:p w14:paraId="1326052B" w14:textId="208455EF" w:rsidR="009E030A" w:rsidRPr="000577B2" w:rsidRDefault="004B1E48" w:rsidP="00CC645A">
            <w:pPr>
              <w:pStyle w:val="Jacobnormal"/>
              <w:spacing w:line="240" w:lineRule="auto"/>
            </w:pPr>
            <w:r w:rsidRPr="000577B2">
              <w:t>7–9</w:t>
            </w:r>
            <w:r w:rsidR="00D71F2D">
              <w:t>.</w:t>
            </w:r>
            <w:r w:rsidRPr="000577B2">
              <w:t>9</w:t>
            </w:r>
            <w:r w:rsidR="009E030A" w:rsidRPr="000577B2">
              <w:t xml:space="preserve"> %</w:t>
            </w:r>
          </w:p>
        </w:tc>
        <w:tc>
          <w:tcPr>
            <w:tcW w:w="4678" w:type="dxa"/>
          </w:tcPr>
          <w:p w14:paraId="3278B87E" w14:textId="0BED2956" w:rsidR="009E030A" w:rsidRPr="000577B2" w:rsidRDefault="009E030A" w:rsidP="00CC645A">
            <w:pPr>
              <w:pStyle w:val="Jacobnormal"/>
              <w:spacing w:line="240" w:lineRule="auto"/>
            </w:pPr>
            <w:r w:rsidRPr="000577B2">
              <w:t>Austria (9</w:t>
            </w:r>
            <w:r w:rsidR="00D71F2D">
              <w:t>.</w:t>
            </w:r>
            <w:r w:rsidRPr="000577B2">
              <w:t>1), Netherlands (8</w:t>
            </w:r>
            <w:r w:rsidR="00D71F2D">
              <w:t>.</w:t>
            </w:r>
            <w:r w:rsidRPr="000577B2">
              <w:t>6), Spain (8</w:t>
            </w:r>
            <w:r w:rsidR="00D71F2D">
              <w:t>.</w:t>
            </w:r>
            <w:r w:rsidRPr="000577B2">
              <w:t>5), Belgium (8</w:t>
            </w:r>
            <w:r w:rsidR="00D71F2D">
              <w:t>.</w:t>
            </w:r>
            <w:r w:rsidRPr="000577B2">
              <w:t>4), Greece (8</w:t>
            </w:r>
            <w:r w:rsidR="00D71F2D">
              <w:t>.</w:t>
            </w:r>
            <w:r w:rsidRPr="000577B2">
              <w:t>4), France (8</w:t>
            </w:r>
            <w:r w:rsidR="00D71F2D">
              <w:t>.</w:t>
            </w:r>
            <w:r w:rsidRPr="000577B2">
              <w:t>3), UK (8</w:t>
            </w:r>
            <w:r w:rsidR="00D71F2D">
              <w:t>.</w:t>
            </w:r>
            <w:r w:rsidRPr="000577B2">
              <w:t>1)</w:t>
            </w:r>
            <w:r w:rsidR="004B1E48" w:rsidRPr="000577B2">
              <w:t>, Norway (7</w:t>
            </w:r>
            <w:r w:rsidR="00D71F2D">
              <w:t>.</w:t>
            </w:r>
            <w:r w:rsidR="004B1E48" w:rsidRPr="000577B2">
              <w:t>6), Germany (7</w:t>
            </w:r>
            <w:r w:rsidR="00D71F2D">
              <w:t>.</w:t>
            </w:r>
            <w:r w:rsidR="004B1E48" w:rsidRPr="000577B2">
              <w:t>4)</w:t>
            </w:r>
          </w:p>
          <w:p w14:paraId="34A0ED7B" w14:textId="26FF7D5A" w:rsidR="00827B40" w:rsidRPr="000577B2" w:rsidRDefault="00827B40" w:rsidP="00CC645A">
            <w:pPr>
              <w:pStyle w:val="Jacobnormal"/>
              <w:spacing w:line="240" w:lineRule="auto"/>
            </w:pPr>
          </w:p>
        </w:tc>
      </w:tr>
      <w:tr w:rsidR="009E030A" w:rsidRPr="000577B2" w14:paraId="632817E8" w14:textId="77777777" w:rsidTr="00E63457">
        <w:tc>
          <w:tcPr>
            <w:tcW w:w="1242" w:type="dxa"/>
          </w:tcPr>
          <w:p w14:paraId="0DEBAA14" w14:textId="77777777" w:rsidR="009E030A" w:rsidRPr="000577B2" w:rsidRDefault="009E030A" w:rsidP="00CC645A">
            <w:pPr>
              <w:pStyle w:val="Jacobnormal"/>
              <w:spacing w:line="240" w:lineRule="auto"/>
            </w:pPr>
            <w:r w:rsidRPr="000577B2">
              <w:t>0.25</w:t>
            </w:r>
          </w:p>
        </w:tc>
        <w:tc>
          <w:tcPr>
            <w:tcW w:w="2977" w:type="dxa"/>
          </w:tcPr>
          <w:p w14:paraId="24E88AC6" w14:textId="4EC1471B" w:rsidR="009E030A" w:rsidRPr="000577B2" w:rsidRDefault="0021130F" w:rsidP="00CC645A">
            <w:pPr>
              <w:pStyle w:val="Jacobnormal"/>
              <w:spacing w:line="240" w:lineRule="auto"/>
            </w:pPr>
            <w:r w:rsidRPr="000577B2">
              <w:t>5</w:t>
            </w:r>
            <w:r w:rsidR="004B1E48" w:rsidRPr="000577B2">
              <w:t>–6</w:t>
            </w:r>
            <w:r w:rsidR="00D71F2D">
              <w:t>.</w:t>
            </w:r>
            <w:r w:rsidR="004B1E48" w:rsidRPr="000577B2">
              <w:t>9</w:t>
            </w:r>
            <w:r w:rsidR="009E030A" w:rsidRPr="000577B2">
              <w:t xml:space="preserve"> %</w:t>
            </w:r>
          </w:p>
        </w:tc>
        <w:tc>
          <w:tcPr>
            <w:tcW w:w="4678" w:type="dxa"/>
          </w:tcPr>
          <w:p w14:paraId="082088AD" w14:textId="5C1FCC51" w:rsidR="009E030A" w:rsidRPr="000577B2" w:rsidRDefault="004B1E48" w:rsidP="00CC645A">
            <w:pPr>
              <w:pStyle w:val="Jacobnormal"/>
              <w:spacing w:line="240" w:lineRule="auto"/>
            </w:pPr>
            <w:r w:rsidRPr="000577B2">
              <w:t>Denmark (6</w:t>
            </w:r>
            <w:r w:rsidR="00D71F2D">
              <w:t>.</w:t>
            </w:r>
            <w:r w:rsidRPr="000577B2">
              <w:t>7)</w:t>
            </w:r>
            <w:r w:rsidR="009E030A" w:rsidRPr="000577B2">
              <w:t>, Italy (6</w:t>
            </w:r>
            <w:r w:rsidR="00D71F2D">
              <w:t>.</w:t>
            </w:r>
            <w:r w:rsidR="009E030A" w:rsidRPr="000577B2">
              <w:t>5), Portugal (6</w:t>
            </w:r>
            <w:r w:rsidR="00D71F2D">
              <w:t>.</w:t>
            </w:r>
            <w:r w:rsidR="009E030A" w:rsidRPr="000577B2">
              <w:t>1)</w:t>
            </w:r>
            <w:r w:rsidR="0021130F" w:rsidRPr="000577B2">
              <w:t>, Ireland (5</w:t>
            </w:r>
            <w:r w:rsidR="00D71F2D">
              <w:t>.</w:t>
            </w:r>
            <w:r w:rsidR="0021130F" w:rsidRPr="000577B2">
              <w:t>9)</w:t>
            </w:r>
          </w:p>
        </w:tc>
      </w:tr>
      <w:tr w:rsidR="00827B40" w:rsidRPr="000577B2" w14:paraId="4EE13E6A" w14:textId="77777777" w:rsidTr="00E63457">
        <w:tc>
          <w:tcPr>
            <w:tcW w:w="1242" w:type="dxa"/>
          </w:tcPr>
          <w:p w14:paraId="013B7724" w14:textId="77777777" w:rsidR="00827B40" w:rsidRPr="000577B2" w:rsidRDefault="00827B40" w:rsidP="00CC645A">
            <w:pPr>
              <w:pStyle w:val="Jacobnormal"/>
              <w:spacing w:line="240" w:lineRule="auto"/>
            </w:pPr>
          </w:p>
        </w:tc>
        <w:tc>
          <w:tcPr>
            <w:tcW w:w="2977" w:type="dxa"/>
          </w:tcPr>
          <w:p w14:paraId="61564205" w14:textId="77777777" w:rsidR="00827B40" w:rsidRPr="000577B2" w:rsidRDefault="00827B40" w:rsidP="00CC645A">
            <w:pPr>
              <w:pStyle w:val="Jacobnormal"/>
              <w:spacing w:line="240" w:lineRule="auto"/>
            </w:pPr>
          </w:p>
        </w:tc>
        <w:tc>
          <w:tcPr>
            <w:tcW w:w="4678" w:type="dxa"/>
          </w:tcPr>
          <w:p w14:paraId="452F9E85" w14:textId="77777777" w:rsidR="00827B40" w:rsidRPr="000577B2" w:rsidRDefault="00827B40" w:rsidP="00CC645A">
            <w:pPr>
              <w:pStyle w:val="Jacobnormal"/>
              <w:spacing w:line="240" w:lineRule="auto"/>
            </w:pPr>
          </w:p>
        </w:tc>
      </w:tr>
      <w:tr w:rsidR="009E030A" w:rsidRPr="000577B2" w14:paraId="0DEB7C37" w14:textId="77777777" w:rsidTr="0021130F">
        <w:trPr>
          <w:trHeight w:val="78"/>
        </w:trPr>
        <w:tc>
          <w:tcPr>
            <w:tcW w:w="1242" w:type="dxa"/>
          </w:tcPr>
          <w:p w14:paraId="142A0EED" w14:textId="77777777" w:rsidR="009E030A" w:rsidRPr="000577B2" w:rsidRDefault="009E030A" w:rsidP="00CC645A">
            <w:pPr>
              <w:pStyle w:val="Jacobnormal"/>
              <w:spacing w:line="240" w:lineRule="auto"/>
            </w:pPr>
            <w:r w:rsidRPr="000577B2">
              <w:t>0.0</w:t>
            </w:r>
          </w:p>
        </w:tc>
        <w:tc>
          <w:tcPr>
            <w:tcW w:w="2977" w:type="dxa"/>
          </w:tcPr>
          <w:p w14:paraId="2C8B664D" w14:textId="17212C62" w:rsidR="009E030A" w:rsidRPr="000577B2" w:rsidRDefault="009E030A" w:rsidP="00CC645A">
            <w:pPr>
              <w:pStyle w:val="Jacobnormal"/>
              <w:spacing w:line="240" w:lineRule="auto"/>
            </w:pPr>
            <w:r w:rsidRPr="000577B2">
              <w:t xml:space="preserve">&lt; </w:t>
            </w:r>
            <w:r w:rsidR="0021130F" w:rsidRPr="000577B2">
              <w:t>5</w:t>
            </w:r>
            <w:r w:rsidRPr="000577B2">
              <w:t xml:space="preserve"> %</w:t>
            </w:r>
          </w:p>
        </w:tc>
        <w:tc>
          <w:tcPr>
            <w:tcW w:w="4678" w:type="dxa"/>
          </w:tcPr>
          <w:p w14:paraId="7AE06765" w14:textId="2F488977" w:rsidR="009E030A" w:rsidRPr="000577B2" w:rsidRDefault="009E030A" w:rsidP="00CC645A">
            <w:pPr>
              <w:pStyle w:val="Jacobnormal"/>
              <w:spacing w:line="240" w:lineRule="auto"/>
            </w:pPr>
            <w:r w:rsidRPr="000577B2">
              <w:t>Iceland (3</w:t>
            </w:r>
            <w:r w:rsidR="00D71F2D">
              <w:t>.</w:t>
            </w:r>
            <w:r w:rsidRPr="000577B2">
              <w:t>9), Finland (3</w:t>
            </w:r>
            <w:r w:rsidR="00D71F2D">
              <w:t>.</w:t>
            </w:r>
            <w:r w:rsidRPr="000577B2">
              <w:t>5)</w:t>
            </w:r>
          </w:p>
        </w:tc>
      </w:tr>
    </w:tbl>
    <w:p w14:paraId="1A933DD5" w14:textId="1977D9F8" w:rsidR="00827B40" w:rsidRPr="000577B2" w:rsidRDefault="009E030A" w:rsidP="00CC645A">
      <w:pPr>
        <w:spacing w:before="120" w:line="240" w:lineRule="auto"/>
      </w:pPr>
      <w:r w:rsidRPr="000577B2">
        <w:rPr>
          <w:i/>
        </w:rPr>
        <w:t>Source</w:t>
      </w:r>
      <w:r w:rsidRPr="000577B2">
        <w:t xml:space="preserve">: Eurostat, </w:t>
      </w:r>
      <w:hyperlink r:id="rId10" w:history="1">
        <w:r w:rsidRPr="000577B2">
          <w:rPr>
            <w:rStyle w:val="Hyperlink"/>
          </w:rPr>
          <w:t>http://ec.europa.eu/eurostat/statistics-explained/images/7/79/Foreign-born_population_by_country_of_birth%2C_1_January_2014_%28%C2%B9%29_YB15.png</w:t>
        </w:r>
      </w:hyperlink>
      <w:r w:rsidR="00CC645A">
        <w:t xml:space="preserve"> </w:t>
      </w:r>
    </w:p>
    <w:p w14:paraId="559FC42C" w14:textId="77777777" w:rsidR="00827B40" w:rsidRPr="000577B2" w:rsidRDefault="00827B40" w:rsidP="00CC645A">
      <w:pPr>
        <w:spacing w:before="120"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835"/>
        <w:gridCol w:w="4854"/>
      </w:tblGrid>
      <w:tr w:rsidR="009E030A" w:rsidRPr="000577B2" w14:paraId="1BA3A776" w14:textId="77777777" w:rsidTr="00CC645A">
        <w:tc>
          <w:tcPr>
            <w:tcW w:w="8931" w:type="dxa"/>
            <w:gridSpan w:val="3"/>
            <w:tcBorders>
              <w:top w:val="nil"/>
              <w:bottom w:val="single" w:sz="4" w:space="0" w:color="auto"/>
            </w:tcBorders>
          </w:tcPr>
          <w:p w14:paraId="51E00EC6" w14:textId="1E7F3D05" w:rsidR="009E030A" w:rsidRPr="000577B2" w:rsidRDefault="004045AE" w:rsidP="00CC645A">
            <w:pPr>
              <w:pStyle w:val="Jacobnormal"/>
              <w:spacing w:line="240" w:lineRule="auto"/>
            </w:pPr>
            <w:r w:rsidRPr="000577B2">
              <w:rPr>
                <w:i/>
              </w:rPr>
              <w:t>Table 3</w:t>
            </w:r>
            <w:r w:rsidRPr="000577B2">
              <w:t>. Immigration</w:t>
            </w:r>
          </w:p>
        </w:tc>
      </w:tr>
      <w:tr w:rsidR="009E030A" w:rsidRPr="000577B2" w14:paraId="61B8DAF6" w14:textId="77777777" w:rsidTr="00CC645A">
        <w:tc>
          <w:tcPr>
            <w:tcW w:w="1242" w:type="dxa"/>
            <w:tcBorders>
              <w:top w:val="single" w:sz="4" w:space="0" w:color="auto"/>
              <w:bottom w:val="single" w:sz="4" w:space="0" w:color="auto"/>
            </w:tcBorders>
          </w:tcPr>
          <w:p w14:paraId="705C1210" w14:textId="77777777" w:rsidR="009E030A" w:rsidRPr="00CC645A" w:rsidRDefault="009E030A" w:rsidP="00CC645A">
            <w:pPr>
              <w:pStyle w:val="Jacobnormal"/>
              <w:spacing w:line="240" w:lineRule="auto"/>
            </w:pPr>
            <w:r w:rsidRPr="00CC645A">
              <w:t>Fuzzy score</w:t>
            </w:r>
          </w:p>
        </w:tc>
        <w:tc>
          <w:tcPr>
            <w:tcW w:w="2835" w:type="dxa"/>
            <w:tcBorders>
              <w:top w:val="single" w:sz="4" w:space="0" w:color="auto"/>
              <w:bottom w:val="single" w:sz="4" w:space="0" w:color="auto"/>
            </w:tcBorders>
          </w:tcPr>
          <w:p w14:paraId="172DD27F" w14:textId="06101F61" w:rsidR="009E030A" w:rsidRPr="00CC645A" w:rsidRDefault="009E030A" w:rsidP="000544C7">
            <w:pPr>
              <w:pStyle w:val="Jacobnormal"/>
              <w:spacing w:line="240" w:lineRule="auto"/>
            </w:pPr>
            <w:r w:rsidRPr="00CC645A">
              <w:t>Average number of annual asylum seekers per million inhabitants 1991</w:t>
            </w:r>
            <w:r w:rsidR="000544C7">
              <w:t>–</w:t>
            </w:r>
            <w:r w:rsidRPr="00CC645A">
              <w:t>2014</w:t>
            </w:r>
          </w:p>
        </w:tc>
        <w:tc>
          <w:tcPr>
            <w:tcW w:w="4854" w:type="dxa"/>
            <w:tcBorders>
              <w:top w:val="single" w:sz="4" w:space="0" w:color="auto"/>
              <w:bottom w:val="single" w:sz="4" w:space="0" w:color="auto"/>
            </w:tcBorders>
          </w:tcPr>
          <w:p w14:paraId="53F10E27" w14:textId="77777777" w:rsidR="009E030A" w:rsidRPr="00CC645A" w:rsidRDefault="009E030A" w:rsidP="00CC645A">
            <w:pPr>
              <w:pStyle w:val="Jacobnormal"/>
              <w:spacing w:line="240" w:lineRule="auto"/>
            </w:pPr>
            <w:r w:rsidRPr="00CC645A">
              <w:t>Case distribution</w:t>
            </w:r>
          </w:p>
        </w:tc>
      </w:tr>
      <w:tr w:rsidR="009E030A" w:rsidRPr="00FF693D" w14:paraId="7EDD3EAF" w14:textId="77777777" w:rsidTr="00CC645A">
        <w:tc>
          <w:tcPr>
            <w:tcW w:w="1242" w:type="dxa"/>
            <w:tcBorders>
              <w:top w:val="single" w:sz="4" w:space="0" w:color="auto"/>
            </w:tcBorders>
          </w:tcPr>
          <w:p w14:paraId="0BB505AF" w14:textId="77777777" w:rsidR="009E030A" w:rsidRPr="000577B2" w:rsidRDefault="009E030A" w:rsidP="00CC645A">
            <w:pPr>
              <w:pStyle w:val="Jacobnormal"/>
              <w:spacing w:line="240" w:lineRule="auto"/>
            </w:pPr>
            <w:r w:rsidRPr="000577B2">
              <w:t>1.0</w:t>
            </w:r>
          </w:p>
        </w:tc>
        <w:tc>
          <w:tcPr>
            <w:tcW w:w="2835" w:type="dxa"/>
            <w:tcBorders>
              <w:top w:val="single" w:sz="4" w:space="0" w:color="auto"/>
            </w:tcBorders>
          </w:tcPr>
          <w:p w14:paraId="3AA7B6C8" w14:textId="360A6E7B" w:rsidR="009E030A" w:rsidRPr="000577B2" w:rsidRDefault="009E030A" w:rsidP="00CC645A">
            <w:pPr>
              <w:pStyle w:val="Jacobnormal"/>
              <w:spacing w:line="240" w:lineRule="auto"/>
            </w:pPr>
            <w:r w:rsidRPr="000577B2">
              <w:t xml:space="preserve">&gt; </w:t>
            </w:r>
            <w:r w:rsidR="0021130F" w:rsidRPr="000577B2">
              <w:t>1500</w:t>
            </w:r>
          </w:p>
        </w:tc>
        <w:tc>
          <w:tcPr>
            <w:tcW w:w="4854" w:type="dxa"/>
            <w:tcBorders>
              <w:top w:val="single" w:sz="4" w:space="0" w:color="auto"/>
            </w:tcBorders>
          </w:tcPr>
          <w:p w14:paraId="1DF4DABF" w14:textId="77777777" w:rsidR="009E030A" w:rsidRPr="000544C7" w:rsidRDefault="009E030A" w:rsidP="00CC645A">
            <w:pPr>
              <w:pStyle w:val="Jacobnormal"/>
              <w:spacing w:line="240" w:lineRule="auto"/>
              <w:rPr>
                <w:lang w:val="de-DE"/>
              </w:rPr>
            </w:pPr>
            <w:proofErr w:type="spellStart"/>
            <w:r w:rsidRPr="000544C7">
              <w:rPr>
                <w:lang w:val="de-DE"/>
              </w:rPr>
              <w:t>Sweden</w:t>
            </w:r>
            <w:proofErr w:type="spellEnd"/>
            <w:r w:rsidRPr="000544C7">
              <w:rPr>
                <w:lang w:val="de-DE"/>
              </w:rPr>
              <w:t xml:space="preserve"> (3044), </w:t>
            </w:r>
            <w:proofErr w:type="spellStart"/>
            <w:r w:rsidRPr="000544C7">
              <w:rPr>
                <w:lang w:val="de-DE"/>
              </w:rPr>
              <w:t>Switzerland</w:t>
            </w:r>
            <w:proofErr w:type="spellEnd"/>
            <w:r w:rsidRPr="000544C7">
              <w:rPr>
                <w:lang w:val="de-DE"/>
              </w:rPr>
              <w:t xml:space="preserve"> (2913), </w:t>
            </w:r>
            <w:r w:rsidR="0021130F" w:rsidRPr="000544C7">
              <w:rPr>
                <w:lang w:val="de-DE"/>
              </w:rPr>
              <w:t xml:space="preserve">Luxemburg (2247), Austria (2084), </w:t>
            </w:r>
            <w:proofErr w:type="spellStart"/>
            <w:r w:rsidR="0021130F" w:rsidRPr="000544C7">
              <w:rPr>
                <w:lang w:val="de-DE"/>
              </w:rPr>
              <w:t>Norway</w:t>
            </w:r>
            <w:proofErr w:type="spellEnd"/>
            <w:r w:rsidR="0021130F" w:rsidRPr="000544C7">
              <w:rPr>
                <w:lang w:val="de-DE"/>
              </w:rPr>
              <w:t xml:space="preserve"> (1977), </w:t>
            </w:r>
            <w:proofErr w:type="spellStart"/>
            <w:r w:rsidR="0021130F" w:rsidRPr="000544C7">
              <w:rPr>
                <w:lang w:val="de-DE"/>
              </w:rPr>
              <w:t>Belgium</w:t>
            </w:r>
            <w:proofErr w:type="spellEnd"/>
            <w:r w:rsidR="0021130F" w:rsidRPr="000544C7">
              <w:rPr>
                <w:lang w:val="de-DE"/>
              </w:rPr>
              <w:t xml:space="preserve"> (1890)</w:t>
            </w:r>
          </w:p>
          <w:p w14:paraId="4F1BF6F0" w14:textId="5885BEC8" w:rsidR="00827B40" w:rsidRPr="000544C7" w:rsidRDefault="00827B40" w:rsidP="00CC645A">
            <w:pPr>
              <w:pStyle w:val="Jacobnormal"/>
              <w:spacing w:line="240" w:lineRule="auto"/>
              <w:rPr>
                <w:lang w:val="de-DE"/>
              </w:rPr>
            </w:pPr>
          </w:p>
        </w:tc>
      </w:tr>
      <w:tr w:rsidR="009E030A" w:rsidRPr="000577B2" w14:paraId="14C9C294" w14:textId="77777777" w:rsidTr="00CC645A">
        <w:tc>
          <w:tcPr>
            <w:tcW w:w="1242" w:type="dxa"/>
          </w:tcPr>
          <w:p w14:paraId="08BAB630" w14:textId="77777777" w:rsidR="009E030A" w:rsidRPr="000577B2" w:rsidRDefault="009E030A" w:rsidP="00CC645A">
            <w:pPr>
              <w:pStyle w:val="Jacobnormal"/>
              <w:spacing w:line="240" w:lineRule="auto"/>
            </w:pPr>
            <w:r w:rsidRPr="000577B2">
              <w:t>0.75</w:t>
            </w:r>
          </w:p>
        </w:tc>
        <w:tc>
          <w:tcPr>
            <w:tcW w:w="2835" w:type="dxa"/>
          </w:tcPr>
          <w:p w14:paraId="7DEC1797" w14:textId="667011E9" w:rsidR="009E030A" w:rsidRPr="000577B2" w:rsidRDefault="0021130F" w:rsidP="00CC645A">
            <w:pPr>
              <w:pStyle w:val="Jacobnormal"/>
              <w:spacing w:line="240" w:lineRule="auto"/>
            </w:pPr>
            <w:r w:rsidRPr="000577B2">
              <w:t>900</w:t>
            </w:r>
            <w:r w:rsidR="009E030A" w:rsidRPr="000577B2">
              <w:t>–</w:t>
            </w:r>
            <w:r w:rsidRPr="000577B2">
              <w:t>1500</w:t>
            </w:r>
          </w:p>
        </w:tc>
        <w:tc>
          <w:tcPr>
            <w:tcW w:w="4854" w:type="dxa"/>
          </w:tcPr>
          <w:p w14:paraId="05486FF5" w14:textId="77777777" w:rsidR="009E030A" w:rsidRPr="000577B2" w:rsidRDefault="009E030A" w:rsidP="00CC645A">
            <w:pPr>
              <w:pStyle w:val="Jacobnormal"/>
              <w:spacing w:line="240" w:lineRule="auto"/>
            </w:pPr>
            <w:r w:rsidRPr="000577B2">
              <w:t>Netherlands (1487), Germany (1294), Denmark (1119)</w:t>
            </w:r>
            <w:r w:rsidR="00827B40" w:rsidRPr="000577B2">
              <w:t>, Ireland (947)</w:t>
            </w:r>
          </w:p>
          <w:p w14:paraId="6551F8FC" w14:textId="4248FE16" w:rsidR="00827B40" w:rsidRPr="000577B2" w:rsidRDefault="00827B40" w:rsidP="00CC645A">
            <w:pPr>
              <w:pStyle w:val="Jacobnormal"/>
              <w:spacing w:line="240" w:lineRule="auto"/>
            </w:pPr>
          </w:p>
        </w:tc>
      </w:tr>
      <w:tr w:rsidR="009E030A" w:rsidRPr="000577B2" w14:paraId="75704A76" w14:textId="77777777" w:rsidTr="00CC645A">
        <w:tc>
          <w:tcPr>
            <w:tcW w:w="1242" w:type="dxa"/>
          </w:tcPr>
          <w:p w14:paraId="1B3A51E1" w14:textId="77777777" w:rsidR="009E030A" w:rsidRPr="000577B2" w:rsidRDefault="009E030A" w:rsidP="00CC645A">
            <w:pPr>
              <w:pStyle w:val="Jacobnormal"/>
              <w:spacing w:line="240" w:lineRule="auto"/>
            </w:pPr>
            <w:r w:rsidRPr="000577B2">
              <w:t>0.25</w:t>
            </w:r>
          </w:p>
        </w:tc>
        <w:tc>
          <w:tcPr>
            <w:tcW w:w="2835" w:type="dxa"/>
          </w:tcPr>
          <w:p w14:paraId="2763DB5D" w14:textId="6C5E10BE" w:rsidR="009E030A" w:rsidRPr="000577B2" w:rsidRDefault="0021130F" w:rsidP="00CC645A">
            <w:pPr>
              <w:pStyle w:val="Jacobnormal"/>
              <w:spacing w:line="240" w:lineRule="auto"/>
            </w:pPr>
            <w:r w:rsidRPr="000577B2">
              <w:t>500–900</w:t>
            </w:r>
          </w:p>
        </w:tc>
        <w:tc>
          <w:tcPr>
            <w:tcW w:w="4854" w:type="dxa"/>
          </w:tcPr>
          <w:p w14:paraId="75C75470" w14:textId="77777777" w:rsidR="009E030A" w:rsidRPr="000577B2" w:rsidRDefault="009E030A" w:rsidP="00CC645A">
            <w:pPr>
              <w:pStyle w:val="Jacobnormal"/>
              <w:spacing w:line="240" w:lineRule="auto"/>
            </w:pPr>
            <w:r w:rsidRPr="000577B2">
              <w:t>UK (741), France (676), Greece (665)</w:t>
            </w:r>
          </w:p>
          <w:p w14:paraId="3CE34239" w14:textId="069DFB88" w:rsidR="00827B40" w:rsidRPr="000577B2" w:rsidRDefault="00827B40" w:rsidP="00CC645A">
            <w:pPr>
              <w:pStyle w:val="Jacobnormal"/>
              <w:spacing w:line="240" w:lineRule="auto"/>
            </w:pPr>
          </w:p>
        </w:tc>
      </w:tr>
      <w:tr w:rsidR="009E030A" w:rsidRPr="000577B2" w14:paraId="5ACA0FC1" w14:textId="77777777" w:rsidTr="00CC645A">
        <w:tc>
          <w:tcPr>
            <w:tcW w:w="1242" w:type="dxa"/>
          </w:tcPr>
          <w:p w14:paraId="6FE59530" w14:textId="77777777" w:rsidR="009E030A" w:rsidRPr="000577B2" w:rsidRDefault="009E030A" w:rsidP="00CC645A">
            <w:pPr>
              <w:pStyle w:val="Jacobnormal"/>
              <w:spacing w:line="240" w:lineRule="auto"/>
            </w:pPr>
            <w:r w:rsidRPr="000577B2">
              <w:t>0.0</w:t>
            </w:r>
          </w:p>
        </w:tc>
        <w:tc>
          <w:tcPr>
            <w:tcW w:w="2835" w:type="dxa"/>
          </w:tcPr>
          <w:p w14:paraId="55994A3F" w14:textId="77777777" w:rsidR="009E030A" w:rsidRPr="000577B2" w:rsidRDefault="009E030A" w:rsidP="00CC645A">
            <w:pPr>
              <w:pStyle w:val="Jacobnormal"/>
              <w:spacing w:line="240" w:lineRule="auto"/>
            </w:pPr>
            <w:r w:rsidRPr="000577B2">
              <w:t>&lt; 500</w:t>
            </w:r>
          </w:p>
        </w:tc>
        <w:tc>
          <w:tcPr>
            <w:tcW w:w="4854" w:type="dxa"/>
          </w:tcPr>
          <w:p w14:paraId="74C23DCE" w14:textId="77777777" w:rsidR="009E030A" w:rsidRPr="000577B2" w:rsidRDefault="009E030A" w:rsidP="00CC645A">
            <w:pPr>
              <w:pStyle w:val="Jacobnormal"/>
              <w:spacing w:line="240" w:lineRule="auto"/>
            </w:pPr>
            <w:r w:rsidRPr="000577B2">
              <w:t>Finland (490), Italy (234), Iceland (188), Spain (151), Portugal (34)</w:t>
            </w:r>
          </w:p>
        </w:tc>
      </w:tr>
    </w:tbl>
    <w:p w14:paraId="14CB4C23" w14:textId="689F4126" w:rsidR="009E030A" w:rsidRPr="000577B2" w:rsidRDefault="007B5E6E" w:rsidP="00CC645A">
      <w:pPr>
        <w:spacing w:before="120" w:line="240" w:lineRule="auto"/>
      </w:pPr>
      <w:r>
        <w:rPr>
          <w:i/>
        </w:rPr>
        <w:t>Source</w:t>
      </w:r>
      <w:r w:rsidR="0070399C" w:rsidRPr="000577B2">
        <w:t>: Euro</w:t>
      </w:r>
      <w:r w:rsidR="009E030A" w:rsidRPr="000577B2">
        <w:t xml:space="preserve">stat, </w:t>
      </w:r>
      <w:hyperlink r:id="rId11" w:history="1">
        <w:r w:rsidR="009E030A" w:rsidRPr="000577B2">
          <w:rPr>
            <w:rStyle w:val="Hyperlink"/>
          </w:rPr>
          <w:t>http://ec.europa.eu/eurostat/statistics-explained/index.php/Asylum_statistics</w:t>
        </w:r>
      </w:hyperlink>
      <w:r w:rsidR="009E030A" w:rsidRPr="000577B2">
        <w:t xml:space="preserve"> </w:t>
      </w:r>
    </w:p>
    <w:p w14:paraId="30102C46" w14:textId="7C65A3A3" w:rsidR="0070399C" w:rsidRPr="000577B2" w:rsidRDefault="0070399C" w:rsidP="00CC645A">
      <w:pPr>
        <w:spacing w:before="120"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405"/>
      </w:tblGrid>
      <w:tr w:rsidR="009E030A" w:rsidRPr="000577B2" w14:paraId="6D75FFC3" w14:textId="77777777" w:rsidTr="00CC645A">
        <w:tc>
          <w:tcPr>
            <w:tcW w:w="8647" w:type="dxa"/>
            <w:gridSpan w:val="2"/>
            <w:tcBorders>
              <w:top w:val="nil"/>
              <w:bottom w:val="single" w:sz="4" w:space="0" w:color="auto"/>
            </w:tcBorders>
          </w:tcPr>
          <w:p w14:paraId="6B6DC6F1" w14:textId="5CB4CE8A" w:rsidR="009E030A" w:rsidRPr="000577B2" w:rsidRDefault="004045AE" w:rsidP="00CC645A">
            <w:pPr>
              <w:pStyle w:val="Jacobnormal"/>
              <w:spacing w:line="240" w:lineRule="auto"/>
            </w:pPr>
            <w:r w:rsidRPr="000577B2">
              <w:rPr>
                <w:i/>
              </w:rPr>
              <w:t>Table 4</w:t>
            </w:r>
            <w:r w:rsidRPr="000577B2">
              <w:t>. Ethnic diversity and immigration combined score (logical or)</w:t>
            </w:r>
          </w:p>
        </w:tc>
      </w:tr>
      <w:tr w:rsidR="009E030A" w:rsidRPr="000577B2" w14:paraId="4D5467B0" w14:textId="77777777" w:rsidTr="00CC645A">
        <w:tc>
          <w:tcPr>
            <w:tcW w:w="1242" w:type="dxa"/>
            <w:tcBorders>
              <w:top w:val="single" w:sz="4" w:space="0" w:color="auto"/>
              <w:bottom w:val="single" w:sz="4" w:space="0" w:color="auto"/>
            </w:tcBorders>
          </w:tcPr>
          <w:p w14:paraId="62E1D18D" w14:textId="77777777" w:rsidR="009E030A" w:rsidRPr="001A72EC" w:rsidRDefault="009E030A" w:rsidP="00CC645A">
            <w:pPr>
              <w:pStyle w:val="Jacobnormal"/>
              <w:spacing w:line="240" w:lineRule="auto"/>
            </w:pPr>
            <w:r w:rsidRPr="001A72EC">
              <w:t>Fuzzy score</w:t>
            </w:r>
          </w:p>
        </w:tc>
        <w:tc>
          <w:tcPr>
            <w:tcW w:w="7405" w:type="dxa"/>
            <w:tcBorders>
              <w:top w:val="single" w:sz="4" w:space="0" w:color="auto"/>
              <w:bottom w:val="single" w:sz="4" w:space="0" w:color="auto"/>
            </w:tcBorders>
          </w:tcPr>
          <w:p w14:paraId="0C30F5DA" w14:textId="77777777" w:rsidR="009E030A" w:rsidRPr="001A72EC" w:rsidRDefault="009E030A" w:rsidP="00CC645A">
            <w:pPr>
              <w:pStyle w:val="Jacobnormal"/>
              <w:spacing w:line="240" w:lineRule="auto"/>
            </w:pPr>
            <w:r w:rsidRPr="001A72EC">
              <w:t xml:space="preserve">Case distribution </w:t>
            </w:r>
          </w:p>
        </w:tc>
      </w:tr>
      <w:tr w:rsidR="009E030A" w:rsidRPr="00FF693D" w14:paraId="0F3AFFA9" w14:textId="77777777" w:rsidTr="00CC645A">
        <w:tc>
          <w:tcPr>
            <w:tcW w:w="1242" w:type="dxa"/>
            <w:tcBorders>
              <w:top w:val="single" w:sz="4" w:space="0" w:color="auto"/>
            </w:tcBorders>
          </w:tcPr>
          <w:p w14:paraId="3A1AAD52" w14:textId="77777777" w:rsidR="009E030A" w:rsidRPr="000577B2" w:rsidRDefault="009E030A" w:rsidP="00CC645A">
            <w:pPr>
              <w:pStyle w:val="Jacobnormal"/>
              <w:spacing w:line="240" w:lineRule="auto"/>
            </w:pPr>
            <w:r w:rsidRPr="000577B2">
              <w:t>1.0</w:t>
            </w:r>
          </w:p>
        </w:tc>
        <w:tc>
          <w:tcPr>
            <w:tcW w:w="7405" w:type="dxa"/>
            <w:tcBorders>
              <w:top w:val="single" w:sz="4" w:space="0" w:color="auto"/>
            </w:tcBorders>
          </w:tcPr>
          <w:p w14:paraId="2C77E939" w14:textId="63F326FB" w:rsidR="009E030A" w:rsidRPr="00CC645A" w:rsidRDefault="009E030A" w:rsidP="00CC645A">
            <w:pPr>
              <w:pStyle w:val="Jacobnormal"/>
              <w:spacing w:line="240" w:lineRule="auto"/>
              <w:rPr>
                <w:lang w:val="de-DE"/>
              </w:rPr>
            </w:pPr>
            <w:proofErr w:type="spellStart"/>
            <w:r w:rsidRPr="00CC645A">
              <w:rPr>
                <w:lang w:val="de-DE"/>
              </w:rPr>
              <w:t>Sweden</w:t>
            </w:r>
            <w:proofErr w:type="spellEnd"/>
            <w:r w:rsidRPr="00CC645A">
              <w:rPr>
                <w:lang w:val="de-DE"/>
              </w:rPr>
              <w:t xml:space="preserve">, </w:t>
            </w:r>
            <w:proofErr w:type="spellStart"/>
            <w:r w:rsidRPr="00CC645A">
              <w:rPr>
                <w:lang w:val="de-DE"/>
              </w:rPr>
              <w:t>Switzerland</w:t>
            </w:r>
            <w:proofErr w:type="spellEnd"/>
            <w:r w:rsidRPr="00CC645A">
              <w:rPr>
                <w:lang w:val="de-DE"/>
              </w:rPr>
              <w:t>, Luxemburg, Austria</w:t>
            </w:r>
            <w:r w:rsidR="004B1E48" w:rsidRPr="00CC645A">
              <w:rPr>
                <w:lang w:val="de-DE"/>
              </w:rPr>
              <w:t xml:space="preserve">, </w:t>
            </w:r>
            <w:proofErr w:type="spellStart"/>
            <w:r w:rsidR="004B1E48" w:rsidRPr="00CC645A">
              <w:rPr>
                <w:lang w:val="de-DE"/>
              </w:rPr>
              <w:t>Norway</w:t>
            </w:r>
            <w:proofErr w:type="spellEnd"/>
            <w:r w:rsidR="004B1E48" w:rsidRPr="00CC645A">
              <w:rPr>
                <w:lang w:val="de-DE"/>
              </w:rPr>
              <w:t xml:space="preserve">, </w:t>
            </w:r>
            <w:proofErr w:type="spellStart"/>
            <w:r w:rsidR="004B1E48" w:rsidRPr="00CC645A">
              <w:rPr>
                <w:lang w:val="de-DE"/>
              </w:rPr>
              <w:t>Belgium</w:t>
            </w:r>
            <w:proofErr w:type="spellEnd"/>
          </w:p>
        </w:tc>
      </w:tr>
      <w:tr w:rsidR="009E030A" w:rsidRPr="000577B2" w14:paraId="7CD47091" w14:textId="77777777" w:rsidTr="00CC645A">
        <w:tc>
          <w:tcPr>
            <w:tcW w:w="1242" w:type="dxa"/>
          </w:tcPr>
          <w:p w14:paraId="656EA29A" w14:textId="77777777" w:rsidR="009E030A" w:rsidRPr="000577B2" w:rsidRDefault="009E030A" w:rsidP="00CC645A">
            <w:pPr>
              <w:pStyle w:val="Jacobnormal"/>
              <w:spacing w:line="240" w:lineRule="auto"/>
            </w:pPr>
            <w:r w:rsidRPr="000577B2">
              <w:t>0.75</w:t>
            </w:r>
          </w:p>
        </w:tc>
        <w:tc>
          <w:tcPr>
            <w:tcW w:w="7405" w:type="dxa"/>
          </w:tcPr>
          <w:p w14:paraId="6060CE3A" w14:textId="69CDEC33" w:rsidR="009E030A" w:rsidRPr="000577B2" w:rsidRDefault="009E030A" w:rsidP="00CC645A">
            <w:pPr>
              <w:pStyle w:val="Jacobnormal"/>
              <w:spacing w:line="240" w:lineRule="auto"/>
            </w:pPr>
            <w:r w:rsidRPr="000577B2">
              <w:t>Netherlands, Germany, Denmark, Spain, Greece, France, UK</w:t>
            </w:r>
            <w:r w:rsidR="004B1E48" w:rsidRPr="000577B2">
              <w:t>, Ireland,</w:t>
            </w:r>
          </w:p>
        </w:tc>
      </w:tr>
      <w:tr w:rsidR="009E030A" w:rsidRPr="000577B2" w14:paraId="2F64827A" w14:textId="77777777" w:rsidTr="00CC645A">
        <w:tc>
          <w:tcPr>
            <w:tcW w:w="1242" w:type="dxa"/>
          </w:tcPr>
          <w:p w14:paraId="7CEF6149" w14:textId="77777777" w:rsidR="009E030A" w:rsidRPr="000577B2" w:rsidRDefault="009E030A" w:rsidP="00CC645A">
            <w:pPr>
              <w:pStyle w:val="Jacobnormal"/>
              <w:spacing w:line="240" w:lineRule="auto"/>
            </w:pPr>
            <w:r w:rsidRPr="000577B2">
              <w:t>0.25</w:t>
            </w:r>
          </w:p>
        </w:tc>
        <w:tc>
          <w:tcPr>
            <w:tcW w:w="7405" w:type="dxa"/>
          </w:tcPr>
          <w:p w14:paraId="06741C0B" w14:textId="170BD54D" w:rsidR="009E030A" w:rsidRPr="000577B2" w:rsidRDefault="009E030A" w:rsidP="00CC645A">
            <w:pPr>
              <w:pStyle w:val="Jacobnormal"/>
              <w:spacing w:line="240" w:lineRule="auto"/>
            </w:pPr>
            <w:r w:rsidRPr="000577B2">
              <w:t>Italy, Portugal</w:t>
            </w:r>
          </w:p>
        </w:tc>
      </w:tr>
      <w:tr w:rsidR="009E030A" w:rsidRPr="000577B2" w14:paraId="7638D6DA" w14:textId="77777777" w:rsidTr="00CC645A">
        <w:tc>
          <w:tcPr>
            <w:tcW w:w="1242" w:type="dxa"/>
          </w:tcPr>
          <w:p w14:paraId="3DEE49CD" w14:textId="77777777" w:rsidR="009E030A" w:rsidRPr="000577B2" w:rsidRDefault="009E030A" w:rsidP="00CC645A">
            <w:pPr>
              <w:pStyle w:val="Jacobnormal"/>
              <w:spacing w:line="240" w:lineRule="auto"/>
            </w:pPr>
            <w:r w:rsidRPr="000577B2">
              <w:t>0.0</w:t>
            </w:r>
          </w:p>
        </w:tc>
        <w:tc>
          <w:tcPr>
            <w:tcW w:w="7405" w:type="dxa"/>
          </w:tcPr>
          <w:p w14:paraId="7992223F" w14:textId="77777777" w:rsidR="009E030A" w:rsidRPr="000577B2" w:rsidRDefault="009E030A" w:rsidP="00CC645A">
            <w:pPr>
              <w:pStyle w:val="Jacobnormal"/>
              <w:spacing w:line="240" w:lineRule="auto"/>
            </w:pPr>
            <w:r w:rsidRPr="000577B2">
              <w:t>Iceland, Finland</w:t>
            </w:r>
          </w:p>
        </w:tc>
      </w:tr>
    </w:tbl>
    <w:p w14:paraId="7D974EB8" w14:textId="013DB90A" w:rsidR="002A28E2" w:rsidRDefault="002A28E2" w:rsidP="00CC645A">
      <w:pPr>
        <w:pStyle w:val="Jacobnormal"/>
        <w:spacing w:line="240" w:lineRule="auto"/>
      </w:pPr>
      <w:r w:rsidRPr="000577B2">
        <w:t xml:space="preserve"> </w:t>
      </w:r>
    </w:p>
    <w:p w14:paraId="37F06CE8" w14:textId="77777777" w:rsidR="005B7E92" w:rsidRPr="000577B2" w:rsidRDefault="005B7E92" w:rsidP="00CC645A">
      <w:pPr>
        <w:pStyle w:val="Jacobnormal"/>
        <w:spacing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727"/>
        <w:gridCol w:w="4928"/>
      </w:tblGrid>
      <w:tr w:rsidR="009E030A" w:rsidRPr="000577B2" w14:paraId="13B5BC2C" w14:textId="77777777" w:rsidTr="00E63457">
        <w:tc>
          <w:tcPr>
            <w:tcW w:w="8897" w:type="dxa"/>
            <w:gridSpan w:val="3"/>
            <w:tcBorders>
              <w:top w:val="nil"/>
              <w:bottom w:val="single" w:sz="4" w:space="0" w:color="auto"/>
            </w:tcBorders>
          </w:tcPr>
          <w:p w14:paraId="01B83AD5" w14:textId="56B84847" w:rsidR="009E030A" w:rsidRPr="000577B2" w:rsidRDefault="004045AE" w:rsidP="00CC645A">
            <w:pPr>
              <w:pStyle w:val="Jacobnormal"/>
              <w:spacing w:line="240" w:lineRule="auto"/>
            </w:pPr>
            <w:r w:rsidRPr="000577B2">
              <w:rPr>
                <w:i/>
              </w:rPr>
              <w:lastRenderedPageBreak/>
              <w:t>Table 5</w:t>
            </w:r>
            <w:r w:rsidRPr="000577B2">
              <w:t>. Socio-economic hardship</w:t>
            </w:r>
          </w:p>
        </w:tc>
      </w:tr>
      <w:tr w:rsidR="009E030A" w:rsidRPr="000577B2" w14:paraId="0A01D3A5" w14:textId="77777777" w:rsidTr="000544C7">
        <w:tc>
          <w:tcPr>
            <w:tcW w:w="1242" w:type="dxa"/>
            <w:tcBorders>
              <w:top w:val="single" w:sz="4" w:space="0" w:color="auto"/>
              <w:bottom w:val="single" w:sz="4" w:space="0" w:color="auto"/>
            </w:tcBorders>
          </w:tcPr>
          <w:p w14:paraId="3E009FB4" w14:textId="77777777" w:rsidR="009E030A" w:rsidRPr="001A72EC" w:rsidRDefault="009E030A" w:rsidP="00CC645A">
            <w:pPr>
              <w:pStyle w:val="Jacobnormal"/>
              <w:spacing w:line="240" w:lineRule="auto"/>
            </w:pPr>
            <w:r w:rsidRPr="001A72EC">
              <w:t>Fuzzy score</w:t>
            </w:r>
          </w:p>
        </w:tc>
        <w:tc>
          <w:tcPr>
            <w:tcW w:w="2727" w:type="dxa"/>
            <w:tcBorders>
              <w:top w:val="single" w:sz="4" w:space="0" w:color="auto"/>
              <w:bottom w:val="single" w:sz="4" w:space="0" w:color="auto"/>
            </w:tcBorders>
          </w:tcPr>
          <w:p w14:paraId="38FBA451" w14:textId="6FDFCBDE" w:rsidR="009E030A" w:rsidRPr="001A72EC" w:rsidRDefault="009E030A" w:rsidP="00CC645A">
            <w:pPr>
              <w:pStyle w:val="Jacobnormal"/>
              <w:spacing w:line="240" w:lineRule="auto"/>
            </w:pPr>
            <w:r w:rsidRPr="001A72EC">
              <w:t xml:space="preserve">Risk of poverty or social </w:t>
            </w:r>
            <w:r w:rsidR="00015582" w:rsidRPr="001A72EC">
              <w:t>exclusion</w:t>
            </w:r>
            <w:r w:rsidR="00CC645A" w:rsidRPr="001A72EC">
              <w:t xml:space="preserve"> </w:t>
            </w:r>
            <w:r w:rsidR="00082EB9" w:rsidRPr="001A72EC">
              <w:t>average score</w:t>
            </w:r>
            <w:r w:rsidR="00CC645A" w:rsidRPr="001A72EC">
              <w:t>s</w:t>
            </w:r>
            <w:r w:rsidR="00082EB9" w:rsidRPr="001A72EC">
              <w:t xml:space="preserve"> </w:t>
            </w:r>
            <w:r w:rsidRPr="001A72EC">
              <w:t>2004</w:t>
            </w:r>
            <w:r w:rsidR="00CC645A" w:rsidRPr="001A72EC">
              <w:t>–</w:t>
            </w:r>
            <w:r w:rsidRPr="001A72EC">
              <w:t>2012</w:t>
            </w:r>
          </w:p>
        </w:tc>
        <w:tc>
          <w:tcPr>
            <w:tcW w:w="4928" w:type="dxa"/>
            <w:tcBorders>
              <w:top w:val="single" w:sz="4" w:space="0" w:color="auto"/>
              <w:bottom w:val="single" w:sz="4" w:space="0" w:color="auto"/>
            </w:tcBorders>
          </w:tcPr>
          <w:p w14:paraId="28DB8ECB" w14:textId="77777777" w:rsidR="009E030A" w:rsidRPr="001A72EC" w:rsidRDefault="009E030A" w:rsidP="00CC645A">
            <w:pPr>
              <w:pStyle w:val="Jacobnormal"/>
              <w:spacing w:line="240" w:lineRule="auto"/>
            </w:pPr>
            <w:r w:rsidRPr="001A72EC">
              <w:t xml:space="preserve">Case distribution </w:t>
            </w:r>
          </w:p>
        </w:tc>
      </w:tr>
      <w:tr w:rsidR="009E030A" w:rsidRPr="000577B2" w14:paraId="1A58D80D" w14:textId="77777777" w:rsidTr="000544C7">
        <w:tc>
          <w:tcPr>
            <w:tcW w:w="1242" w:type="dxa"/>
            <w:tcBorders>
              <w:top w:val="single" w:sz="4" w:space="0" w:color="auto"/>
            </w:tcBorders>
          </w:tcPr>
          <w:p w14:paraId="032128E0" w14:textId="77777777" w:rsidR="009E030A" w:rsidRPr="000577B2" w:rsidRDefault="009E030A" w:rsidP="00CC645A">
            <w:pPr>
              <w:pStyle w:val="Jacobnormal"/>
              <w:spacing w:line="240" w:lineRule="auto"/>
            </w:pPr>
            <w:r w:rsidRPr="000577B2">
              <w:t>1.0</w:t>
            </w:r>
          </w:p>
        </w:tc>
        <w:tc>
          <w:tcPr>
            <w:tcW w:w="2727" w:type="dxa"/>
            <w:tcBorders>
              <w:top w:val="single" w:sz="4" w:space="0" w:color="auto"/>
            </w:tcBorders>
          </w:tcPr>
          <w:p w14:paraId="2A29DB3D" w14:textId="6A8E282A" w:rsidR="009E030A" w:rsidRPr="000577B2" w:rsidRDefault="009E030A" w:rsidP="00CC645A">
            <w:pPr>
              <w:pStyle w:val="Jacobnormal"/>
              <w:spacing w:line="240" w:lineRule="auto"/>
            </w:pPr>
            <w:r w:rsidRPr="000577B2">
              <w:t xml:space="preserve">&lt; </w:t>
            </w:r>
            <w:r w:rsidR="00B6383D" w:rsidRPr="000577B2">
              <w:t>30</w:t>
            </w:r>
          </w:p>
        </w:tc>
        <w:tc>
          <w:tcPr>
            <w:tcW w:w="4928" w:type="dxa"/>
            <w:tcBorders>
              <w:top w:val="single" w:sz="4" w:space="0" w:color="auto"/>
            </w:tcBorders>
          </w:tcPr>
          <w:p w14:paraId="35AADBA0" w14:textId="356E6C94" w:rsidR="009E030A" w:rsidRPr="000577B2" w:rsidRDefault="00226123" w:rsidP="00CC645A">
            <w:pPr>
              <w:pStyle w:val="Jacobnormal"/>
              <w:spacing w:line="240" w:lineRule="auto"/>
            </w:pPr>
            <w:r w:rsidRPr="000577B2">
              <w:t>Greece (</w:t>
            </w:r>
            <w:r w:rsidR="0031642D" w:rsidRPr="000577B2">
              <w:t>31</w:t>
            </w:r>
            <w:r w:rsidR="00B6383D" w:rsidRPr="000577B2">
              <w:t>)</w:t>
            </w:r>
            <w:r w:rsidRPr="000577B2">
              <w:t xml:space="preserve"> </w:t>
            </w:r>
          </w:p>
          <w:p w14:paraId="22CC800B" w14:textId="530659AB" w:rsidR="00827B40" w:rsidRPr="000577B2" w:rsidRDefault="00827B40" w:rsidP="00CC645A">
            <w:pPr>
              <w:pStyle w:val="Jacobnormal"/>
              <w:spacing w:line="240" w:lineRule="auto"/>
            </w:pPr>
          </w:p>
        </w:tc>
      </w:tr>
      <w:tr w:rsidR="009E030A" w:rsidRPr="000577B2" w14:paraId="280D8D79" w14:textId="77777777" w:rsidTr="000544C7">
        <w:tc>
          <w:tcPr>
            <w:tcW w:w="1242" w:type="dxa"/>
          </w:tcPr>
          <w:p w14:paraId="5D652B16" w14:textId="77777777" w:rsidR="009E030A" w:rsidRPr="000577B2" w:rsidRDefault="009E030A" w:rsidP="00CC645A">
            <w:pPr>
              <w:pStyle w:val="Jacobnormal"/>
              <w:spacing w:line="240" w:lineRule="auto"/>
            </w:pPr>
            <w:r w:rsidRPr="000577B2">
              <w:t>0.75</w:t>
            </w:r>
          </w:p>
        </w:tc>
        <w:tc>
          <w:tcPr>
            <w:tcW w:w="2727" w:type="dxa"/>
          </w:tcPr>
          <w:p w14:paraId="0D32C5F5" w14:textId="1603E7A2" w:rsidR="009E030A" w:rsidRPr="000577B2" w:rsidRDefault="009E030A" w:rsidP="00CC645A">
            <w:pPr>
              <w:pStyle w:val="Jacobnormal"/>
              <w:spacing w:line="240" w:lineRule="auto"/>
            </w:pPr>
            <w:r w:rsidRPr="000577B2">
              <w:t>2</w:t>
            </w:r>
            <w:r w:rsidR="00B6383D" w:rsidRPr="000577B2">
              <w:t>5</w:t>
            </w:r>
            <w:r w:rsidRPr="000577B2">
              <w:t>–</w:t>
            </w:r>
            <w:r w:rsidR="00226123" w:rsidRPr="000577B2">
              <w:t>2</w:t>
            </w:r>
            <w:r w:rsidR="00B6383D" w:rsidRPr="000577B2">
              <w:t>9</w:t>
            </w:r>
          </w:p>
        </w:tc>
        <w:tc>
          <w:tcPr>
            <w:tcW w:w="4928" w:type="dxa"/>
          </w:tcPr>
          <w:p w14:paraId="7FC47AC8" w14:textId="27802773" w:rsidR="009E030A" w:rsidRPr="000577B2" w:rsidRDefault="00B6383D" w:rsidP="00CC645A">
            <w:pPr>
              <w:pStyle w:val="Jacobnormal"/>
              <w:spacing w:line="240" w:lineRule="auto"/>
            </w:pPr>
            <w:r w:rsidRPr="000577B2">
              <w:t>Italy (</w:t>
            </w:r>
            <w:r w:rsidR="00421D83" w:rsidRPr="000577B2">
              <w:t>27), Portugal (26</w:t>
            </w:r>
            <w:r w:rsidRPr="000577B2">
              <w:t xml:space="preserve">), </w:t>
            </w:r>
            <w:r w:rsidR="00421D83" w:rsidRPr="000577B2">
              <w:t>Ireland (26), Spain (26</w:t>
            </w:r>
            <w:r w:rsidRPr="000577B2">
              <w:t>)</w:t>
            </w:r>
            <w:r w:rsidR="00A15777" w:rsidRPr="000577B2">
              <w:t xml:space="preserve"> </w:t>
            </w:r>
          </w:p>
          <w:p w14:paraId="6FE10F1C" w14:textId="5FC410C7" w:rsidR="00827B40" w:rsidRPr="000577B2" w:rsidRDefault="00827B40" w:rsidP="00CC645A">
            <w:pPr>
              <w:pStyle w:val="Jacobnormal"/>
              <w:spacing w:line="240" w:lineRule="auto"/>
            </w:pPr>
          </w:p>
        </w:tc>
      </w:tr>
      <w:tr w:rsidR="009E030A" w:rsidRPr="000577B2" w14:paraId="6A95935C" w14:textId="77777777" w:rsidTr="000544C7">
        <w:tc>
          <w:tcPr>
            <w:tcW w:w="1242" w:type="dxa"/>
          </w:tcPr>
          <w:p w14:paraId="2AF92ECE" w14:textId="77777777" w:rsidR="009E030A" w:rsidRPr="000577B2" w:rsidRDefault="009E030A" w:rsidP="00CC645A">
            <w:pPr>
              <w:pStyle w:val="Jacobnormal"/>
              <w:spacing w:line="240" w:lineRule="auto"/>
            </w:pPr>
            <w:r w:rsidRPr="000577B2">
              <w:t>0.25</w:t>
            </w:r>
          </w:p>
        </w:tc>
        <w:tc>
          <w:tcPr>
            <w:tcW w:w="2727" w:type="dxa"/>
          </w:tcPr>
          <w:p w14:paraId="34855221" w14:textId="7BAF319C" w:rsidR="009E030A" w:rsidRPr="000577B2" w:rsidRDefault="00421D83" w:rsidP="00CC645A">
            <w:pPr>
              <w:pStyle w:val="Jacobnormal"/>
              <w:spacing w:line="240" w:lineRule="auto"/>
            </w:pPr>
            <w:r w:rsidRPr="000577B2">
              <w:t>20</w:t>
            </w:r>
            <w:r w:rsidR="009E030A" w:rsidRPr="000577B2">
              <w:t>–</w:t>
            </w:r>
            <w:r w:rsidR="00B6383D" w:rsidRPr="000577B2">
              <w:t>2</w:t>
            </w:r>
            <w:r w:rsidRPr="000577B2">
              <w:t>4</w:t>
            </w:r>
          </w:p>
        </w:tc>
        <w:tc>
          <w:tcPr>
            <w:tcW w:w="4928" w:type="dxa"/>
          </w:tcPr>
          <w:p w14:paraId="385BE9B7" w14:textId="20F81F85" w:rsidR="009E030A" w:rsidRPr="000577B2" w:rsidRDefault="00B6383D" w:rsidP="00CC645A">
            <w:pPr>
              <w:pStyle w:val="Jacobnormal"/>
              <w:spacing w:line="240" w:lineRule="auto"/>
            </w:pPr>
            <w:r w:rsidRPr="000577B2">
              <w:t>UK (2</w:t>
            </w:r>
            <w:r w:rsidR="00421D83" w:rsidRPr="000577B2">
              <w:t>4</w:t>
            </w:r>
            <w:r w:rsidRPr="000577B2">
              <w:t xml:space="preserve">), </w:t>
            </w:r>
            <w:r w:rsidR="00421D83" w:rsidRPr="000577B2">
              <w:t>Belgium (21</w:t>
            </w:r>
            <w:r w:rsidRPr="000577B2">
              <w:t xml:space="preserve">) </w:t>
            </w:r>
            <w:r w:rsidR="00421D83" w:rsidRPr="000577B2">
              <w:t>Germany (20)</w:t>
            </w:r>
          </w:p>
          <w:p w14:paraId="79AC85CA" w14:textId="1127A119" w:rsidR="00827B40" w:rsidRPr="000577B2" w:rsidRDefault="00827B40" w:rsidP="00CC645A">
            <w:pPr>
              <w:pStyle w:val="Jacobnormal"/>
              <w:spacing w:line="240" w:lineRule="auto"/>
            </w:pPr>
          </w:p>
        </w:tc>
      </w:tr>
      <w:tr w:rsidR="009E030A" w:rsidRPr="00FF693D" w14:paraId="64C66C4A" w14:textId="77777777" w:rsidTr="000544C7">
        <w:tc>
          <w:tcPr>
            <w:tcW w:w="1242" w:type="dxa"/>
          </w:tcPr>
          <w:p w14:paraId="07432FBB" w14:textId="77777777" w:rsidR="009E030A" w:rsidRPr="000577B2" w:rsidRDefault="009E030A" w:rsidP="00CC645A">
            <w:pPr>
              <w:pStyle w:val="Jacobnormal"/>
              <w:spacing w:line="240" w:lineRule="auto"/>
            </w:pPr>
            <w:r w:rsidRPr="000577B2">
              <w:t>0.0</w:t>
            </w:r>
          </w:p>
        </w:tc>
        <w:tc>
          <w:tcPr>
            <w:tcW w:w="2727" w:type="dxa"/>
          </w:tcPr>
          <w:p w14:paraId="378ABD59" w14:textId="3D280C24" w:rsidR="009E030A" w:rsidRPr="000577B2" w:rsidRDefault="00A15777" w:rsidP="00CC645A">
            <w:pPr>
              <w:pStyle w:val="Jacobnormal"/>
              <w:spacing w:line="240" w:lineRule="auto"/>
            </w:pPr>
            <w:r w:rsidRPr="000577B2">
              <w:t xml:space="preserve">&gt; </w:t>
            </w:r>
            <w:r w:rsidR="00421D83" w:rsidRPr="000577B2">
              <w:t>20</w:t>
            </w:r>
          </w:p>
        </w:tc>
        <w:tc>
          <w:tcPr>
            <w:tcW w:w="4928" w:type="dxa"/>
          </w:tcPr>
          <w:p w14:paraId="608EE3CF" w14:textId="5FBD473D" w:rsidR="009E030A" w:rsidRPr="000544C7" w:rsidRDefault="00421D83" w:rsidP="00CC645A">
            <w:pPr>
              <w:pStyle w:val="Jacobnormal"/>
              <w:spacing w:line="240" w:lineRule="auto"/>
              <w:rPr>
                <w:lang w:val="de-DE"/>
              </w:rPr>
            </w:pPr>
            <w:r w:rsidRPr="000544C7">
              <w:rPr>
                <w:lang w:val="de-DE"/>
              </w:rPr>
              <w:t xml:space="preserve">France (19), Austria (18), </w:t>
            </w:r>
            <w:proofErr w:type="spellStart"/>
            <w:r w:rsidRPr="000544C7">
              <w:rPr>
                <w:lang w:val="de-DE"/>
              </w:rPr>
              <w:t>Denmark</w:t>
            </w:r>
            <w:proofErr w:type="spellEnd"/>
            <w:r w:rsidRPr="000544C7">
              <w:rPr>
                <w:lang w:val="de-DE"/>
              </w:rPr>
              <w:t xml:space="preserve"> (17), </w:t>
            </w:r>
            <w:proofErr w:type="spellStart"/>
            <w:r w:rsidRPr="000544C7">
              <w:rPr>
                <w:lang w:val="de-DE"/>
              </w:rPr>
              <w:t>Switzerland</w:t>
            </w:r>
            <w:proofErr w:type="spellEnd"/>
            <w:r w:rsidRPr="000544C7">
              <w:rPr>
                <w:lang w:val="de-DE"/>
              </w:rPr>
              <w:t xml:space="preserve"> (17), Luxemburg (17), </w:t>
            </w:r>
            <w:proofErr w:type="spellStart"/>
            <w:r w:rsidRPr="000544C7">
              <w:rPr>
                <w:lang w:val="de-DE"/>
              </w:rPr>
              <w:t>Finland</w:t>
            </w:r>
            <w:proofErr w:type="spellEnd"/>
            <w:r w:rsidRPr="000544C7">
              <w:rPr>
                <w:lang w:val="de-DE"/>
              </w:rPr>
              <w:t xml:space="preserve"> (17), </w:t>
            </w:r>
            <w:proofErr w:type="spellStart"/>
            <w:r w:rsidRPr="000544C7">
              <w:rPr>
                <w:lang w:val="de-DE"/>
              </w:rPr>
              <w:t>Sweden</w:t>
            </w:r>
            <w:proofErr w:type="spellEnd"/>
            <w:r w:rsidRPr="000544C7">
              <w:rPr>
                <w:lang w:val="de-DE"/>
              </w:rPr>
              <w:t xml:space="preserve"> (15), </w:t>
            </w:r>
            <w:proofErr w:type="spellStart"/>
            <w:r w:rsidRPr="000544C7">
              <w:rPr>
                <w:lang w:val="de-DE"/>
              </w:rPr>
              <w:t>Netherlands</w:t>
            </w:r>
            <w:proofErr w:type="spellEnd"/>
            <w:r w:rsidRPr="000544C7">
              <w:rPr>
                <w:lang w:val="de-DE"/>
              </w:rPr>
              <w:t xml:space="preserve"> (15</w:t>
            </w:r>
            <w:r w:rsidR="00A15777" w:rsidRPr="000544C7">
              <w:rPr>
                <w:lang w:val="de-DE"/>
              </w:rPr>
              <w:t xml:space="preserve">), </w:t>
            </w:r>
            <w:proofErr w:type="spellStart"/>
            <w:r w:rsidR="00A15777" w:rsidRPr="000544C7">
              <w:rPr>
                <w:lang w:val="de-DE"/>
              </w:rPr>
              <w:t>Norway</w:t>
            </w:r>
            <w:proofErr w:type="spellEnd"/>
            <w:r w:rsidR="00A15777" w:rsidRPr="000544C7">
              <w:rPr>
                <w:lang w:val="de-DE"/>
              </w:rPr>
              <w:t xml:space="preserve"> (</w:t>
            </w:r>
            <w:r w:rsidRPr="000544C7">
              <w:rPr>
                <w:lang w:val="de-DE"/>
              </w:rPr>
              <w:t>15</w:t>
            </w:r>
            <w:r w:rsidR="00A15777" w:rsidRPr="000544C7">
              <w:rPr>
                <w:lang w:val="de-DE"/>
              </w:rPr>
              <w:t xml:space="preserve">), </w:t>
            </w:r>
            <w:proofErr w:type="spellStart"/>
            <w:r w:rsidRPr="000544C7">
              <w:rPr>
                <w:lang w:val="de-DE"/>
              </w:rPr>
              <w:t>Iceland</w:t>
            </w:r>
            <w:proofErr w:type="spellEnd"/>
            <w:r w:rsidRPr="000544C7">
              <w:rPr>
                <w:lang w:val="de-DE"/>
              </w:rPr>
              <w:t xml:space="preserve"> (13</w:t>
            </w:r>
            <w:r w:rsidR="00082EB9" w:rsidRPr="000544C7">
              <w:rPr>
                <w:lang w:val="de-DE"/>
              </w:rPr>
              <w:t>)</w:t>
            </w:r>
          </w:p>
        </w:tc>
      </w:tr>
    </w:tbl>
    <w:p w14:paraId="6A8D7BB1" w14:textId="3AAD6074" w:rsidR="00CC645A" w:rsidRDefault="009E030A" w:rsidP="00CC645A">
      <w:pPr>
        <w:spacing w:before="120" w:line="240" w:lineRule="auto"/>
      </w:pPr>
      <w:r w:rsidRPr="000577B2">
        <w:rPr>
          <w:i/>
        </w:rPr>
        <w:t>Source:</w:t>
      </w:r>
      <w:r w:rsidRPr="000577B2">
        <w:t xml:space="preserve"> Eurostat</w:t>
      </w:r>
      <w:proofErr w:type="gramStart"/>
      <w:r w:rsidRPr="000577B2">
        <w:t xml:space="preserve">,  </w:t>
      </w:r>
      <w:proofErr w:type="gramEnd"/>
      <w:r w:rsidR="00B948EA">
        <w:fldChar w:fldCharType="begin"/>
      </w:r>
      <w:r w:rsidR="00B948EA">
        <w:instrText xml:space="preserve"> HYPERLINK "http://ec.europa.eu/eurostat/statistics-explained/index.php/People_at_risk_of_poverty_or_social_exclusion" </w:instrText>
      </w:r>
      <w:r w:rsidR="00B948EA">
        <w:fldChar w:fldCharType="separate"/>
      </w:r>
      <w:r w:rsidRPr="000577B2">
        <w:rPr>
          <w:rStyle w:val="Hyperlink"/>
        </w:rPr>
        <w:t>http://ec.europa.eu/eurostat/statistics-explained/index.php/People_at_risk_of_poverty_or_social_exclusion</w:t>
      </w:r>
      <w:r w:rsidR="00B948EA">
        <w:rPr>
          <w:rStyle w:val="Hyperlink"/>
        </w:rPr>
        <w:fldChar w:fldCharType="end"/>
      </w:r>
      <w:r w:rsidR="007C0312" w:rsidRPr="000577B2">
        <w:t xml:space="preserve"> </w:t>
      </w:r>
    </w:p>
    <w:p w14:paraId="285A18D6" w14:textId="77777777" w:rsidR="00CC645A" w:rsidRPr="000577B2" w:rsidRDefault="00CC645A" w:rsidP="00CC645A">
      <w:pPr>
        <w:spacing w:before="120"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2520"/>
        <w:gridCol w:w="5386"/>
      </w:tblGrid>
      <w:tr w:rsidR="00901358" w:rsidRPr="000577B2" w14:paraId="53989379" w14:textId="77777777" w:rsidTr="00827B40">
        <w:tc>
          <w:tcPr>
            <w:tcW w:w="9072" w:type="dxa"/>
            <w:gridSpan w:val="3"/>
            <w:tcBorders>
              <w:top w:val="nil"/>
              <w:bottom w:val="single" w:sz="4" w:space="0" w:color="auto"/>
            </w:tcBorders>
          </w:tcPr>
          <w:p w14:paraId="19B86F75" w14:textId="3C39DBA6" w:rsidR="00901358" w:rsidRPr="000577B2" w:rsidRDefault="004045AE" w:rsidP="00CC645A">
            <w:pPr>
              <w:pStyle w:val="Jacobnormal"/>
              <w:spacing w:line="240" w:lineRule="auto"/>
            </w:pPr>
            <w:r w:rsidRPr="000577B2">
              <w:rPr>
                <w:i/>
              </w:rPr>
              <w:t>Table 6</w:t>
            </w:r>
            <w:r w:rsidRPr="000577B2">
              <w:t xml:space="preserve">. Radical right support </w:t>
            </w:r>
          </w:p>
        </w:tc>
      </w:tr>
      <w:tr w:rsidR="00901358" w:rsidRPr="000577B2" w14:paraId="33FA80C2" w14:textId="77777777" w:rsidTr="00336594">
        <w:tc>
          <w:tcPr>
            <w:tcW w:w="1166" w:type="dxa"/>
            <w:tcBorders>
              <w:top w:val="single" w:sz="4" w:space="0" w:color="auto"/>
              <w:bottom w:val="single" w:sz="4" w:space="0" w:color="auto"/>
            </w:tcBorders>
          </w:tcPr>
          <w:p w14:paraId="1F5E7D19" w14:textId="77777777" w:rsidR="00901358" w:rsidRPr="001A72EC" w:rsidRDefault="00901358" w:rsidP="00CC645A">
            <w:pPr>
              <w:pStyle w:val="Jacobnormal"/>
              <w:spacing w:line="240" w:lineRule="auto"/>
            </w:pPr>
            <w:r w:rsidRPr="001A72EC">
              <w:t>Fuzzy score</w:t>
            </w:r>
          </w:p>
        </w:tc>
        <w:tc>
          <w:tcPr>
            <w:tcW w:w="2520" w:type="dxa"/>
            <w:tcBorders>
              <w:top w:val="single" w:sz="4" w:space="0" w:color="auto"/>
              <w:bottom w:val="single" w:sz="4" w:space="0" w:color="auto"/>
            </w:tcBorders>
          </w:tcPr>
          <w:p w14:paraId="06F1F064" w14:textId="04448F77" w:rsidR="00901358" w:rsidRPr="001A72EC" w:rsidRDefault="00901358" w:rsidP="00CC645A">
            <w:pPr>
              <w:pStyle w:val="Jacobnormal"/>
              <w:spacing w:line="240" w:lineRule="auto"/>
            </w:pPr>
            <w:r w:rsidRPr="001A72EC">
              <w:t>Average percentage of parliamentary votes f</w:t>
            </w:r>
            <w:r w:rsidR="000544C7">
              <w:t>or radical right parties 1990–</w:t>
            </w:r>
            <w:r w:rsidRPr="001A72EC">
              <w:t xml:space="preserve">2014 </w:t>
            </w:r>
          </w:p>
        </w:tc>
        <w:tc>
          <w:tcPr>
            <w:tcW w:w="5386" w:type="dxa"/>
            <w:tcBorders>
              <w:top w:val="single" w:sz="4" w:space="0" w:color="auto"/>
              <w:bottom w:val="single" w:sz="4" w:space="0" w:color="auto"/>
            </w:tcBorders>
          </w:tcPr>
          <w:p w14:paraId="0A9FEAAC" w14:textId="77777777" w:rsidR="00901358" w:rsidRPr="001A72EC" w:rsidRDefault="00901358" w:rsidP="00CC645A">
            <w:pPr>
              <w:pStyle w:val="Jacobnormal"/>
              <w:spacing w:line="240" w:lineRule="auto"/>
            </w:pPr>
            <w:r w:rsidRPr="001A72EC">
              <w:t>Case distribution</w:t>
            </w:r>
          </w:p>
        </w:tc>
      </w:tr>
      <w:tr w:rsidR="00901358" w:rsidRPr="000577B2" w14:paraId="09A95427" w14:textId="77777777" w:rsidTr="00336594">
        <w:tc>
          <w:tcPr>
            <w:tcW w:w="1166" w:type="dxa"/>
            <w:tcBorders>
              <w:top w:val="single" w:sz="4" w:space="0" w:color="auto"/>
            </w:tcBorders>
          </w:tcPr>
          <w:p w14:paraId="2C2A55C4" w14:textId="77777777" w:rsidR="00901358" w:rsidRPr="000577B2" w:rsidRDefault="00901358" w:rsidP="00CC645A">
            <w:pPr>
              <w:pStyle w:val="Jacobnormal"/>
              <w:spacing w:line="240" w:lineRule="auto"/>
            </w:pPr>
            <w:r w:rsidRPr="000577B2">
              <w:t>1.0</w:t>
            </w:r>
          </w:p>
        </w:tc>
        <w:tc>
          <w:tcPr>
            <w:tcW w:w="2520" w:type="dxa"/>
            <w:tcBorders>
              <w:top w:val="single" w:sz="4" w:space="0" w:color="auto"/>
            </w:tcBorders>
          </w:tcPr>
          <w:p w14:paraId="6F28F806" w14:textId="7E4B6010" w:rsidR="00901358" w:rsidRPr="000577B2" w:rsidRDefault="00901358" w:rsidP="00CC645A">
            <w:pPr>
              <w:pStyle w:val="Jacobnormal"/>
              <w:spacing w:line="240" w:lineRule="auto"/>
            </w:pPr>
            <w:r w:rsidRPr="000577B2">
              <w:t xml:space="preserve">&gt; </w:t>
            </w:r>
            <w:r w:rsidR="00CC5D6A" w:rsidRPr="000577B2">
              <w:t>20</w:t>
            </w:r>
            <w:r w:rsidRPr="000577B2">
              <w:t xml:space="preserve"> %</w:t>
            </w:r>
          </w:p>
        </w:tc>
        <w:tc>
          <w:tcPr>
            <w:tcW w:w="5386" w:type="dxa"/>
            <w:tcBorders>
              <w:top w:val="single" w:sz="4" w:space="0" w:color="auto"/>
            </w:tcBorders>
          </w:tcPr>
          <w:p w14:paraId="6D756476" w14:textId="610C345C" w:rsidR="00901358" w:rsidRPr="000577B2" w:rsidRDefault="00901358" w:rsidP="00CC645A">
            <w:pPr>
              <w:pStyle w:val="Jacobnormal"/>
              <w:spacing w:line="240" w:lineRule="auto"/>
            </w:pPr>
            <w:r w:rsidRPr="000577B2">
              <w:t>Switzerland (22</w:t>
            </w:r>
            <w:r w:rsidR="00D71F2D">
              <w:t>.</w:t>
            </w:r>
            <w:r w:rsidRPr="000577B2">
              <w:t>8), Austria (21</w:t>
            </w:r>
            <w:r w:rsidR="00D71F2D">
              <w:t>.</w:t>
            </w:r>
            <w:r w:rsidR="00CC5D6A" w:rsidRPr="000577B2">
              <w:t>3)</w:t>
            </w:r>
          </w:p>
          <w:p w14:paraId="11BFE463" w14:textId="735A622E" w:rsidR="00827B40" w:rsidRPr="000577B2" w:rsidRDefault="00827B40" w:rsidP="00CC645A">
            <w:pPr>
              <w:pStyle w:val="Jacobnormal"/>
              <w:spacing w:line="240" w:lineRule="auto"/>
            </w:pPr>
          </w:p>
        </w:tc>
      </w:tr>
      <w:tr w:rsidR="00901358" w:rsidRPr="000577B2" w14:paraId="70E9BD32" w14:textId="77777777" w:rsidTr="00336594">
        <w:tc>
          <w:tcPr>
            <w:tcW w:w="1166" w:type="dxa"/>
          </w:tcPr>
          <w:p w14:paraId="400E19C2" w14:textId="77777777" w:rsidR="00901358" w:rsidRPr="000577B2" w:rsidRDefault="00901358" w:rsidP="00CC645A">
            <w:pPr>
              <w:pStyle w:val="Jacobnormal"/>
              <w:spacing w:line="240" w:lineRule="auto"/>
            </w:pPr>
            <w:r w:rsidRPr="000577B2">
              <w:t>0.75</w:t>
            </w:r>
          </w:p>
        </w:tc>
        <w:tc>
          <w:tcPr>
            <w:tcW w:w="2520" w:type="dxa"/>
          </w:tcPr>
          <w:p w14:paraId="77FF0D27" w14:textId="002CACEB" w:rsidR="00901358" w:rsidRPr="000577B2" w:rsidRDefault="00901358" w:rsidP="00CC645A">
            <w:pPr>
              <w:pStyle w:val="Jacobnormal"/>
              <w:spacing w:line="240" w:lineRule="auto"/>
            </w:pPr>
            <w:r w:rsidRPr="000577B2">
              <w:t>10–</w:t>
            </w:r>
            <w:r w:rsidR="00CC5D6A" w:rsidRPr="000577B2">
              <w:t>19</w:t>
            </w:r>
            <w:r w:rsidR="00D71F2D">
              <w:t>.</w:t>
            </w:r>
            <w:r w:rsidRPr="000577B2">
              <w:t>9 %</w:t>
            </w:r>
          </w:p>
        </w:tc>
        <w:tc>
          <w:tcPr>
            <w:tcW w:w="5386" w:type="dxa"/>
          </w:tcPr>
          <w:p w14:paraId="4026A36A" w14:textId="0D14F862" w:rsidR="00901358" w:rsidRPr="000577B2" w:rsidRDefault="00CC5D6A" w:rsidP="00CC645A">
            <w:pPr>
              <w:pStyle w:val="Jacobnormal"/>
              <w:spacing w:line="240" w:lineRule="auto"/>
            </w:pPr>
            <w:r w:rsidRPr="000577B2">
              <w:t>Norway (15</w:t>
            </w:r>
            <w:r w:rsidR="00D71F2D">
              <w:t>.</w:t>
            </w:r>
            <w:r w:rsidRPr="000577B2">
              <w:t xml:space="preserve">0), </w:t>
            </w:r>
            <w:r w:rsidR="00901358" w:rsidRPr="000577B2">
              <w:t>Italy (12</w:t>
            </w:r>
            <w:r w:rsidR="00D71F2D">
              <w:t>.</w:t>
            </w:r>
            <w:r w:rsidR="00901358" w:rsidRPr="000577B2">
              <w:t>1), France (11</w:t>
            </w:r>
            <w:r w:rsidR="00D71F2D">
              <w:t>.</w:t>
            </w:r>
            <w:r w:rsidR="00901358" w:rsidRPr="000577B2">
              <w:t>7), Denmark (11</w:t>
            </w:r>
            <w:r w:rsidR="00D71F2D">
              <w:t>.</w:t>
            </w:r>
            <w:r w:rsidR="00901358" w:rsidRPr="000577B2">
              <w:t>0) Belgium (10</w:t>
            </w:r>
            <w:r w:rsidR="00D71F2D">
              <w:t>.</w:t>
            </w:r>
            <w:r w:rsidR="00901358" w:rsidRPr="000577B2">
              <w:t>2)</w:t>
            </w:r>
          </w:p>
          <w:p w14:paraId="0EA87DAB" w14:textId="042FFDC2" w:rsidR="00827B40" w:rsidRPr="000577B2" w:rsidRDefault="00827B40" w:rsidP="00CC645A">
            <w:pPr>
              <w:pStyle w:val="Jacobnormal"/>
              <w:spacing w:line="240" w:lineRule="auto"/>
            </w:pPr>
          </w:p>
        </w:tc>
      </w:tr>
      <w:tr w:rsidR="00901358" w:rsidRPr="000577B2" w14:paraId="233C6558" w14:textId="77777777" w:rsidTr="00336594">
        <w:tc>
          <w:tcPr>
            <w:tcW w:w="1166" w:type="dxa"/>
          </w:tcPr>
          <w:p w14:paraId="520C0A38" w14:textId="77777777" w:rsidR="00901358" w:rsidRPr="000577B2" w:rsidRDefault="00901358" w:rsidP="00CC645A">
            <w:pPr>
              <w:pStyle w:val="Jacobnormal"/>
              <w:spacing w:line="240" w:lineRule="auto"/>
            </w:pPr>
            <w:r w:rsidRPr="000577B2">
              <w:t>0.25</w:t>
            </w:r>
          </w:p>
        </w:tc>
        <w:tc>
          <w:tcPr>
            <w:tcW w:w="2520" w:type="dxa"/>
          </w:tcPr>
          <w:p w14:paraId="32F0E547" w14:textId="07CC89B6" w:rsidR="00901358" w:rsidRPr="000577B2" w:rsidRDefault="00901358" w:rsidP="00CC645A">
            <w:pPr>
              <w:pStyle w:val="Jacobnormal"/>
              <w:spacing w:line="240" w:lineRule="auto"/>
            </w:pPr>
            <w:r w:rsidRPr="000577B2">
              <w:t>5–9</w:t>
            </w:r>
            <w:r w:rsidR="00D71F2D">
              <w:t>.</w:t>
            </w:r>
            <w:r w:rsidRPr="000577B2">
              <w:t>9 %</w:t>
            </w:r>
          </w:p>
        </w:tc>
        <w:tc>
          <w:tcPr>
            <w:tcW w:w="5386" w:type="dxa"/>
          </w:tcPr>
          <w:p w14:paraId="50FAB275" w14:textId="3F757DBA" w:rsidR="00901358" w:rsidRPr="000577B2" w:rsidRDefault="00901358" w:rsidP="00CC645A">
            <w:pPr>
              <w:pStyle w:val="Jacobnormal"/>
              <w:spacing w:line="240" w:lineRule="auto"/>
            </w:pPr>
            <w:r w:rsidRPr="000577B2">
              <w:t>Net</w:t>
            </w:r>
            <w:r w:rsidR="00827B40" w:rsidRPr="000577B2">
              <w:t>herlands (6</w:t>
            </w:r>
            <w:r w:rsidR="00D71F2D">
              <w:t>.</w:t>
            </w:r>
            <w:r w:rsidR="00827B40" w:rsidRPr="000577B2">
              <w:t>7), Finland (5</w:t>
            </w:r>
            <w:r w:rsidR="00D71F2D">
              <w:t>.</w:t>
            </w:r>
            <w:r w:rsidR="00827B40" w:rsidRPr="000577B2">
              <w:t>1)</w:t>
            </w:r>
          </w:p>
          <w:p w14:paraId="5E98B3F3" w14:textId="483FC1CD" w:rsidR="00827B40" w:rsidRPr="000577B2" w:rsidRDefault="00827B40" w:rsidP="00CC645A">
            <w:pPr>
              <w:pStyle w:val="Jacobnormal"/>
              <w:spacing w:line="240" w:lineRule="auto"/>
            </w:pPr>
          </w:p>
        </w:tc>
      </w:tr>
      <w:tr w:rsidR="00901358" w:rsidRPr="000577B2" w14:paraId="796D2756" w14:textId="77777777" w:rsidTr="00336594">
        <w:tc>
          <w:tcPr>
            <w:tcW w:w="1166" w:type="dxa"/>
          </w:tcPr>
          <w:p w14:paraId="5F08A24E" w14:textId="77777777" w:rsidR="00901358" w:rsidRPr="000577B2" w:rsidRDefault="00901358" w:rsidP="00CC645A">
            <w:pPr>
              <w:pStyle w:val="Jacobnormal"/>
              <w:spacing w:line="240" w:lineRule="auto"/>
            </w:pPr>
            <w:r w:rsidRPr="000577B2">
              <w:t>0.0</w:t>
            </w:r>
          </w:p>
        </w:tc>
        <w:tc>
          <w:tcPr>
            <w:tcW w:w="2520" w:type="dxa"/>
          </w:tcPr>
          <w:p w14:paraId="69477329" w14:textId="77777777" w:rsidR="00901358" w:rsidRPr="000577B2" w:rsidRDefault="00901358" w:rsidP="00CC645A">
            <w:pPr>
              <w:pStyle w:val="Jacobnormal"/>
              <w:spacing w:line="240" w:lineRule="auto"/>
            </w:pPr>
            <w:r w:rsidRPr="000577B2">
              <w:t>&lt; 5 %</w:t>
            </w:r>
          </w:p>
        </w:tc>
        <w:tc>
          <w:tcPr>
            <w:tcW w:w="5386" w:type="dxa"/>
          </w:tcPr>
          <w:p w14:paraId="7519CA27" w14:textId="2F46E67B" w:rsidR="00901358" w:rsidRPr="000577B2" w:rsidRDefault="00901358" w:rsidP="00CC645A">
            <w:pPr>
              <w:pStyle w:val="Jacobnormal"/>
              <w:spacing w:line="240" w:lineRule="auto"/>
            </w:pPr>
            <w:r w:rsidRPr="000577B2">
              <w:t>Greece (3</w:t>
            </w:r>
            <w:r w:rsidR="00D71F2D">
              <w:t>.</w:t>
            </w:r>
            <w:r w:rsidRPr="000577B2">
              <w:t>6), Sweden (3</w:t>
            </w:r>
            <w:r w:rsidR="00D71F2D">
              <w:t>.</w:t>
            </w:r>
            <w:r w:rsidRPr="000577B2">
              <w:t>5), UK (2</w:t>
            </w:r>
            <w:r w:rsidR="00D71F2D">
              <w:t>.</w:t>
            </w:r>
            <w:r w:rsidRPr="000577B2">
              <w:t>1), Germany (2</w:t>
            </w:r>
            <w:r w:rsidR="00D71F2D">
              <w:t>.</w:t>
            </w:r>
            <w:r w:rsidRPr="000577B2">
              <w:t>0), Portugal (0</w:t>
            </w:r>
            <w:r w:rsidR="00D71F2D">
              <w:t>.</w:t>
            </w:r>
            <w:r w:rsidRPr="000577B2">
              <w:t>1), Iceland (0), Ireland (0), Luxemburg (0), Spain (0)</w:t>
            </w:r>
          </w:p>
        </w:tc>
      </w:tr>
    </w:tbl>
    <w:p w14:paraId="3CEAE45B" w14:textId="4E04CC2F" w:rsidR="00336594" w:rsidRDefault="00827B40" w:rsidP="00CC645A">
      <w:pPr>
        <w:pStyle w:val="Jacobnormal"/>
        <w:spacing w:before="120" w:line="240" w:lineRule="auto"/>
      </w:pPr>
      <w:r w:rsidRPr="000577B2">
        <w:rPr>
          <w:i/>
        </w:rPr>
        <w:t>Source</w:t>
      </w:r>
      <w:r w:rsidR="00715A23" w:rsidRPr="000577B2">
        <w:rPr>
          <w:i/>
        </w:rPr>
        <w:t>s</w:t>
      </w:r>
      <w:r w:rsidRPr="000577B2">
        <w:rPr>
          <w:i/>
        </w:rPr>
        <w:t>:</w:t>
      </w:r>
      <w:r w:rsidRPr="000577B2">
        <w:t xml:space="preserve"> </w:t>
      </w:r>
      <w:proofErr w:type="spellStart"/>
      <w:r w:rsidR="00715A23" w:rsidRPr="000577B2">
        <w:t>Minkenberg</w:t>
      </w:r>
      <w:proofErr w:type="spellEnd"/>
      <w:r w:rsidR="00715A23" w:rsidRPr="000577B2">
        <w:t xml:space="preserve">, M. (2015). </w:t>
      </w:r>
      <w:r w:rsidR="00DE575B" w:rsidRPr="000577B2">
        <w:t>“</w:t>
      </w:r>
      <w:r w:rsidR="00715A23" w:rsidRPr="000577B2">
        <w:t>Pattern, Process, Policies: Conce</w:t>
      </w:r>
      <w:r w:rsidR="00DE575B" w:rsidRPr="000577B2">
        <w:t>ptualizing Radical Right Impact”</w:t>
      </w:r>
      <w:r w:rsidR="00480814">
        <w:t>.</w:t>
      </w:r>
      <w:r w:rsidR="00715A23" w:rsidRPr="000577B2">
        <w:t xml:space="preserve"> </w:t>
      </w:r>
      <w:r w:rsidR="00480814">
        <w:t>P</w:t>
      </w:r>
      <w:r w:rsidR="00DE575B" w:rsidRPr="000577B2">
        <w:t>aper p</w:t>
      </w:r>
      <w:r w:rsidR="00715A23" w:rsidRPr="000577B2">
        <w:t xml:space="preserve">resented at the </w:t>
      </w:r>
      <w:r w:rsidR="00DE575B" w:rsidRPr="000577B2">
        <w:t xml:space="preserve">2015 </w:t>
      </w:r>
      <w:r w:rsidR="00715A23" w:rsidRPr="000577B2">
        <w:t xml:space="preserve">ECPR General Conference, Montreal. Retrieved from </w:t>
      </w:r>
      <w:hyperlink r:id="rId12" w:history="1">
        <w:r w:rsidR="00715A23" w:rsidRPr="000577B2">
          <w:rPr>
            <w:rStyle w:val="Hyperlink"/>
          </w:rPr>
          <w:t>http://ecpr.eu/Filestore/PaperProposal/37f31939-2ecb-4a71-9026-928ef890c1ed.pdf</w:t>
        </w:r>
      </w:hyperlink>
      <w:r w:rsidR="00715A23" w:rsidRPr="000577B2">
        <w:t xml:space="preserve">; The European Election and Referendum Database, available at </w:t>
      </w:r>
      <w:hyperlink r:id="rId13" w:history="1">
        <w:r w:rsidR="00715A23" w:rsidRPr="000577B2">
          <w:rPr>
            <w:rStyle w:val="Hyperlink"/>
          </w:rPr>
          <w:t>http://www.nsd.uib.no/european_election_database/about/about_data.html</w:t>
        </w:r>
      </w:hyperlink>
      <w:r w:rsidR="00715A23" w:rsidRPr="000577B2">
        <w:t>.</w:t>
      </w:r>
      <w:r w:rsidR="00CC645A">
        <w:t xml:space="preserve">  </w:t>
      </w:r>
    </w:p>
    <w:p w14:paraId="05D929E3" w14:textId="41DDFE7C" w:rsidR="00CC645A" w:rsidRDefault="00CC645A" w:rsidP="00CC645A">
      <w:pPr>
        <w:pStyle w:val="Jacobnormal"/>
        <w:spacing w:before="120" w:line="240" w:lineRule="auto"/>
      </w:pPr>
    </w:p>
    <w:p w14:paraId="7C78A753" w14:textId="14FCCF66" w:rsidR="00CC645A" w:rsidRDefault="00CC645A" w:rsidP="00CC645A">
      <w:pPr>
        <w:pStyle w:val="Jacobnormal"/>
        <w:spacing w:before="120" w:line="240" w:lineRule="auto"/>
      </w:pPr>
    </w:p>
    <w:p w14:paraId="41AD30A8" w14:textId="2B93ED4A" w:rsidR="00CC645A" w:rsidRDefault="00CC645A" w:rsidP="00CC645A">
      <w:pPr>
        <w:pStyle w:val="Jacobnormal"/>
        <w:spacing w:before="120" w:line="240" w:lineRule="auto"/>
      </w:pPr>
    </w:p>
    <w:p w14:paraId="6503072C" w14:textId="1D21207B" w:rsidR="00CC645A" w:rsidRDefault="00CC645A" w:rsidP="00CC645A">
      <w:pPr>
        <w:pStyle w:val="Jacobnormal"/>
        <w:spacing w:before="120" w:line="240" w:lineRule="auto"/>
      </w:pPr>
    </w:p>
    <w:p w14:paraId="1AE7E348" w14:textId="5318A2CA" w:rsidR="00CC645A" w:rsidRDefault="00CC645A" w:rsidP="00CC645A">
      <w:pPr>
        <w:pStyle w:val="Jacobnormal"/>
        <w:spacing w:before="120" w:line="240" w:lineRule="auto"/>
      </w:pPr>
    </w:p>
    <w:p w14:paraId="732A06B5" w14:textId="77777777" w:rsidR="00CC645A" w:rsidRPr="000577B2" w:rsidRDefault="00CC645A" w:rsidP="00CC645A">
      <w:pPr>
        <w:pStyle w:val="Jacobnormal"/>
        <w:spacing w:before="120"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286"/>
        <w:gridCol w:w="3260"/>
      </w:tblGrid>
      <w:tr w:rsidR="00901358" w:rsidRPr="000577B2" w14:paraId="765D197E" w14:textId="77777777" w:rsidTr="00336594">
        <w:tc>
          <w:tcPr>
            <w:tcW w:w="8505" w:type="dxa"/>
            <w:gridSpan w:val="3"/>
            <w:tcBorders>
              <w:top w:val="nil"/>
              <w:bottom w:val="single" w:sz="4" w:space="0" w:color="auto"/>
            </w:tcBorders>
          </w:tcPr>
          <w:p w14:paraId="43C84DCA" w14:textId="08C46FD5" w:rsidR="00901358" w:rsidRPr="000577B2" w:rsidRDefault="004045AE" w:rsidP="00CC645A">
            <w:pPr>
              <w:pStyle w:val="Jacobnormal"/>
              <w:spacing w:line="240" w:lineRule="auto"/>
            </w:pPr>
            <w:r w:rsidRPr="000577B2">
              <w:rPr>
                <w:i/>
              </w:rPr>
              <w:lastRenderedPageBreak/>
              <w:t>Table 7</w:t>
            </w:r>
            <w:r w:rsidRPr="000577B2">
              <w:t>. Authoritarian legacies</w:t>
            </w:r>
          </w:p>
        </w:tc>
      </w:tr>
      <w:tr w:rsidR="00901358" w:rsidRPr="000577B2" w14:paraId="11AB9B46" w14:textId="77777777" w:rsidTr="00336594">
        <w:tc>
          <w:tcPr>
            <w:tcW w:w="959" w:type="dxa"/>
            <w:tcBorders>
              <w:top w:val="single" w:sz="4" w:space="0" w:color="auto"/>
              <w:bottom w:val="single" w:sz="4" w:space="0" w:color="auto"/>
            </w:tcBorders>
          </w:tcPr>
          <w:p w14:paraId="6CA7F22E" w14:textId="18A74828" w:rsidR="00901358" w:rsidRPr="001A72EC" w:rsidRDefault="00336594" w:rsidP="00CC645A">
            <w:pPr>
              <w:pStyle w:val="Jacobnormal"/>
              <w:spacing w:line="240" w:lineRule="auto"/>
            </w:pPr>
            <w:r w:rsidRPr="001A72EC">
              <w:t>Fuzzy score</w:t>
            </w:r>
          </w:p>
        </w:tc>
        <w:tc>
          <w:tcPr>
            <w:tcW w:w="4286" w:type="dxa"/>
            <w:tcBorders>
              <w:top w:val="single" w:sz="4" w:space="0" w:color="auto"/>
              <w:bottom w:val="single" w:sz="4" w:space="0" w:color="auto"/>
            </w:tcBorders>
          </w:tcPr>
          <w:p w14:paraId="0202AED9" w14:textId="50EB2B3D" w:rsidR="00901358" w:rsidRPr="001A72EC" w:rsidRDefault="00336594" w:rsidP="00CC645A">
            <w:pPr>
              <w:pStyle w:val="Jacobnormal"/>
              <w:spacing w:line="240" w:lineRule="auto"/>
            </w:pPr>
            <w:r w:rsidRPr="001A72EC">
              <w:t>Threshold</w:t>
            </w:r>
          </w:p>
        </w:tc>
        <w:tc>
          <w:tcPr>
            <w:tcW w:w="3260" w:type="dxa"/>
            <w:tcBorders>
              <w:top w:val="single" w:sz="4" w:space="0" w:color="auto"/>
              <w:bottom w:val="single" w:sz="4" w:space="0" w:color="auto"/>
            </w:tcBorders>
          </w:tcPr>
          <w:p w14:paraId="3BFA701B" w14:textId="1E8BE242" w:rsidR="00901358" w:rsidRPr="001A72EC" w:rsidRDefault="00336594" w:rsidP="00CC645A">
            <w:pPr>
              <w:pStyle w:val="Jacobnormal"/>
              <w:spacing w:line="240" w:lineRule="auto"/>
            </w:pPr>
            <w:r w:rsidRPr="001A72EC">
              <w:t>Case distribution</w:t>
            </w:r>
          </w:p>
        </w:tc>
      </w:tr>
      <w:tr w:rsidR="00336594" w:rsidRPr="000577B2" w14:paraId="14056C05" w14:textId="77777777" w:rsidTr="00336594">
        <w:tc>
          <w:tcPr>
            <w:tcW w:w="959" w:type="dxa"/>
            <w:tcBorders>
              <w:top w:val="single" w:sz="4" w:space="0" w:color="auto"/>
            </w:tcBorders>
          </w:tcPr>
          <w:p w14:paraId="7F708047" w14:textId="5D679581" w:rsidR="00336594" w:rsidRPr="000577B2" w:rsidRDefault="00336594" w:rsidP="00CC645A">
            <w:pPr>
              <w:pStyle w:val="Jacobnormal"/>
              <w:spacing w:line="240" w:lineRule="auto"/>
            </w:pPr>
            <w:r w:rsidRPr="000577B2">
              <w:t>1.0</w:t>
            </w:r>
          </w:p>
        </w:tc>
        <w:tc>
          <w:tcPr>
            <w:tcW w:w="4286" w:type="dxa"/>
            <w:tcBorders>
              <w:top w:val="single" w:sz="4" w:space="0" w:color="auto"/>
            </w:tcBorders>
          </w:tcPr>
          <w:p w14:paraId="6B7D8B4C" w14:textId="77777777" w:rsidR="00336594" w:rsidRPr="000577B2" w:rsidRDefault="00336594" w:rsidP="00CC645A">
            <w:pPr>
              <w:pStyle w:val="Jacobnormal"/>
              <w:spacing w:line="240" w:lineRule="auto"/>
            </w:pPr>
            <w:r w:rsidRPr="000577B2">
              <w:t>Countries still heavily influenced by extensive authoritarian experiences</w:t>
            </w:r>
          </w:p>
          <w:p w14:paraId="19F6184F" w14:textId="0F7DE316" w:rsidR="00336594" w:rsidRPr="000577B2" w:rsidRDefault="00336594" w:rsidP="00CC645A">
            <w:pPr>
              <w:pStyle w:val="Jacobnormal"/>
              <w:spacing w:line="240" w:lineRule="auto"/>
            </w:pPr>
          </w:p>
        </w:tc>
        <w:tc>
          <w:tcPr>
            <w:tcW w:w="3260" w:type="dxa"/>
            <w:tcBorders>
              <w:top w:val="single" w:sz="4" w:space="0" w:color="auto"/>
            </w:tcBorders>
          </w:tcPr>
          <w:p w14:paraId="110F5390" w14:textId="77777777" w:rsidR="00336594" w:rsidRPr="000577B2" w:rsidRDefault="00336594" w:rsidP="00CC645A">
            <w:pPr>
              <w:pStyle w:val="Jacobnormal"/>
              <w:spacing w:line="240" w:lineRule="auto"/>
            </w:pPr>
            <w:r w:rsidRPr="000577B2">
              <w:t>Austria, Germany, Greece, Italy, Portugal, Spain</w:t>
            </w:r>
          </w:p>
        </w:tc>
      </w:tr>
      <w:tr w:rsidR="00336594" w:rsidRPr="000577B2" w14:paraId="6157E6F5" w14:textId="77777777" w:rsidTr="00336594">
        <w:tc>
          <w:tcPr>
            <w:tcW w:w="959" w:type="dxa"/>
          </w:tcPr>
          <w:p w14:paraId="2F0DB1D7" w14:textId="69DF5552" w:rsidR="00336594" w:rsidRPr="000577B2" w:rsidRDefault="00336594" w:rsidP="00CC645A">
            <w:pPr>
              <w:pStyle w:val="Jacobnormal"/>
              <w:spacing w:line="240" w:lineRule="auto"/>
            </w:pPr>
            <w:r w:rsidRPr="000577B2">
              <w:t>0.75</w:t>
            </w:r>
          </w:p>
        </w:tc>
        <w:tc>
          <w:tcPr>
            <w:tcW w:w="4286" w:type="dxa"/>
          </w:tcPr>
          <w:p w14:paraId="08E74C71" w14:textId="77777777" w:rsidR="00336594" w:rsidRPr="000577B2" w:rsidRDefault="00336594" w:rsidP="00CC645A">
            <w:pPr>
              <w:pStyle w:val="Jacobnormal"/>
              <w:spacing w:line="240" w:lineRule="auto"/>
            </w:pPr>
            <w:r w:rsidRPr="000577B2">
              <w:t>Countries with significant authoritarian experience still influencing parts of the population</w:t>
            </w:r>
          </w:p>
          <w:p w14:paraId="3B6C5D85" w14:textId="77D6DCF3" w:rsidR="00336594" w:rsidRPr="000577B2" w:rsidRDefault="00336594" w:rsidP="00CC645A">
            <w:pPr>
              <w:pStyle w:val="Jacobnormal"/>
              <w:spacing w:line="240" w:lineRule="auto"/>
            </w:pPr>
          </w:p>
        </w:tc>
        <w:tc>
          <w:tcPr>
            <w:tcW w:w="3260" w:type="dxa"/>
          </w:tcPr>
          <w:p w14:paraId="474C9E0B" w14:textId="27D3B417" w:rsidR="00336594" w:rsidRPr="000577B2" w:rsidRDefault="00C232AC" w:rsidP="00CC645A">
            <w:pPr>
              <w:pStyle w:val="Jacobnormal"/>
              <w:spacing w:line="240" w:lineRule="auto"/>
            </w:pPr>
            <w:r>
              <w:t>No cases</w:t>
            </w:r>
          </w:p>
        </w:tc>
      </w:tr>
      <w:tr w:rsidR="00336594" w:rsidRPr="000577B2" w14:paraId="0FBCAAF2" w14:textId="77777777" w:rsidTr="00336594">
        <w:tc>
          <w:tcPr>
            <w:tcW w:w="959" w:type="dxa"/>
          </w:tcPr>
          <w:p w14:paraId="0444327A" w14:textId="37D9145D" w:rsidR="00336594" w:rsidRPr="000577B2" w:rsidRDefault="00336594" w:rsidP="00CC645A">
            <w:pPr>
              <w:pStyle w:val="Jacobnormal"/>
              <w:spacing w:line="240" w:lineRule="auto"/>
            </w:pPr>
            <w:r w:rsidRPr="000577B2">
              <w:t>0.25</w:t>
            </w:r>
          </w:p>
        </w:tc>
        <w:tc>
          <w:tcPr>
            <w:tcW w:w="4286" w:type="dxa"/>
          </w:tcPr>
          <w:p w14:paraId="21145865" w14:textId="752CE03C" w:rsidR="00336594" w:rsidRPr="000577B2" w:rsidRDefault="00336594" w:rsidP="00CC645A">
            <w:pPr>
              <w:pStyle w:val="Jacobnormal"/>
              <w:spacing w:line="240" w:lineRule="auto"/>
            </w:pPr>
            <w:r w:rsidRPr="000577B2">
              <w:t xml:space="preserve">Countries that have some authoritarian experience, but </w:t>
            </w:r>
            <w:r w:rsidR="00D71F2D">
              <w:t>are</w:t>
            </w:r>
            <w:r w:rsidRPr="000577B2">
              <w:t xml:space="preserve"> being influenced by that experience </w:t>
            </w:r>
            <w:r w:rsidR="00D71F2D" w:rsidRPr="000577B2">
              <w:t xml:space="preserve">to a lesser extent </w:t>
            </w:r>
            <w:r w:rsidRPr="000577B2">
              <w:t>today</w:t>
            </w:r>
          </w:p>
          <w:p w14:paraId="47513442" w14:textId="71C8027D" w:rsidR="00336594" w:rsidRPr="000577B2" w:rsidRDefault="00336594" w:rsidP="00CC645A">
            <w:pPr>
              <w:pStyle w:val="Jacobnormal"/>
              <w:spacing w:line="240" w:lineRule="auto"/>
            </w:pPr>
          </w:p>
        </w:tc>
        <w:tc>
          <w:tcPr>
            <w:tcW w:w="3260" w:type="dxa"/>
          </w:tcPr>
          <w:p w14:paraId="114E9BD3" w14:textId="77777777" w:rsidR="00336594" w:rsidRPr="000577B2" w:rsidRDefault="00336594" w:rsidP="00CC645A">
            <w:pPr>
              <w:pStyle w:val="Jacobnormal"/>
              <w:spacing w:line="240" w:lineRule="auto"/>
            </w:pPr>
            <w:r w:rsidRPr="000577B2">
              <w:t>Belgium, France</w:t>
            </w:r>
          </w:p>
        </w:tc>
      </w:tr>
      <w:tr w:rsidR="00336594" w:rsidRPr="00FF693D" w14:paraId="0F1656FB" w14:textId="77777777" w:rsidTr="00336594">
        <w:tc>
          <w:tcPr>
            <w:tcW w:w="959" w:type="dxa"/>
          </w:tcPr>
          <w:p w14:paraId="53F6CFB8" w14:textId="1DEF0B01" w:rsidR="00336594" w:rsidRPr="000577B2" w:rsidRDefault="00336594" w:rsidP="00CC645A">
            <w:pPr>
              <w:pStyle w:val="Jacobnormal"/>
              <w:spacing w:line="240" w:lineRule="auto"/>
            </w:pPr>
            <w:r w:rsidRPr="000577B2">
              <w:t>0</w:t>
            </w:r>
          </w:p>
        </w:tc>
        <w:tc>
          <w:tcPr>
            <w:tcW w:w="4286" w:type="dxa"/>
          </w:tcPr>
          <w:p w14:paraId="3E8B9C76" w14:textId="4F286D46" w:rsidR="00336594" w:rsidRPr="000577B2" w:rsidRDefault="000544C7" w:rsidP="000544C7">
            <w:pPr>
              <w:pStyle w:val="Jacobnormal"/>
              <w:spacing w:line="240" w:lineRule="auto"/>
            </w:pPr>
            <w:r>
              <w:t>Co</w:t>
            </w:r>
            <w:r w:rsidR="00336594" w:rsidRPr="000577B2">
              <w:t>untries with insignificant or no authoritarian experience</w:t>
            </w:r>
          </w:p>
        </w:tc>
        <w:tc>
          <w:tcPr>
            <w:tcW w:w="3260" w:type="dxa"/>
          </w:tcPr>
          <w:p w14:paraId="0CFE33CF" w14:textId="77777777" w:rsidR="00336594" w:rsidRPr="000544C7" w:rsidRDefault="00336594" w:rsidP="00CC645A">
            <w:pPr>
              <w:pStyle w:val="Jacobnormal"/>
              <w:spacing w:line="240" w:lineRule="auto"/>
              <w:rPr>
                <w:lang w:val="de-DE"/>
              </w:rPr>
            </w:pPr>
            <w:proofErr w:type="spellStart"/>
            <w:r w:rsidRPr="000544C7">
              <w:rPr>
                <w:lang w:val="de-DE"/>
              </w:rPr>
              <w:t>Denmark</w:t>
            </w:r>
            <w:proofErr w:type="spellEnd"/>
            <w:r w:rsidRPr="000544C7">
              <w:rPr>
                <w:lang w:val="de-DE"/>
              </w:rPr>
              <w:t xml:space="preserve">, </w:t>
            </w:r>
            <w:proofErr w:type="spellStart"/>
            <w:r w:rsidRPr="000544C7">
              <w:rPr>
                <w:lang w:val="de-DE"/>
              </w:rPr>
              <w:t>Finland</w:t>
            </w:r>
            <w:proofErr w:type="spellEnd"/>
            <w:r w:rsidRPr="000544C7">
              <w:rPr>
                <w:lang w:val="de-DE"/>
              </w:rPr>
              <w:t xml:space="preserve">, </w:t>
            </w:r>
            <w:proofErr w:type="spellStart"/>
            <w:r w:rsidRPr="000544C7">
              <w:rPr>
                <w:lang w:val="de-DE"/>
              </w:rPr>
              <w:t>Iceland</w:t>
            </w:r>
            <w:proofErr w:type="spellEnd"/>
            <w:r w:rsidRPr="000544C7">
              <w:rPr>
                <w:lang w:val="de-DE"/>
              </w:rPr>
              <w:t xml:space="preserve">, </w:t>
            </w:r>
            <w:proofErr w:type="spellStart"/>
            <w:r w:rsidRPr="000544C7">
              <w:rPr>
                <w:lang w:val="de-DE"/>
              </w:rPr>
              <w:t>Ireland</w:t>
            </w:r>
            <w:proofErr w:type="spellEnd"/>
            <w:r w:rsidRPr="000544C7">
              <w:rPr>
                <w:lang w:val="de-DE"/>
              </w:rPr>
              <w:t xml:space="preserve">, Luxemburg, </w:t>
            </w:r>
            <w:proofErr w:type="spellStart"/>
            <w:r w:rsidRPr="000544C7">
              <w:rPr>
                <w:lang w:val="de-DE"/>
              </w:rPr>
              <w:t>Netherlands</w:t>
            </w:r>
            <w:proofErr w:type="spellEnd"/>
            <w:r w:rsidRPr="000544C7">
              <w:rPr>
                <w:lang w:val="de-DE"/>
              </w:rPr>
              <w:t xml:space="preserve">, </w:t>
            </w:r>
            <w:proofErr w:type="spellStart"/>
            <w:r w:rsidRPr="000544C7">
              <w:rPr>
                <w:lang w:val="de-DE"/>
              </w:rPr>
              <w:t>Norway</w:t>
            </w:r>
            <w:proofErr w:type="spellEnd"/>
            <w:r w:rsidRPr="000544C7">
              <w:rPr>
                <w:lang w:val="de-DE"/>
              </w:rPr>
              <w:t xml:space="preserve">, </w:t>
            </w:r>
            <w:proofErr w:type="spellStart"/>
            <w:r w:rsidRPr="000544C7">
              <w:rPr>
                <w:lang w:val="de-DE"/>
              </w:rPr>
              <w:t>Sweden</w:t>
            </w:r>
            <w:proofErr w:type="spellEnd"/>
            <w:r w:rsidRPr="000544C7">
              <w:rPr>
                <w:lang w:val="de-DE"/>
              </w:rPr>
              <w:t xml:space="preserve">, </w:t>
            </w:r>
            <w:proofErr w:type="spellStart"/>
            <w:r w:rsidRPr="000544C7">
              <w:rPr>
                <w:lang w:val="de-DE"/>
              </w:rPr>
              <w:t>Switzerland</w:t>
            </w:r>
            <w:proofErr w:type="spellEnd"/>
            <w:r w:rsidRPr="000544C7">
              <w:rPr>
                <w:lang w:val="de-DE"/>
              </w:rPr>
              <w:t>, UK</w:t>
            </w:r>
          </w:p>
        </w:tc>
      </w:tr>
    </w:tbl>
    <w:p w14:paraId="7C2E58B5" w14:textId="29568D40" w:rsidR="00336594" w:rsidRPr="000577B2" w:rsidRDefault="00715A23" w:rsidP="00CC645A">
      <w:pPr>
        <w:pStyle w:val="Jacobnormal"/>
        <w:spacing w:before="120" w:line="240" w:lineRule="auto"/>
      </w:pPr>
      <w:r w:rsidRPr="000577B2">
        <w:rPr>
          <w:i/>
        </w:rPr>
        <w:t>Source:</w:t>
      </w:r>
      <w:r w:rsidRPr="000577B2">
        <w:t xml:space="preserve"> </w:t>
      </w:r>
      <w:r w:rsidR="009542A1" w:rsidRPr="000577B2">
        <w:t>S</w:t>
      </w:r>
      <w:r w:rsidRPr="000577B2">
        <w:t xml:space="preserve">urvey sent to scholars working at the Norwegian </w:t>
      </w:r>
      <w:proofErr w:type="spellStart"/>
      <w:r w:rsidRPr="000577B2">
        <w:t>Center</w:t>
      </w:r>
      <w:proofErr w:type="spellEnd"/>
      <w:r w:rsidRPr="000577B2">
        <w:t xml:space="preserve"> for Studies of Holocaust and Religious Minorities</w:t>
      </w:r>
      <w:r w:rsidR="009542A1" w:rsidRPr="000577B2">
        <w:t>, asking them to rank West Europea</w:t>
      </w:r>
      <w:r w:rsidR="005B7E92">
        <w:t>n countries according to their a</w:t>
      </w:r>
      <w:r w:rsidR="009542A1" w:rsidRPr="000577B2">
        <w:t xml:space="preserve">uthoritarian experiences and legacies. </w:t>
      </w:r>
      <w:r w:rsidRPr="000577B2">
        <w:t xml:space="preserve"> </w:t>
      </w:r>
    </w:p>
    <w:p w14:paraId="26D9E2E1" w14:textId="77777777" w:rsidR="00980048" w:rsidRPr="000577B2" w:rsidRDefault="00980048" w:rsidP="00CC645A">
      <w:pPr>
        <w:pStyle w:val="Jacobnormal"/>
        <w:spacing w:before="120"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819"/>
        <w:gridCol w:w="3402"/>
      </w:tblGrid>
      <w:tr w:rsidR="00901358" w:rsidRPr="000577B2" w14:paraId="76A289C4" w14:textId="77777777" w:rsidTr="00336594">
        <w:tc>
          <w:tcPr>
            <w:tcW w:w="9072" w:type="dxa"/>
            <w:gridSpan w:val="3"/>
            <w:tcBorders>
              <w:top w:val="nil"/>
              <w:bottom w:val="single" w:sz="4" w:space="0" w:color="auto"/>
            </w:tcBorders>
          </w:tcPr>
          <w:p w14:paraId="1CA8110B" w14:textId="2C92FCA3" w:rsidR="00901358" w:rsidRPr="000577B2" w:rsidRDefault="004045AE" w:rsidP="00CC645A">
            <w:pPr>
              <w:pStyle w:val="Jacobnormal"/>
              <w:spacing w:line="240" w:lineRule="auto"/>
              <w:jc w:val="both"/>
            </w:pPr>
            <w:r w:rsidRPr="000577B2">
              <w:rPr>
                <w:i/>
              </w:rPr>
              <w:t>Table 8</w:t>
            </w:r>
            <w:r w:rsidRPr="000577B2">
              <w:t>. Radical right repression</w:t>
            </w:r>
          </w:p>
        </w:tc>
      </w:tr>
      <w:tr w:rsidR="00901358" w:rsidRPr="000577B2" w14:paraId="42F09E80" w14:textId="77777777" w:rsidTr="00CC645A">
        <w:tc>
          <w:tcPr>
            <w:tcW w:w="851" w:type="dxa"/>
            <w:tcBorders>
              <w:top w:val="single" w:sz="4" w:space="0" w:color="auto"/>
              <w:bottom w:val="single" w:sz="4" w:space="0" w:color="auto"/>
            </w:tcBorders>
          </w:tcPr>
          <w:p w14:paraId="548C1BF0" w14:textId="304A98F5" w:rsidR="00901358" w:rsidRPr="001A72EC" w:rsidRDefault="00336594" w:rsidP="00CC645A">
            <w:pPr>
              <w:pStyle w:val="Jacobnormal"/>
              <w:spacing w:line="240" w:lineRule="auto"/>
            </w:pPr>
            <w:r w:rsidRPr="001A72EC">
              <w:t>Fuzzy score</w:t>
            </w:r>
          </w:p>
        </w:tc>
        <w:tc>
          <w:tcPr>
            <w:tcW w:w="4819" w:type="dxa"/>
            <w:tcBorders>
              <w:top w:val="single" w:sz="4" w:space="0" w:color="auto"/>
              <w:bottom w:val="single" w:sz="4" w:space="0" w:color="auto"/>
            </w:tcBorders>
          </w:tcPr>
          <w:p w14:paraId="1E18AA38" w14:textId="78612DA0" w:rsidR="00901358" w:rsidRPr="001A72EC" w:rsidRDefault="00336594" w:rsidP="00CC645A">
            <w:pPr>
              <w:pStyle w:val="Jacobnormal"/>
              <w:spacing w:line="240" w:lineRule="auto"/>
            </w:pPr>
            <w:r w:rsidRPr="001A72EC">
              <w:t>Threshold</w:t>
            </w:r>
          </w:p>
        </w:tc>
        <w:tc>
          <w:tcPr>
            <w:tcW w:w="3402" w:type="dxa"/>
            <w:tcBorders>
              <w:top w:val="single" w:sz="4" w:space="0" w:color="auto"/>
              <w:bottom w:val="single" w:sz="4" w:space="0" w:color="auto"/>
            </w:tcBorders>
          </w:tcPr>
          <w:p w14:paraId="3346ECA1" w14:textId="77777777" w:rsidR="00901358" w:rsidRPr="001A72EC" w:rsidRDefault="00901358" w:rsidP="00CC645A">
            <w:pPr>
              <w:pStyle w:val="Jacobnormal"/>
              <w:spacing w:line="240" w:lineRule="auto"/>
            </w:pPr>
            <w:r w:rsidRPr="001A72EC">
              <w:t xml:space="preserve">Case distribution </w:t>
            </w:r>
          </w:p>
        </w:tc>
      </w:tr>
      <w:tr w:rsidR="00336594" w:rsidRPr="000577B2" w14:paraId="38E96DF0" w14:textId="77777777" w:rsidTr="00CC645A">
        <w:tc>
          <w:tcPr>
            <w:tcW w:w="851" w:type="dxa"/>
            <w:tcBorders>
              <w:top w:val="single" w:sz="4" w:space="0" w:color="auto"/>
            </w:tcBorders>
          </w:tcPr>
          <w:p w14:paraId="23FD6F51" w14:textId="4EAF0179" w:rsidR="00336594" w:rsidRPr="000577B2" w:rsidRDefault="00336594" w:rsidP="00CC645A">
            <w:pPr>
              <w:pStyle w:val="Jacobnormal"/>
              <w:spacing w:line="240" w:lineRule="auto"/>
            </w:pPr>
            <w:r w:rsidRPr="000577B2">
              <w:t>1.0</w:t>
            </w:r>
          </w:p>
        </w:tc>
        <w:tc>
          <w:tcPr>
            <w:tcW w:w="4819" w:type="dxa"/>
            <w:tcBorders>
              <w:top w:val="single" w:sz="4" w:space="0" w:color="auto"/>
            </w:tcBorders>
          </w:tcPr>
          <w:p w14:paraId="4C21278D" w14:textId="77777777" w:rsidR="00336594" w:rsidRPr="000577B2" w:rsidRDefault="00336594" w:rsidP="00CC645A">
            <w:pPr>
              <w:pStyle w:val="Jacobnormal"/>
              <w:spacing w:line="240" w:lineRule="auto"/>
            </w:pPr>
            <w:r w:rsidRPr="000577B2">
              <w:t>Existing academic accounts leave little doubt about a repressive environment</w:t>
            </w:r>
          </w:p>
          <w:p w14:paraId="4CA42F98" w14:textId="715E5CF5" w:rsidR="00336594" w:rsidRPr="000577B2" w:rsidRDefault="00336594" w:rsidP="00CC645A">
            <w:pPr>
              <w:pStyle w:val="Jacobnormal"/>
              <w:spacing w:line="240" w:lineRule="auto"/>
            </w:pPr>
          </w:p>
        </w:tc>
        <w:tc>
          <w:tcPr>
            <w:tcW w:w="3402" w:type="dxa"/>
            <w:tcBorders>
              <w:top w:val="single" w:sz="4" w:space="0" w:color="auto"/>
            </w:tcBorders>
          </w:tcPr>
          <w:p w14:paraId="51C2CAC3" w14:textId="77777777" w:rsidR="00336594" w:rsidRPr="000577B2" w:rsidRDefault="00336594" w:rsidP="00CC645A">
            <w:pPr>
              <w:pStyle w:val="Jacobnormal"/>
              <w:spacing w:line="240" w:lineRule="auto"/>
            </w:pPr>
            <w:r w:rsidRPr="000577B2">
              <w:t>Germany, Sweden</w:t>
            </w:r>
          </w:p>
        </w:tc>
      </w:tr>
      <w:tr w:rsidR="00336594" w:rsidRPr="000577B2" w14:paraId="6D15BB69" w14:textId="77777777" w:rsidTr="00CC645A">
        <w:tc>
          <w:tcPr>
            <w:tcW w:w="851" w:type="dxa"/>
          </w:tcPr>
          <w:p w14:paraId="6E2B5485" w14:textId="2AD864C9" w:rsidR="00336594" w:rsidRPr="000577B2" w:rsidRDefault="00336594" w:rsidP="00CC645A">
            <w:pPr>
              <w:pStyle w:val="Jacobnormal"/>
              <w:spacing w:line="240" w:lineRule="auto"/>
            </w:pPr>
            <w:r w:rsidRPr="000577B2">
              <w:t>0.75</w:t>
            </w:r>
          </w:p>
        </w:tc>
        <w:tc>
          <w:tcPr>
            <w:tcW w:w="4819" w:type="dxa"/>
          </w:tcPr>
          <w:p w14:paraId="60210566" w14:textId="097CCFC1" w:rsidR="00336594" w:rsidRPr="000577B2" w:rsidRDefault="00336594" w:rsidP="00CC645A">
            <w:pPr>
              <w:pStyle w:val="Jacobnormal"/>
              <w:spacing w:line="240" w:lineRule="auto"/>
            </w:pPr>
            <w:r w:rsidRPr="000577B2">
              <w:t>Existing academic accounts portray somewhat milder forms of repression, or a country that has evolved from a repressive towards a more permissive environment, or the other way around</w:t>
            </w:r>
          </w:p>
          <w:p w14:paraId="0F566556" w14:textId="30EBC63E" w:rsidR="00336594" w:rsidRPr="000577B2" w:rsidRDefault="00336594" w:rsidP="00CC645A">
            <w:pPr>
              <w:pStyle w:val="Jacobnormal"/>
              <w:spacing w:line="240" w:lineRule="auto"/>
            </w:pPr>
          </w:p>
        </w:tc>
        <w:tc>
          <w:tcPr>
            <w:tcW w:w="3402" w:type="dxa"/>
          </w:tcPr>
          <w:p w14:paraId="007A40D4" w14:textId="707E1829" w:rsidR="00336594" w:rsidRPr="000577B2" w:rsidRDefault="00336594" w:rsidP="00CC645A">
            <w:pPr>
              <w:pStyle w:val="Jacobnormal"/>
              <w:spacing w:line="240" w:lineRule="auto"/>
            </w:pPr>
            <w:r w:rsidRPr="000577B2">
              <w:t xml:space="preserve">Belgium, France, </w:t>
            </w:r>
            <w:r w:rsidR="000544C7">
              <w:t xml:space="preserve">the </w:t>
            </w:r>
            <w:r w:rsidRPr="000577B2">
              <w:t>Netherlands, UK</w:t>
            </w:r>
          </w:p>
        </w:tc>
      </w:tr>
      <w:tr w:rsidR="00336594" w:rsidRPr="000577B2" w14:paraId="52306BF4" w14:textId="77777777" w:rsidTr="00CC645A">
        <w:tc>
          <w:tcPr>
            <w:tcW w:w="851" w:type="dxa"/>
          </w:tcPr>
          <w:p w14:paraId="75C3A666" w14:textId="4A9F4717" w:rsidR="00336594" w:rsidRPr="000577B2" w:rsidRDefault="00336594" w:rsidP="00CC645A">
            <w:pPr>
              <w:pStyle w:val="Jacobnormal"/>
              <w:spacing w:line="240" w:lineRule="auto"/>
            </w:pPr>
            <w:r w:rsidRPr="000577B2">
              <w:t>0.25</w:t>
            </w:r>
          </w:p>
        </w:tc>
        <w:tc>
          <w:tcPr>
            <w:tcW w:w="4819" w:type="dxa"/>
          </w:tcPr>
          <w:p w14:paraId="09BB6B90" w14:textId="55A3432D" w:rsidR="00336594" w:rsidRPr="000577B2" w:rsidRDefault="00336594" w:rsidP="00CC645A">
            <w:pPr>
              <w:pStyle w:val="Jacobnormal"/>
              <w:spacing w:line="240" w:lineRule="auto"/>
            </w:pPr>
            <w:r w:rsidRPr="000577B2">
              <w:t xml:space="preserve">Existing academic accounts testify </w:t>
            </w:r>
            <w:r w:rsidR="00AB1B5B">
              <w:t>to</w:t>
            </w:r>
            <w:r w:rsidRPr="000577B2">
              <w:t xml:space="preserve"> some but no consistent repression</w:t>
            </w:r>
          </w:p>
          <w:p w14:paraId="6DD39B27" w14:textId="5B37E0E4" w:rsidR="00336594" w:rsidRPr="000577B2" w:rsidRDefault="00336594" w:rsidP="00CC645A">
            <w:pPr>
              <w:pStyle w:val="Jacobnormal"/>
              <w:spacing w:line="240" w:lineRule="auto"/>
            </w:pPr>
          </w:p>
        </w:tc>
        <w:tc>
          <w:tcPr>
            <w:tcW w:w="3402" w:type="dxa"/>
          </w:tcPr>
          <w:p w14:paraId="69F409FF" w14:textId="77777777" w:rsidR="00336594" w:rsidRPr="000577B2" w:rsidRDefault="00336594" w:rsidP="00CC645A">
            <w:pPr>
              <w:pStyle w:val="Jacobnormal"/>
              <w:spacing w:line="240" w:lineRule="auto"/>
            </w:pPr>
            <w:r w:rsidRPr="000577B2">
              <w:t>Switzerland</w:t>
            </w:r>
          </w:p>
        </w:tc>
      </w:tr>
      <w:tr w:rsidR="00336594" w:rsidRPr="00FF693D" w14:paraId="4CEA8FFF" w14:textId="77777777" w:rsidTr="00CC645A">
        <w:tc>
          <w:tcPr>
            <w:tcW w:w="851" w:type="dxa"/>
          </w:tcPr>
          <w:p w14:paraId="26AA5432" w14:textId="5B770F8D" w:rsidR="00336594" w:rsidRPr="000577B2" w:rsidRDefault="00336594" w:rsidP="00CC645A">
            <w:pPr>
              <w:pStyle w:val="Jacobnormal"/>
              <w:spacing w:line="240" w:lineRule="auto"/>
            </w:pPr>
            <w:r w:rsidRPr="000577B2">
              <w:t>0.0</w:t>
            </w:r>
          </w:p>
        </w:tc>
        <w:tc>
          <w:tcPr>
            <w:tcW w:w="4819" w:type="dxa"/>
          </w:tcPr>
          <w:p w14:paraId="6F6CD2DC" w14:textId="7E6D43C8" w:rsidR="00336594" w:rsidRPr="000577B2" w:rsidRDefault="00CD416E" w:rsidP="00CD416E">
            <w:pPr>
              <w:pStyle w:val="Jacobnormal"/>
              <w:spacing w:line="240" w:lineRule="auto"/>
            </w:pPr>
            <w:r>
              <w:t>D</w:t>
            </w:r>
            <w:r w:rsidRPr="000577B2">
              <w:t xml:space="preserve">escribed as mostly permissive or </w:t>
            </w:r>
            <w:r>
              <w:t>n</w:t>
            </w:r>
            <w:r w:rsidR="00336594" w:rsidRPr="000577B2">
              <w:t xml:space="preserve">ot mentioned in existing academic </w:t>
            </w:r>
            <w:r>
              <w:t>accounts</w:t>
            </w:r>
            <w:r w:rsidR="00336594" w:rsidRPr="000577B2">
              <w:t xml:space="preserve"> </w:t>
            </w:r>
          </w:p>
        </w:tc>
        <w:tc>
          <w:tcPr>
            <w:tcW w:w="3402" w:type="dxa"/>
          </w:tcPr>
          <w:p w14:paraId="3CE233D0" w14:textId="77777777" w:rsidR="00336594" w:rsidRPr="000544C7" w:rsidRDefault="00336594" w:rsidP="00CC645A">
            <w:pPr>
              <w:pStyle w:val="Jacobnormal"/>
              <w:spacing w:line="240" w:lineRule="auto"/>
              <w:rPr>
                <w:lang w:val="de-DE"/>
              </w:rPr>
            </w:pPr>
            <w:r w:rsidRPr="000544C7">
              <w:rPr>
                <w:lang w:val="de-DE"/>
              </w:rPr>
              <w:t xml:space="preserve">Austria, </w:t>
            </w:r>
            <w:proofErr w:type="spellStart"/>
            <w:r w:rsidRPr="000544C7">
              <w:rPr>
                <w:lang w:val="de-DE"/>
              </w:rPr>
              <w:t>Denmark</w:t>
            </w:r>
            <w:proofErr w:type="spellEnd"/>
            <w:r w:rsidRPr="000544C7">
              <w:rPr>
                <w:lang w:val="de-DE"/>
              </w:rPr>
              <w:t xml:space="preserve">, </w:t>
            </w:r>
            <w:proofErr w:type="spellStart"/>
            <w:r w:rsidRPr="000544C7">
              <w:rPr>
                <w:lang w:val="de-DE"/>
              </w:rPr>
              <w:t>Finland</w:t>
            </w:r>
            <w:proofErr w:type="spellEnd"/>
            <w:r w:rsidRPr="000544C7">
              <w:rPr>
                <w:lang w:val="de-DE"/>
              </w:rPr>
              <w:t xml:space="preserve">, </w:t>
            </w:r>
            <w:proofErr w:type="spellStart"/>
            <w:r w:rsidRPr="000544C7">
              <w:rPr>
                <w:lang w:val="de-DE"/>
              </w:rPr>
              <w:t>Iceland</w:t>
            </w:r>
            <w:proofErr w:type="spellEnd"/>
            <w:r w:rsidRPr="000544C7">
              <w:rPr>
                <w:lang w:val="de-DE"/>
              </w:rPr>
              <w:t xml:space="preserve">, </w:t>
            </w:r>
            <w:proofErr w:type="spellStart"/>
            <w:r w:rsidRPr="000544C7">
              <w:rPr>
                <w:lang w:val="de-DE"/>
              </w:rPr>
              <w:t>Ireland</w:t>
            </w:r>
            <w:proofErr w:type="spellEnd"/>
            <w:r w:rsidRPr="000544C7">
              <w:rPr>
                <w:lang w:val="de-DE"/>
              </w:rPr>
              <w:t xml:space="preserve">, Luxemburg, </w:t>
            </w:r>
            <w:proofErr w:type="spellStart"/>
            <w:r w:rsidRPr="000544C7">
              <w:rPr>
                <w:lang w:val="de-DE"/>
              </w:rPr>
              <w:t>Norway</w:t>
            </w:r>
            <w:proofErr w:type="spellEnd"/>
            <w:r w:rsidRPr="000544C7">
              <w:rPr>
                <w:lang w:val="de-DE"/>
              </w:rPr>
              <w:t>, Portugal, Spain</w:t>
            </w:r>
          </w:p>
        </w:tc>
      </w:tr>
    </w:tbl>
    <w:p w14:paraId="5DA316E1" w14:textId="7354E60B" w:rsidR="00901358" w:rsidRPr="000577B2" w:rsidRDefault="00715A23" w:rsidP="00CC645A">
      <w:pPr>
        <w:pStyle w:val="Jacobnormal"/>
        <w:spacing w:before="120" w:line="240" w:lineRule="auto"/>
      </w:pPr>
      <w:r w:rsidRPr="000577B2">
        <w:rPr>
          <w:i/>
        </w:rPr>
        <w:t>Sources:</w:t>
      </w:r>
      <w:r w:rsidR="00DE575B" w:rsidRPr="000577B2">
        <w:t xml:space="preserve"> Art, D. (2011). </w:t>
      </w:r>
      <w:r w:rsidR="00DE575B" w:rsidRPr="000577B2">
        <w:rPr>
          <w:i/>
        </w:rPr>
        <w:t>Inside the Radical Right: the Development of Anti-Immigrant Parties in Western Europe</w:t>
      </w:r>
      <w:r w:rsidR="00DE575B" w:rsidRPr="000577B2">
        <w:t>, pp. 44</w:t>
      </w:r>
      <w:r w:rsidR="00AB1B5B">
        <w:t>–</w:t>
      </w:r>
      <w:r w:rsidR="00DE575B" w:rsidRPr="000577B2">
        <w:t xml:space="preserve">49. New York: Cambridge University Press; Van </w:t>
      </w:r>
      <w:proofErr w:type="spellStart"/>
      <w:r w:rsidR="00DE575B" w:rsidRPr="000577B2">
        <w:t>Spanje</w:t>
      </w:r>
      <w:proofErr w:type="spellEnd"/>
      <w:r w:rsidR="00DE575B" w:rsidRPr="000577B2">
        <w:t xml:space="preserve">, J., &amp; Van Der </w:t>
      </w:r>
      <w:proofErr w:type="spellStart"/>
      <w:r w:rsidR="00DE575B" w:rsidRPr="000577B2">
        <w:t>Brug</w:t>
      </w:r>
      <w:proofErr w:type="spellEnd"/>
      <w:r w:rsidR="00DE575B" w:rsidRPr="000577B2">
        <w:t xml:space="preserve">, W. (2007). “The Party as Pariah: The Exclusion of Anti-Immigration Parties and its Effect on their Ideological Positions”, </w:t>
      </w:r>
      <w:r w:rsidR="00DE575B" w:rsidRPr="000577B2">
        <w:rPr>
          <w:i/>
        </w:rPr>
        <w:t>West European Politics</w:t>
      </w:r>
      <w:r w:rsidR="00DE575B" w:rsidRPr="000577B2">
        <w:t xml:space="preserve">, 30(5), 1022–1040; </w:t>
      </w:r>
      <w:proofErr w:type="spellStart"/>
      <w:r w:rsidR="00DE575B" w:rsidRPr="000577B2">
        <w:t>Bleich</w:t>
      </w:r>
      <w:proofErr w:type="spellEnd"/>
      <w:r w:rsidR="00DE575B" w:rsidRPr="000577B2">
        <w:t xml:space="preserve">, E. (2007). “Hate Crime Policy in Western Europe: Responding to Racist Violence in Britain, Germany, and France”, </w:t>
      </w:r>
      <w:r w:rsidR="00DE575B" w:rsidRPr="000577B2">
        <w:rPr>
          <w:i/>
        </w:rPr>
        <w:t xml:space="preserve">American </w:t>
      </w:r>
      <w:proofErr w:type="spellStart"/>
      <w:r w:rsidR="00DE575B" w:rsidRPr="000577B2">
        <w:rPr>
          <w:i/>
        </w:rPr>
        <w:t>Behavioral</w:t>
      </w:r>
      <w:proofErr w:type="spellEnd"/>
      <w:r w:rsidR="00DE575B" w:rsidRPr="000577B2">
        <w:rPr>
          <w:i/>
        </w:rPr>
        <w:t xml:space="preserve"> Scientist</w:t>
      </w:r>
      <w:r w:rsidR="00DE575B" w:rsidRPr="000577B2">
        <w:t xml:space="preserve">, 51(2), 149–165; </w:t>
      </w:r>
      <w:proofErr w:type="spellStart"/>
      <w:r w:rsidR="00DE575B" w:rsidRPr="000577B2">
        <w:t>Bleich</w:t>
      </w:r>
      <w:proofErr w:type="spellEnd"/>
      <w:r w:rsidR="00DE575B" w:rsidRPr="000577B2">
        <w:t xml:space="preserve">, E., &amp; Lambert, F. (2013). “Why Are Racist Associations Free in Some States and Banned in Others? Evidence from 10 Liberal Democracies”, </w:t>
      </w:r>
      <w:r w:rsidR="00DE575B" w:rsidRPr="000577B2">
        <w:rPr>
          <w:i/>
        </w:rPr>
        <w:t>West European Politics</w:t>
      </w:r>
      <w:r w:rsidR="00DE575B" w:rsidRPr="000577B2">
        <w:t>, 36(1), 122–149.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302"/>
        <w:gridCol w:w="5811"/>
      </w:tblGrid>
      <w:tr w:rsidR="00901358" w:rsidRPr="000577B2" w14:paraId="70D6C17F" w14:textId="77777777" w:rsidTr="004045AE">
        <w:tc>
          <w:tcPr>
            <w:tcW w:w="9072" w:type="dxa"/>
            <w:gridSpan w:val="3"/>
            <w:tcBorders>
              <w:top w:val="nil"/>
              <w:bottom w:val="single" w:sz="4" w:space="0" w:color="auto"/>
            </w:tcBorders>
          </w:tcPr>
          <w:p w14:paraId="3FA67B58" w14:textId="04E33FC0" w:rsidR="00901358" w:rsidRPr="000577B2" w:rsidRDefault="004045AE" w:rsidP="00CC645A">
            <w:pPr>
              <w:pStyle w:val="Jacobnormal"/>
              <w:spacing w:line="240" w:lineRule="auto"/>
            </w:pPr>
            <w:r w:rsidRPr="000577B2">
              <w:rPr>
                <w:i/>
              </w:rPr>
              <w:lastRenderedPageBreak/>
              <w:t>Table 9</w:t>
            </w:r>
            <w:r w:rsidRPr="000577B2">
              <w:t>. Left-wing terrorism and militancy</w:t>
            </w:r>
          </w:p>
        </w:tc>
      </w:tr>
      <w:tr w:rsidR="00901358" w:rsidRPr="000577B2" w14:paraId="6ACDC326" w14:textId="77777777" w:rsidTr="004045AE">
        <w:tc>
          <w:tcPr>
            <w:tcW w:w="959" w:type="dxa"/>
            <w:tcBorders>
              <w:top w:val="single" w:sz="4" w:space="0" w:color="auto"/>
              <w:bottom w:val="single" w:sz="4" w:space="0" w:color="auto"/>
            </w:tcBorders>
          </w:tcPr>
          <w:p w14:paraId="79CA1FDE" w14:textId="65C1F08C" w:rsidR="00901358" w:rsidRPr="001A72EC" w:rsidRDefault="005F26B1" w:rsidP="00CC645A">
            <w:pPr>
              <w:pStyle w:val="Jacobnormal"/>
              <w:spacing w:line="240" w:lineRule="auto"/>
            </w:pPr>
            <w:r w:rsidRPr="001A72EC">
              <w:t>Fuzzy score</w:t>
            </w:r>
          </w:p>
        </w:tc>
        <w:tc>
          <w:tcPr>
            <w:tcW w:w="2302" w:type="dxa"/>
            <w:tcBorders>
              <w:top w:val="single" w:sz="4" w:space="0" w:color="auto"/>
              <w:bottom w:val="single" w:sz="4" w:space="0" w:color="auto"/>
            </w:tcBorders>
          </w:tcPr>
          <w:p w14:paraId="5A3575DE" w14:textId="2E19046A" w:rsidR="00901358" w:rsidRPr="001A72EC" w:rsidRDefault="005F26B1" w:rsidP="00CC645A">
            <w:pPr>
              <w:pStyle w:val="Jacobnormal"/>
              <w:spacing w:line="240" w:lineRule="auto"/>
            </w:pPr>
            <w:r w:rsidRPr="001A72EC">
              <w:t>Threshold</w:t>
            </w:r>
          </w:p>
        </w:tc>
        <w:tc>
          <w:tcPr>
            <w:tcW w:w="5811" w:type="dxa"/>
            <w:tcBorders>
              <w:top w:val="single" w:sz="4" w:space="0" w:color="auto"/>
              <w:bottom w:val="single" w:sz="4" w:space="0" w:color="auto"/>
            </w:tcBorders>
          </w:tcPr>
          <w:p w14:paraId="4FF7A6FB" w14:textId="1B0A25E4" w:rsidR="00901358" w:rsidRPr="001A72EC" w:rsidRDefault="000544C7" w:rsidP="000544C7">
            <w:pPr>
              <w:pStyle w:val="Jacobnormal"/>
              <w:spacing w:line="240" w:lineRule="auto"/>
            </w:pPr>
            <w:r>
              <w:t>Case distribution</w:t>
            </w:r>
            <w:r w:rsidR="005F26B1" w:rsidRPr="001A72EC">
              <w:t xml:space="preserve"> (TWEED </w:t>
            </w:r>
            <w:r w:rsidR="004F31F5" w:rsidRPr="001A72EC">
              <w:t xml:space="preserve">and </w:t>
            </w:r>
            <w:r w:rsidR="005F26B1" w:rsidRPr="001A72EC">
              <w:t>DTV events</w:t>
            </w:r>
            <w:r w:rsidR="004F31F5" w:rsidRPr="001A72EC">
              <w:t xml:space="preserve"> combined score</w:t>
            </w:r>
            <w:r>
              <w:t xml:space="preserve"> </w:t>
            </w:r>
            <w:r w:rsidR="005F26B1" w:rsidRPr="001A72EC">
              <w:t>/</w:t>
            </w:r>
            <w:r w:rsidR="004F31F5" w:rsidRPr="001A72EC">
              <w:t xml:space="preserve"> number of years mentioned in </w:t>
            </w:r>
            <w:r w:rsidR="005F26B1" w:rsidRPr="001A72EC">
              <w:t xml:space="preserve">Europol </w:t>
            </w:r>
            <w:r w:rsidR="00F65C4E">
              <w:t>reports 2006</w:t>
            </w:r>
            <w:r w:rsidR="00AB1B5B">
              <w:t>–</w:t>
            </w:r>
            <w:r w:rsidR="00F65C4E">
              <w:t>2015</w:t>
            </w:r>
            <w:r>
              <w:t xml:space="preserve"> </w:t>
            </w:r>
            <w:r w:rsidR="005F26B1" w:rsidRPr="001A72EC">
              <w:t>/</w:t>
            </w:r>
            <w:r>
              <w:t xml:space="preserve"> </w:t>
            </w:r>
            <w:r w:rsidR="00BB2841" w:rsidRPr="001A72EC">
              <w:t>number of times ranked as high by l</w:t>
            </w:r>
            <w:r w:rsidR="004F31F5" w:rsidRPr="001A72EC">
              <w:t>eftist militant</w:t>
            </w:r>
            <w:r w:rsidR="00BB2841" w:rsidRPr="001A72EC">
              <w:t>s</w:t>
            </w:r>
            <w:r w:rsidR="005F26B1" w:rsidRPr="001A72EC">
              <w:t>)</w:t>
            </w:r>
          </w:p>
        </w:tc>
      </w:tr>
      <w:tr w:rsidR="005F26B1" w:rsidRPr="000577B2" w14:paraId="18EBD436" w14:textId="77777777" w:rsidTr="004045AE">
        <w:tc>
          <w:tcPr>
            <w:tcW w:w="959" w:type="dxa"/>
            <w:tcBorders>
              <w:top w:val="single" w:sz="4" w:space="0" w:color="auto"/>
            </w:tcBorders>
          </w:tcPr>
          <w:p w14:paraId="72C46C15" w14:textId="76D506B4" w:rsidR="005F26B1" w:rsidRPr="000577B2" w:rsidRDefault="005F26B1" w:rsidP="00CC645A">
            <w:pPr>
              <w:pStyle w:val="Jacobnormal"/>
              <w:spacing w:line="240" w:lineRule="auto"/>
            </w:pPr>
            <w:r w:rsidRPr="000577B2">
              <w:t>1.0</w:t>
            </w:r>
          </w:p>
        </w:tc>
        <w:tc>
          <w:tcPr>
            <w:tcW w:w="2302" w:type="dxa"/>
            <w:tcBorders>
              <w:top w:val="single" w:sz="4" w:space="0" w:color="auto"/>
            </w:tcBorders>
          </w:tcPr>
          <w:p w14:paraId="52D1A012" w14:textId="77777777" w:rsidR="005F26B1" w:rsidRPr="000577B2" w:rsidRDefault="005F26B1" w:rsidP="00CC645A">
            <w:pPr>
              <w:pStyle w:val="Jacobnormal"/>
              <w:spacing w:line="240" w:lineRule="auto"/>
            </w:pPr>
            <w:r w:rsidRPr="000577B2">
              <w:t>High score on all three measures</w:t>
            </w:r>
          </w:p>
          <w:p w14:paraId="74735564" w14:textId="5FA18755" w:rsidR="00272CDC" w:rsidRPr="000577B2" w:rsidRDefault="00272CDC" w:rsidP="00CC645A">
            <w:pPr>
              <w:pStyle w:val="Jacobnormal"/>
              <w:spacing w:line="240" w:lineRule="auto"/>
            </w:pPr>
          </w:p>
        </w:tc>
        <w:tc>
          <w:tcPr>
            <w:tcW w:w="5811" w:type="dxa"/>
            <w:tcBorders>
              <w:top w:val="single" w:sz="4" w:space="0" w:color="auto"/>
            </w:tcBorders>
          </w:tcPr>
          <w:p w14:paraId="079FCF99" w14:textId="2874890B" w:rsidR="005F26B1" w:rsidRPr="000577B2" w:rsidRDefault="004F31F5" w:rsidP="00CC645A">
            <w:pPr>
              <w:pStyle w:val="Jacobnormal"/>
              <w:spacing w:line="240" w:lineRule="auto"/>
            </w:pPr>
            <w:r w:rsidRPr="000577B2">
              <w:t>Greece (49/9/</w:t>
            </w:r>
            <w:r w:rsidR="00BB2841" w:rsidRPr="000577B2">
              <w:t>4</w:t>
            </w:r>
            <w:r w:rsidRPr="000577B2">
              <w:t>)</w:t>
            </w:r>
          </w:p>
        </w:tc>
      </w:tr>
      <w:tr w:rsidR="005F26B1" w:rsidRPr="000577B2" w14:paraId="59D026AE" w14:textId="77777777" w:rsidTr="004045AE">
        <w:tc>
          <w:tcPr>
            <w:tcW w:w="959" w:type="dxa"/>
          </w:tcPr>
          <w:p w14:paraId="2A38D4DD" w14:textId="656F1C47" w:rsidR="005F26B1" w:rsidRPr="000577B2" w:rsidRDefault="005F26B1" w:rsidP="00CC645A">
            <w:pPr>
              <w:pStyle w:val="Jacobnormal"/>
              <w:spacing w:line="240" w:lineRule="auto"/>
            </w:pPr>
            <w:r w:rsidRPr="000577B2">
              <w:t>0.75</w:t>
            </w:r>
          </w:p>
        </w:tc>
        <w:tc>
          <w:tcPr>
            <w:tcW w:w="2302" w:type="dxa"/>
          </w:tcPr>
          <w:p w14:paraId="55434D37" w14:textId="77777777" w:rsidR="005F26B1" w:rsidRPr="000577B2" w:rsidRDefault="005F26B1" w:rsidP="00CC645A">
            <w:pPr>
              <w:pStyle w:val="Jacobnormal"/>
              <w:spacing w:line="240" w:lineRule="auto"/>
            </w:pPr>
            <w:r w:rsidRPr="000577B2">
              <w:t>High score on two of three measures</w:t>
            </w:r>
          </w:p>
          <w:p w14:paraId="614AF36E" w14:textId="5F157556" w:rsidR="00272CDC" w:rsidRPr="000577B2" w:rsidRDefault="00272CDC" w:rsidP="00CC645A">
            <w:pPr>
              <w:pStyle w:val="Jacobnormal"/>
              <w:spacing w:line="240" w:lineRule="auto"/>
            </w:pPr>
          </w:p>
        </w:tc>
        <w:tc>
          <w:tcPr>
            <w:tcW w:w="5811" w:type="dxa"/>
          </w:tcPr>
          <w:p w14:paraId="1369B84D" w14:textId="75D39B8F" w:rsidR="005F26B1" w:rsidRPr="000577B2" w:rsidRDefault="005F26B1" w:rsidP="00CC645A">
            <w:pPr>
              <w:pStyle w:val="Jacobnormal"/>
              <w:spacing w:line="240" w:lineRule="auto"/>
            </w:pPr>
            <w:r w:rsidRPr="000577B2">
              <w:t>Italy</w:t>
            </w:r>
            <w:r w:rsidR="004F31F5" w:rsidRPr="000577B2">
              <w:t xml:space="preserve"> (15/10</w:t>
            </w:r>
            <w:r w:rsidR="00BB2841" w:rsidRPr="000577B2">
              <w:t>/1),</w:t>
            </w:r>
            <w:r w:rsidRPr="000577B2">
              <w:t xml:space="preserve"> Spain</w:t>
            </w:r>
            <w:r w:rsidR="00BB2841" w:rsidRPr="000577B2">
              <w:t xml:space="preserve"> (14/10/0)</w:t>
            </w:r>
            <w:r w:rsidR="004F31F5" w:rsidRPr="000577B2">
              <w:t xml:space="preserve"> Germany</w:t>
            </w:r>
            <w:r w:rsidR="00BB2841" w:rsidRPr="000577B2">
              <w:t xml:space="preserve"> (7/5/4)</w:t>
            </w:r>
          </w:p>
        </w:tc>
      </w:tr>
      <w:tr w:rsidR="005F26B1" w:rsidRPr="000577B2" w14:paraId="50389574" w14:textId="77777777" w:rsidTr="004045AE">
        <w:tc>
          <w:tcPr>
            <w:tcW w:w="959" w:type="dxa"/>
          </w:tcPr>
          <w:p w14:paraId="2168D0B5" w14:textId="729CB76B" w:rsidR="005F26B1" w:rsidRPr="000577B2" w:rsidRDefault="005F26B1" w:rsidP="00CC645A">
            <w:pPr>
              <w:pStyle w:val="Jacobnormal"/>
              <w:spacing w:line="240" w:lineRule="auto"/>
            </w:pPr>
            <w:r w:rsidRPr="000577B2">
              <w:t>0.25</w:t>
            </w:r>
          </w:p>
        </w:tc>
        <w:tc>
          <w:tcPr>
            <w:tcW w:w="2302" w:type="dxa"/>
          </w:tcPr>
          <w:p w14:paraId="5FC7F642" w14:textId="77777777" w:rsidR="005F26B1" w:rsidRPr="000577B2" w:rsidRDefault="005F26B1" w:rsidP="00CC645A">
            <w:pPr>
              <w:pStyle w:val="Jacobnormal"/>
              <w:spacing w:line="240" w:lineRule="auto"/>
            </w:pPr>
            <w:r w:rsidRPr="000577B2">
              <w:t>High score on one of three measures</w:t>
            </w:r>
          </w:p>
          <w:p w14:paraId="4D1B6E05" w14:textId="35C19D9A" w:rsidR="00272CDC" w:rsidRPr="000577B2" w:rsidRDefault="00272CDC" w:rsidP="00CC645A">
            <w:pPr>
              <w:pStyle w:val="Jacobnormal"/>
              <w:spacing w:line="240" w:lineRule="auto"/>
            </w:pPr>
          </w:p>
        </w:tc>
        <w:tc>
          <w:tcPr>
            <w:tcW w:w="5811" w:type="dxa"/>
          </w:tcPr>
          <w:p w14:paraId="30588D7C" w14:textId="2EFA4142" w:rsidR="005F26B1" w:rsidRPr="000577B2" w:rsidRDefault="00BB2841" w:rsidP="00CC645A">
            <w:pPr>
              <w:pStyle w:val="Jacobnormal"/>
              <w:spacing w:line="240" w:lineRule="auto"/>
            </w:pPr>
            <w:r w:rsidRPr="000577B2">
              <w:t xml:space="preserve">Denmark (1/1/3), Sweden (0/0/4), </w:t>
            </w:r>
            <w:r w:rsidR="005F26B1" w:rsidRPr="000577B2">
              <w:t>France</w:t>
            </w:r>
            <w:r w:rsidRPr="000577B2">
              <w:t xml:space="preserve"> (0/0/2)</w:t>
            </w:r>
          </w:p>
        </w:tc>
      </w:tr>
      <w:tr w:rsidR="005F26B1" w:rsidRPr="00FF693D" w14:paraId="4172BF40" w14:textId="77777777" w:rsidTr="004045AE">
        <w:tc>
          <w:tcPr>
            <w:tcW w:w="959" w:type="dxa"/>
          </w:tcPr>
          <w:p w14:paraId="25CA60F4" w14:textId="013565BB" w:rsidR="005F26B1" w:rsidRPr="000577B2" w:rsidRDefault="005F26B1" w:rsidP="00CC645A">
            <w:pPr>
              <w:pStyle w:val="Jacobnormal"/>
              <w:spacing w:line="240" w:lineRule="auto"/>
            </w:pPr>
            <w:r w:rsidRPr="000577B2">
              <w:t>0</w:t>
            </w:r>
          </w:p>
        </w:tc>
        <w:tc>
          <w:tcPr>
            <w:tcW w:w="2302" w:type="dxa"/>
          </w:tcPr>
          <w:p w14:paraId="5FF63400" w14:textId="5F6C0304" w:rsidR="005F26B1" w:rsidRPr="000577B2" w:rsidRDefault="005F26B1" w:rsidP="00CC645A">
            <w:pPr>
              <w:pStyle w:val="Jacobnormal"/>
              <w:spacing w:line="240" w:lineRule="auto"/>
            </w:pPr>
            <w:r w:rsidRPr="000577B2">
              <w:t>Only low scores</w:t>
            </w:r>
          </w:p>
        </w:tc>
        <w:tc>
          <w:tcPr>
            <w:tcW w:w="5811" w:type="dxa"/>
          </w:tcPr>
          <w:p w14:paraId="0335C928" w14:textId="624B2C74" w:rsidR="005F26B1" w:rsidRPr="000544C7" w:rsidRDefault="00BB2841" w:rsidP="00CC645A">
            <w:pPr>
              <w:pStyle w:val="Jacobnormal"/>
              <w:spacing w:line="240" w:lineRule="auto"/>
              <w:rPr>
                <w:lang w:val="de-DE"/>
              </w:rPr>
            </w:pPr>
            <w:proofErr w:type="spellStart"/>
            <w:r w:rsidRPr="000544C7">
              <w:rPr>
                <w:lang w:val="de-DE"/>
              </w:rPr>
              <w:t>Netherlands</w:t>
            </w:r>
            <w:proofErr w:type="spellEnd"/>
            <w:r w:rsidRPr="000544C7">
              <w:rPr>
                <w:lang w:val="de-DE"/>
              </w:rPr>
              <w:t xml:space="preserve"> (2/0/1), </w:t>
            </w:r>
            <w:r w:rsidR="005F26B1" w:rsidRPr="000544C7">
              <w:rPr>
                <w:lang w:val="de-DE"/>
              </w:rPr>
              <w:t>UK</w:t>
            </w:r>
            <w:r w:rsidRPr="000544C7">
              <w:rPr>
                <w:lang w:val="de-DE"/>
              </w:rPr>
              <w:t xml:space="preserve"> (1/0/1)</w:t>
            </w:r>
            <w:r w:rsidR="005F26B1" w:rsidRPr="000544C7">
              <w:rPr>
                <w:lang w:val="de-DE"/>
              </w:rPr>
              <w:t>, Austria</w:t>
            </w:r>
            <w:r w:rsidRPr="000544C7">
              <w:rPr>
                <w:lang w:val="de-DE"/>
              </w:rPr>
              <w:t xml:space="preserve"> (0/0/0)</w:t>
            </w:r>
            <w:r w:rsidR="005F26B1" w:rsidRPr="000544C7">
              <w:rPr>
                <w:lang w:val="de-DE"/>
              </w:rPr>
              <w:t xml:space="preserve">, </w:t>
            </w:r>
            <w:proofErr w:type="spellStart"/>
            <w:r w:rsidR="005F26B1" w:rsidRPr="000544C7">
              <w:rPr>
                <w:lang w:val="de-DE"/>
              </w:rPr>
              <w:t>Belgium</w:t>
            </w:r>
            <w:proofErr w:type="spellEnd"/>
            <w:r w:rsidRPr="000544C7">
              <w:rPr>
                <w:lang w:val="de-DE"/>
              </w:rPr>
              <w:t xml:space="preserve"> (0/0/0)</w:t>
            </w:r>
            <w:r w:rsidR="005F26B1" w:rsidRPr="000544C7">
              <w:rPr>
                <w:lang w:val="de-DE"/>
              </w:rPr>
              <w:t xml:space="preserve">, </w:t>
            </w:r>
            <w:proofErr w:type="spellStart"/>
            <w:r w:rsidR="005F26B1" w:rsidRPr="000544C7">
              <w:rPr>
                <w:lang w:val="de-DE"/>
              </w:rPr>
              <w:t>Norway</w:t>
            </w:r>
            <w:proofErr w:type="spellEnd"/>
            <w:r w:rsidRPr="000544C7">
              <w:rPr>
                <w:lang w:val="de-DE"/>
              </w:rPr>
              <w:t xml:space="preserve"> (0/0/0)</w:t>
            </w:r>
            <w:r w:rsidR="005F26B1" w:rsidRPr="000544C7">
              <w:rPr>
                <w:lang w:val="de-DE"/>
              </w:rPr>
              <w:t xml:space="preserve">, </w:t>
            </w:r>
            <w:proofErr w:type="spellStart"/>
            <w:r w:rsidR="005F26B1" w:rsidRPr="000544C7">
              <w:rPr>
                <w:lang w:val="de-DE"/>
              </w:rPr>
              <w:t>Switzerland</w:t>
            </w:r>
            <w:proofErr w:type="spellEnd"/>
            <w:r w:rsidRPr="000544C7">
              <w:rPr>
                <w:lang w:val="de-DE"/>
              </w:rPr>
              <w:t xml:space="preserve"> (0/0/0),</w:t>
            </w:r>
            <w:r w:rsidR="005F26B1" w:rsidRPr="000544C7">
              <w:rPr>
                <w:lang w:val="de-DE"/>
              </w:rPr>
              <w:t xml:space="preserve"> </w:t>
            </w:r>
            <w:proofErr w:type="spellStart"/>
            <w:r w:rsidR="005F26B1" w:rsidRPr="000544C7">
              <w:rPr>
                <w:lang w:val="de-DE"/>
              </w:rPr>
              <w:t>Finland</w:t>
            </w:r>
            <w:proofErr w:type="spellEnd"/>
            <w:r w:rsidRPr="000544C7">
              <w:rPr>
                <w:lang w:val="de-DE"/>
              </w:rPr>
              <w:t xml:space="preserve"> (0/0/0)</w:t>
            </w:r>
            <w:r w:rsidR="005F26B1" w:rsidRPr="000544C7">
              <w:rPr>
                <w:lang w:val="de-DE"/>
              </w:rPr>
              <w:t xml:space="preserve">, </w:t>
            </w:r>
            <w:proofErr w:type="spellStart"/>
            <w:r w:rsidR="005F26B1" w:rsidRPr="000544C7">
              <w:rPr>
                <w:lang w:val="de-DE"/>
              </w:rPr>
              <w:t>Iceland</w:t>
            </w:r>
            <w:proofErr w:type="spellEnd"/>
            <w:r w:rsidRPr="000544C7">
              <w:rPr>
                <w:lang w:val="de-DE"/>
              </w:rPr>
              <w:t xml:space="preserve"> (0/0/0)</w:t>
            </w:r>
            <w:r w:rsidR="005F26B1" w:rsidRPr="000544C7">
              <w:rPr>
                <w:lang w:val="de-DE"/>
              </w:rPr>
              <w:t xml:space="preserve">, </w:t>
            </w:r>
            <w:proofErr w:type="spellStart"/>
            <w:r w:rsidR="005F26B1" w:rsidRPr="000544C7">
              <w:rPr>
                <w:lang w:val="de-DE"/>
              </w:rPr>
              <w:t>Ireland</w:t>
            </w:r>
            <w:proofErr w:type="spellEnd"/>
            <w:r w:rsidRPr="000544C7">
              <w:rPr>
                <w:lang w:val="de-DE"/>
              </w:rPr>
              <w:t xml:space="preserve"> (0/0/0)</w:t>
            </w:r>
            <w:r w:rsidR="005F26B1" w:rsidRPr="000544C7">
              <w:rPr>
                <w:lang w:val="de-DE"/>
              </w:rPr>
              <w:t>, Luxemburg</w:t>
            </w:r>
            <w:r w:rsidRPr="000544C7">
              <w:rPr>
                <w:lang w:val="de-DE"/>
              </w:rPr>
              <w:t xml:space="preserve"> (0/0/0)</w:t>
            </w:r>
            <w:r w:rsidR="005F26B1" w:rsidRPr="000544C7">
              <w:rPr>
                <w:lang w:val="de-DE"/>
              </w:rPr>
              <w:t>, Portugal</w:t>
            </w:r>
            <w:r w:rsidRPr="000544C7">
              <w:rPr>
                <w:lang w:val="de-DE"/>
              </w:rPr>
              <w:t xml:space="preserve"> (0/0/0)</w:t>
            </w:r>
          </w:p>
        </w:tc>
      </w:tr>
    </w:tbl>
    <w:p w14:paraId="2B9953EC" w14:textId="4012852C" w:rsidR="006E4391" w:rsidRDefault="005F26B1" w:rsidP="006E4391">
      <w:pPr>
        <w:spacing w:before="120" w:line="240" w:lineRule="auto"/>
      </w:pPr>
      <w:r w:rsidRPr="000577B2">
        <w:rPr>
          <w:i/>
        </w:rPr>
        <w:t>Sources:</w:t>
      </w:r>
      <w:r w:rsidR="007C0384" w:rsidRPr="000577B2">
        <w:t xml:space="preserve"> TWEED</w:t>
      </w:r>
      <w:r w:rsidR="00621C05" w:rsidRPr="000577B2">
        <w:t xml:space="preserve"> dataset, available at</w:t>
      </w:r>
      <w:r w:rsidR="007C0384" w:rsidRPr="000577B2">
        <w:t xml:space="preserve"> </w:t>
      </w:r>
      <w:hyperlink r:id="rId14" w:history="1">
        <w:r w:rsidR="007C0384" w:rsidRPr="000577B2">
          <w:rPr>
            <w:rStyle w:val="Hyperlink"/>
          </w:rPr>
          <w:t>http://folk.uib.no/sspje/tweed.htm</w:t>
        </w:r>
      </w:hyperlink>
      <w:r w:rsidR="007C0384" w:rsidRPr="000577B2">
        <w:t xml:space="preserve">; DTV dataset, available at </w:t>
      </w:r>
      <w:hyperlink r:id="rId15" w:history="1">
        <w:r w:rsidR="007C0384" w:rsidRPr="000577B2">
          <w:rPr>
            <w:rStyle w:val="Hyperlink"/>
          </w:rPr>
          <w:t>https://dataverse.harvard.edu/dataset.xhtml?persistentId=hdl:1902.1/14717</w:t>
        </w:r>
      </w:hyperlink>
      <w:r w:rsidR="007C0384" w:rsidRPr="000577B2">
        <w:t xml:space="preserve">; Europol’s annual Terrorism Trend and Situation (TE-SAT) reports, available at </w:t>
      </w:r>
      <w:hyperlink r:id="rId16" w:history="1">
        <w:r w:rsidR="007C0384" w:rsidRPr="000577B2">
          <w:rPr>
            <w:rStyle w:val="Hyperlink"/>
          </w:rPr>
          <w:t>https://www.europol.europa.eu/activities-services/main-reports/eu-terrorism-situation-and-trend-report</w:t>
        </w:r>
      </w:hyperlink>
      <w:r w:rsidR="007C0384" w:rsidRPr="000577B2">
        <w:t>; survey sent to five left-wing militants, asking them to rank their own movement’s size and visibility in different West European countries (one activist refused to answer)</w:t>
      </w:r>
      <w:r w:rsidR="001A72EC">
        <w:t>.</w:t>
      </w:r>
    </w:p>
    <w:p w14:paraId="218BC8E5" w14:textId="77777777" w:rsidR="006E4391" w:rsidRDefault="006E4391">
      <w:r>
        <w:br w:type="page"/>
      </w:r>
    </w:p>
    <w:p w14:paraId="1150BCBC" w14:textId="011D06A4" w:rsidR="006E4391" w:rsidRPr="000577B2" w:rsidRDefault="006E4391" w:rsidP="006E4391">
      <w:pPr>
        <w:spacing w:before="120" w:line="240" w:lineRule="auto"/>
        <w:sectPr w:rsidR="006E4391" w:rsidRPr="000577B2">
          <w:pgSz w:w="11906" w:h="16838"/>
          <w:pgMar w:top="1417" w:right="1417" w:bottom="1417" w:left="1417" w:header="708" w:footer="708" w:gutter="0"/>
          <w:cols w:space="708"/>
          <w:docGrid w:linePitch="360"/>
        </w:sectPr>
      </w:pPr>
    </w:p>
    <w:p w14:paraId="0B556037" w14:textId="77777777" w:rsidR="00FC0A94" w:rsidRDefault="00FC0A94" w:rsidP="00FC0A94">
      <w:pPr>
        <w:pStyle w:val="Jacoboverskrift2"/>
      </w:pPr>
      <w:bookmarkStart w:id="4" w:name="_Toc496794573"/>
      <w:r>
        <w:lastRenderedPageBreak/>
        <w:t>Truth table</w:t>
      </w:r>
      <w:bookmarkEnd w:id="4"/>
    </w:p>
    <w:p w14:paraId="46F49BE3" w14:textId="39CFD322" w:rsidR="00FC0A94" w:rsidRPr="00FC0A94" w:rsidRDefault="00FC0A94" w:rsidP="00FC0A94">
      <w:pPr>
        <w:rPr>
          <w:rFonts w:eastAsiaTheme="majorEastAsia" w:cstheme="majorBidi"/>
          <w:b/>
          <w:bCs/>
          <w:szCs w:val="26"/>
        </w:rPr>
      </w:pPr>
    </w:p>
    <w:tbl>
      <w:tblPr>
        <w:tblW w:w="11057" w:type="dxa"/>
        <w:tblInd w:w="1134"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4A0" w:firstRow="1" w:lastRow="0" w:firstColumn="1" w:lastColumn="0" w:noHBand="0" w:noVBand="1"/>
      </w:tblPr>
      <w:tblGrid>
        <w:gridCol w:w="851"/>
        <w:gridCol w:w="980"/>
        <w:gridCol w:w="967"/>
        <w:gridCol w:w="860"/>
        <w:gridCol w:w="913"/>
        <w:gridCol w:w="1127"/>
        <w:gridCol w:w="1167"/>
        <w:gridCol w:w="1020"/>
        <w:gridCol w:w="1314"/>
        <w:gridCol w:w="1858"/>
      </w:tblGrid>
      <w:tr w:rsidR="00FC0A94" w:rsidRPr="006E4391" w14:paraId="6039CA65" w14:textId="77777777" w:rsidTr="00FC0A94">
        <w:trPr>
          <w:trHeight w:val="300"/>
        </w:trPr>
        <w:tc>
          <w:tcPr>
            <w:tcW w:w="11057" w:type="dxa"/>
            <w:gridSpan w:val="10"/>
            <w:tcBorders>
              <w:left w:val="nil"/>
              <w:right w:val="nil"/>
            </w:tcBorders>
            <w:shd w:val="clear" w:color="auto" w:fill="auto"/>
            <w:noWrap/>
            <w:vAlign w:val="bottom"/>
          </w:tcPr>
          <w:p w14:paraId="310D2463"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i/>
                <w:color w:val="000000"/>
                <w:lang w:val="nb-NO" w:eastAsia="nb-NO"/>
              </w:rPr>
              <w:t>Table</w:t>
            </w:r>
            <w:proofErr w:type="spellEnd"/>
            <w:r w:rsidRPr="006E4391">
              <w:rPr>
                <w:rFonts w:eastAsia="Times New Roman"/>
                <w:i/>
                <w:color w:val="000000"/>
                <w:lang w:val="nb-NO" w:eastAsia="nb-NO"/>
              </w:rPr>
              <w:t xml:space="preserve"> 10. </w:t>
            </w:r>
            <w:proofErr w:type="spellStart"/>
            <w:r w:rsidRPr="006E4391">
              <w:rPr>
                <w:rFonts w:eastAsia="Times New Roman"/>
                <w:color w:val="000000"/>
                <w:lang w:val="nb-NO" w:eastAsia="nb-NO"/>
              </w:rPr>
              <w:t>Truth</w:t>
            </w:r>
            <w:proofErr w:type="spellEnd"/>
            <w:r w:rsidRPr="006E4391">
              <w:rPr>
                <w:rFonts w:eastAsia="Times New Roman"/>
                <w:color w:val="000000"/>
                <w:lang w:val="nb-NO" w:eastAsia="nb-NO"/>
              </w:rPr>
              <w:t xml:space="preserve"> </w:t>
            </w:r>
            <w:proofErr w:type="spellStart"/>
            <w:r w:rsidRPr="006E4391">
              <w:rPr>
                <w:rFonts w:eastAsia="Times New Roman"/>
                <w:color w:val="000000"/>
                <w:lang w:val="nb-NO" w:eastAsia="nb-NO"/>
              </w:rPr>
              <w:t>table</w:t>
            </w:r>
            <w:proofErr w:type="spellEnd"/>
          </w:p>
        </w:tc>
      </w:tr>
      <w:tr w:rsidR="00FC0A94" w:rsidRPr="006E4391" w14:paraId="3A857E1F" w14:textId="77777777" w:rsidTr="00FC0A94">
        <w:trPr>
          <w:trHeight w:val="300"/>
        </w:trPr>
        <w:tc>
          <w:tcPr>
            <w:tcW w:w="851" w:type="dxa"/>
            <w:tcBorders>
              <w:left w:val="nil"/>
            </w:tcBorders>
            <w:shd w:val="clear" w:color="auto" w:fill="auto"/>
            <w:noWrap/>
            <w:vAlign w:val="bottom"/>
            <w:hideMark/>
          </w:tcPr>
          <w:p w14:paraId="24167C21"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Rows</w:t>
            </w:r>
            <w:proofErr w:type="spellEnd"/>
          </w:p>
        </w:tc>
        <w:tc>
          <w:tcPr>
            <w:tcW w:w="980" w:type="dxa"/>
            <w:shd w:val="clear" w:color="auto" w:fill="auto"/>
            <w:noWrap/>
            <w:vAlign w:val="bottom"/>
            <w:hideMark/>
          </w:tcPr>
          <w:p w14:paraId="0DA4C5FF"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diversity</w:t>
            </w:r>
            <w:proofErr w:type="spellEnd"/>
          </w:p>
        </w:tc>
        <w:tc>
          <w:tcPr>
            <w:tcW w:w="967" w:type="dxa"/>
            <w:shd w:val="clear" w:color="auto" w:fill="auto"/>
            <w:noWrap/>
            <w:vAlign w:val="bottom"/>
            <w:hideMark/>
          </w:tcPr>
          <w:p w14:paraId="054C9079"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hardship</w:t>
            </w:r>
            <w:proofErr w:type="spellEnd"/>
          </w:p>
        </w:tc>
        <w:tc>
          <w:tcPr>
            <w:tcW w:w="860" w:type="dxa"/>
            <w:shd w:val="clear" w:color="auto" w:fill="auto"/>
            <w:noWrap/>
            <w:vAlign w:val="bottom"/>
            <w:hideMark/>
          </w:tcPr>
          <w:p w14:paraId="654F1459"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support</w:t>
            </w:r>
          </w:p>
        </w:tc>
        <w:tc>
          <w:tcPr>
            <w:tcW w:w="913" w:type="dxa"/>
            <w:shd w:val="clear" w:color="auto" w:fill="auto"/>
            <w:noWrap/>
            <w:vAlign w:val="bottom"/>
            <w:hideMark/>
          </w:tcPr>
          <w:p w14:paraId="25CC827C"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legacies</w:t>
            </w:r>
            <w:proofErr w:type="spellEnd"/>
          </w:p>
        </w:tc>
        <w:tc>
          <w:tcPr>
            <w:tcW w:w="1127" w:type="dxa"/>
            <w:shd w:val="clear" w:color="auto" w:fill="auto"/>
            <w:noWrap/>
            <w:vAlign w:val="bottom"/>
            <w:hideMark/>
          </w:tcPr>
          <w:p w14:paraId="31B694F5"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repression</w:t>
            </w:r>
            <w:proofErr w:type="spellEnd"/>
          </w:p>
        </w:tc>
        <w:tc>
          <w:tcPr>
            <w:tcW w:w="1167" w:type="dxa"/>
            <w:shd w:val="clear" w:color="auto" w:fill="auto"/>
            <w:noWrap/>
            <w:vAlign w:val="bottom"/>
            <w:hideMark/>
          </w:tcPr>
          <w:p w14:paraId="447D408A"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aggression</w:t>
            </w:r>
            <w:proofErr w:type="spellEnd"/>
          </w:p>
        </w:tc>
        <w:tc>
          <w:tcPr>
            <w:tcW w:w="1020" w:type="dxa"/>
            <w:shd w:val="clear" w:color="auto" w:fill="auto"/>
            <w:noWrap/>
            <w:vAlign w:val="bottom"/>
            <w:hideMark/>
          </w:tcPr>
          <w:p w14:paraId="1421B731"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Outcome</w:t>
            </w:r>
            <w:proofErr w:type="spellEnd"/>
          </w:p>
        </w:tc>
        <w:tc>
          <w:tcPr>
            <w:tcW w:w="1314" w:type="dxa"/>
            <w:shd w:val="clear" w:color="auto" w:fill="auto"/>
            <w:noWrap/>
            <w:vAlign w:val="bottom"/>
            <w:hideMark/>
          </w:tcPr>
          <w:p w14:paraId="6C7D8A18"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Consistency</w:t>
            </w:r>
            <w:proofErr w:type="spellEnd"/>
          </w:p>
        </w:tc>
        <w:tc>
          <w:tcPr>
            <w:tcW w:w="1858" w:type="dxa"/>
            <w:tcBorders>
              <w:right w:val="nil"/>
            </w:tcBorders>
            <w:shd w:val="clear" w:color="auto" w:fill="auto"/>
            <w:noWrap/>
            <w:vAlign w:val="bottom"/>
            <w:hideMark/>
          </w:tcPr>
          <w:p w14:paraId="2727BCDF"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Cases</w:t>
            </w:r>
          </w:p>
        </w:tc>
      </w:tr>
      <w:tr w:rsidR="00FC0A94" w:rsidRPr="006E4391" w14:paraId="68AF679D" w14:textId="77777777" w:rsidTr="00FC0A94">
        <w:trPr>
          <w:trHeight w:val="300"/>
        </w:trPr>
        <w:tc>
          <w:tcPr>
            <w:tcW w:w="851" w:type="dxa"/>
            <w:tcBorders>
              <w:left w:val="nil"/>
            </w:tcBorders>
            <w:shd w:val="clear" w:color="auto" w:fill="auto"/>
            <w:noWrap/>
            <w:vAlign w:val="bottom"/>
            <w:hideMark/>
          </w:tcPr>
          <w:p w14:paraId="2E442D33"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80" w:type="dxa"/>
            <w:shd w:val="clear" w:color="auto" w:fill="auto"/>
            <w:noWrap/>
            <w:vAlign w:val="bottom"/>
            <w:hideMark/>
          </w:tcPr>
          <w:p w14:paraId="0886D160"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371B0D2B"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860" w:type="dxa"/>
            <w:shd w:val="clear" w:color="auto" w:fill="auto"/>
            <w:noWrap/>
            <w:vAlign w:val="bottom"/>
            <w:hideMark/>
          </w:tcPr>
          <w:p w14:paraId="23D4F46D"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13" w:type="dxa"/>
            <w:shd w:val="clear" w:color="auto" w:fill="auto"/>
            <w:noWrap/>
            <w:vAlign w:val="bottom"/>
            <w:hideMark/>
          </w:tcPr>
          <w:p w14:paraId="3BB1D03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27" w:type="dxa"/>
            <w:shd w:val="clear" w:color="auto" w:fill="auto"/>
            <w:noWrap/>
            <w:vAlign w:val="bottom"/>
            <w:hideMark/>
          </w:tcPr>
          <w:p w14:paraId="2F8DA6E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67" w:type="dxa"/>
            <w:shd w:val="clear" w:color="auto" w:fill="auto"/>
            <w:noWrap/>
            <w:vAlign w:val="bottom"/>
            <w:hideMark/>
          </w:tcPr>
          <w:p w14:paraId="68497683"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020" w:type="dxa"/>
            <w:shd w:val="clear" w:color="auto" w:fill="auto"/>
            <w:noWrap/>
            <w:vAlign w:val="bottom"/>
            <w:hideMark/>
          </w:tcPr>
          <w:p w14:paraId="65546411"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314" w:type="dxa"/>
            <w:shd w:val="clear" w:color="auto" w:fill="auto"/>
            <w:noWrap/>
            <w:vAlign w:val="bottom"/>
            <w:hideMark/>
          </w:tcPr>
          <w:p w14:paraId="718FD04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1.00</w:t>
            </w:r>
          </w:p>
        </w:tc>
        <w:tc>
          <w:tcPr>
            <w:tcW w:w="1858" w:type="dxa"/>
            <w:tcBorders>
              <w:right w:val="nil"/>
            </w:tcBorders>
            <w:shd w:val="clear" w:color="auto" w:fill="auto"/>
            <w:noWrap/>
            <w:vAlign w:val="bottom"/>
            <w:hideMark/>
          </w:tcPr>
          <w:p w14:paraId="3535B6B7"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GER</w:t>
            </w:r>
          </w:p>
        </w:tc>
      </w:tr>
      <w:tr w:rsidR="00FC0A94" w:rsidRPr="006E4391" w14:paraId="328E963F" w14:textId="77777777" w:rsidTr="00FC0A94">
        <w:trPr>
          <w:trHeight w:val="300"/>
        </w:trPr>
        <w:tc>
          <w:tcPr>
            <w:tcW w:w="851" w:type="dxa"/>
            <w:tcBorders>
              <w:left w:val="nil"/>
            </w:tcBorders>
            <w:shd w:val="clear" w:color="auto" w:fill="auto"/>
            <w:noWrap/>
            <w:vAlign w:val="bottom"/>
            <w:hideMark/>
          </w:tcPr>
          <w:p w14:paraId="2C26E9C6"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2</w:t>
            </w:r>
          </w:p>
        </w:tc>
        <w:tc>
          <w:tcPr>
            <w:tcW w:w="980" w:type="dxa"/>
            <w:shd w:val="clear" w:color="auto" w:fill="auto"/>
            <w:noWrap/>
            <w:vAlign w:val="bottom"/>
            <w:hideMark/>
          </w:tcPr>
          <w:p w14:paraId="6BE30E72"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00AE0A21"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860" w:type="dxa"/>
            <w:shd w:val="clear" w:color="auto" w:fill="auto"/>
            <w:noWrap/>
            <w:vAlign w:val="bottom"/>
            <w:hideMark/>
          </w:tcPr>
          <w:p w14:paraId="2FC737E1"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13" w:type="dxa"/>
            <w:shd w:val="clear" w:color="auto" w:fill="auto"/>
            <w:noWrap/>
            <w:vAlign w:val="bottom"/>
            <w:hideMark/>
          </w:tcPr>
          <w:p w14:paraId="08B78CC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27" w:type="dxa"/>
            <w:shd w:val="clear" w:color="auto" w:fill="auto"/>
            <w:noWrap/>
            <w:vAlign w:val="bottom"/>
            <w:hideMark/>
          </w:tcPr>
          <w:p w14:paraId="04A1868E"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43B3AAE6"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020" w:type="dxa"/>
            <w:shd w:val="clear" w:color="auto" w:fill="auto"/>
            <w:noWrap/>
            <w:vAlign w:val="bottom"/>
            <w:hideMark/>
          </w:tcPr>
          <w:p w14:paraId="5EB00950"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314" w:type="dxa"/>
            <w:shd w:val="clear" w:color="auto" w:fill="auto"/>
            <w:noWrap/>
            <w:vAlign w:val="bottom"/>
            <w:hideMark/>
          </w:tcPr>
          <w:p w14:paraId="22623CC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1.00</w:t>
            </w:r>
          </w:p>
        </w:tc>
        <w:tc>
          <w:tcPr>
            <w:tcW w:w="1858" w:type="dxa"/>
            <w:tcBorders>
              <w:right w:val="nil"/>
            </w:tcBorders>
            <w:shd w:val="clear" w:color="auto" w:fill="auto"/>
            <w:noWrap/>
            <w:vAlign w:val="bottom"/>
            <w:hideMark/>
          </w:tcPr>
          <w:p w14:paraId="2DC325D1"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GRE, SPA</w:t>
            </w:r>
          </w:p>
        </w:tc>
      </w:tr>
      <w:tr w:rsidR="00FC0A94" w:rsidRPr="006E4391" w14:paraId="02E97C15" w14:textId="77777777" w:rsidTr="00FC0A94">
        <w:trPr>
          <w:trHeight w:val="300"/>
        </w:trPr>
        <w:tc>
          <w:tcPr>
            <w:tcW w:w="851" w:type="dxa"/>
            <w:tcBorders>
              <w:left w:val="nil"/>
            </w:tcBorders>
            <w:shd w:val="clear" w:color="auto" w:fill="auto"/>
            <w:noWrap/>
            <w:vAlign w:val="bottom"/>
            <w:hideMark/>
          </w:tcPr>
          <w:p w14:paraId="2326C821"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3</w:t>
            </w:r>
          </w:p>
        </w:tc>
        <w:tc>
          <w:tcPr>
            <w:tcW w:w="980" w:type="dxa"/>
            <w:shd w:val="clear" w:color="auto" w:fill="auto"/>
            <w:noWrap/>
            <w:vAlign w:val="bottom"/>
            <w:hideMark/>
          </w:tcPr>
          <w:p w14:paraId="21D85A4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67" w:type="dxa"/>
            <w:shd w:val="clear" w:color="auto" w:fill="auto"/>
            <w:noWrap/>
            <w:vAlign w:val="bottom"/>
            <w:hideMark/>
          </w:tcPr>
          <w:p w14:paraId="040C29CB"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860" w:type="dxa"/>
            <w:shd w:val="clear" w:color="auto" w:fill="auto"/>
            <w:noWrap/>
            <w:vAlign w:val="bottom"/>
            <w:hideMark/>
          </w:tcPr>
          <w:p w14:paraId="61ABF59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13" w:type="dxa"/>
            <w:shd w:val="clear" w:color="auto" w:fill="auto"/>
            <w:noWrap/>
            <w:vAlign w:val="bottom"/>
            <w:hideMark/>
          </w:tcPr>
          <w:p w14:paraId="1CFA499A"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27" w:type="dxa"/>
            <w:shd w:val="clear" w:color="auto" w:fill="auto"/>
            <w:noWrap/>
            <w:vAlign w:val="bottom"/>
            <w:hideMark/>
          </w:tcPr>
          <w:p w14:paraId="48E649F3"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45AFC12D"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020" w:type="dxa"/>
            <w:shd w:val="clear" w:color="auto" w:fill="auto"/>
            <w:noWrap/>
            <w:vAlign w:val="bottom"/>
            <w:hideMark/>
          </w:tcPr>
          <w:p w14:paraId="0292A348"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314" w:type="dxa"/>
            <w:shd w:val="clear" w:color="auto" w:fill="auto"/>
            <w:noWrap/>
            <w:vAlign w:val="bottom"/>
            <w:hideMark/>
          </w:tcPr>
          <w:p w14:paraId="4E8EC305"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1.00</w:t>
            </w:r>
          </w:p>
        </w:tc>
        <w:tc>
          <w:tcPr>
            <w:tcW w:w="1858" w:type="dxa"/>
            <w:tcBorders>
              <w:right w:val="nil"/>
            </w:tcBorders>
            <w:shd w:val="clear" w:color="auto" w:fill="auto"/>
            <w:noWrap/>
            <w:vAlign w:val="bottom"/>
            <w:hideMark/>
          </w:tcPr>
          <w:p w14:paraId="55DC63B2"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ITA</w:t>
            </w:r>
          </w:p>
        </w:tc>
      </w:tr>
      <w:tr w:rsidR="00FC0A94" w:rsidRPr="006E4391" w14:paraId="194F6531" w14:textId="77777777" w:rsidTr="00FC0A94">
        <w:trPr>
          <w:trHeight w:val="300"/>
        </w:trPr>
        <w:tc>
          <w:tcPr>
            <w:tcW w:w="851" w:type="dxa"/>
            <w:tcBorders>
              <w:left w:val="nil"/>
            </w:tcBorders>
            <w:shd w:val="clear" w:color="auto" w:fill="auto"/>
            <w:noWrap/>
            <w:vAlign w:val="bottom"/>
            <w:hideMark/>
          </w:tcPr>
          <w:p w14:paraId="5249F1FE"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4</w:t>
            </w:r>
          </w:p>
        </w:tc>
        <w:tc>
          <w:tcPr>
            <w:tcW w:w="980" w:type="dxa"/>
            <w:shd w:val="clear" w:color="auto" w:fill="auto"/>
            <w:noWrap/>
            <w:vAlign w:val="bottom"/>
            <w:hideMark/>
          </w:tcPr>
          <w:p w14:paraId="79D5783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0D729A46"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860" w:type="dxa"/>
            <w:shd w:val="clear" w:color="auto" w:fill="auto"/>
            <w:noWrap/>
            <w:vAlign w:val="bottom"/>
            <w:hideMark/>
          </w:tcPr>
          <w:p w14:paraId="0095284E"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13" w:type="dxa"/>
            <w:shd w:val="clear" w:color="auto" w:fill="auto"/>
            <w:noWrap/>
            <w:vAlign w:val="bottom"/>
            <w:hideMark/>
          </w:tcPr>
          <w:p w14:paraId="7537E6A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27" w:type="dxa"/>
            <w:shd w:val="clear" w:color="auto" w:fill="auto"/>
            <w:noWrap/>
            <w:vAlign w:val="bottom"/>
            <w:hideMark/>
          </w:tcPr>
          <w:p w14:paraId="7C980528"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67" w:type="dxa"/>
            <w:shd w:val="clear" w:color="auto" w:fill="auto"/>
            <w:noWrap/>
            <w:vAlign w:val="bottom"/>
            <w:hideMark/>
          </w:tcPr>
          <w:p w14:paraId="6F0AC458"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0B1B44B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314" w:type="dxa"/>
            <w:shd w:val="clear" w:color="auto" w:fill="auto"/>
            <w:noWrap/>
            <w:vAlign w:val="bottom"/>
            <w:hideMark/>
          </w:tcPr>
          <w:p w14:paraId="3027740D"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0.82</w:t>
            </w:r>
          </w:p>
        </w:tc>
        <w:tc>
          <w:tcPr>
            <w:tcW w:w="1858" w:type="dxa"/>
            <w:tcBorders>
              <w:right w:val="nil"/>
            </w:tcBorders>
            <w:shd w:val="clear" w:color="auto" w:fill="auto"/>
            <w:noWrap/>
            <w:vAlign w:val="bottom"/>
            <w:hideMark/>
          </w:tcPr>
          <w:p w14:paraId="749BD536"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SWE, UK, NED</w:t>
            </w:r>
          </w:p>
        </w:tc>
      </w:tr>
      <w:tr w:rsidR="00FC0A94" w:rsidRPr="006E4391" w14:paraId="60D65F95" w14:textId="77777777" w:rsidTr="00FC0A94">
        <w:trPr>
          <w:trHeight w:val="300"/>
        </w:trPr>
        <w:tc>
          <w:tcPr>
            <w:tcW w:w="851" w:type="dxa"/>
            <w:tcBorders>
              <w:left w:val="nil"/>
            </w:tcBorders>
            <w:shd w:val="clear" w:color="auto" w:fill="auto"/>
            <w:noWrap/>
            <w:vAlign w:val="bottom"/>
            <w:hideMark/>
          </w:tcPr>
          <w:p w14:paraId="15E9C3E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5</w:t>
            </w:r>
          </w:p>
        </w:tc>
        <w:tc>
          <w:tcPr>
            <w:tcW w:w="980" w:type="dxa"/>
            <w:shd w:val="clear" w:color="auto" w:fill="auto"/>
            <w:noWrap/>
            <w:vAlign w:val="bottom"/>
            <w:hideMark/>
          </w:tcPr>
          <w:p w14:paraId="440DF446"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6660FC7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860" w:type="dxa"/>
            <w:shd w:val="clear" w:color="auto" w:fill="auto"/>
            <w:noWrap/>
            <w:vAlign w:val="bottom"/>
            <w:hideMark/>
          </w:tcPr>
          <w:p w14:paraId="31C255A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13" w:type="dxa"/>
            <w:shd w:val="clear" w:color="auto" w:fill="auto"/>
            <w:noWrap/>
            <w:vAlign w:val="bottom"/>
            <w:hideMark/>
          </w:tcPr>
          <w:p w14:paraId="075D654E"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27" w:type="dxa"/>
            <w:shd w:val="clear" w:color="auto" w:fill="auto"/>
            <w:noWrap/>
            <w:vAlign w:val="bottom"/>
            <w:hideMark/>
          </w:tcPr>
          <w:p w14:paraId="25040F32"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27C7AAF0"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31F56E63"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314" w:type="dxa"/>
            <w:shd w:val="clear" w:color="auto" w:fill="auto"/>
            <w:noWrap/>
            <w:vAlign w:val="bottom"/>
            <w:hideMark/>
          </w:tcPr>
          <w:p w14:paraId="2F98A475"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0.70</w:t>
            </w:r>
          </w:p>
        </w:tc>
        <w:tc>
          <w:tcPr>
            <w:tcW w:w="1858" w:type="dxa"/>
            <w:tcBorders>
              <w:right w:val="nil"/>
            </w:tcBorders>
            <w:shd w:val="clear" w:color="auto" w:fill="auto"/>
            <w:noWrap/>
            <w:vAlign w:val="bottom"/>
            <w:hideMark/>
          </w:tcPr>
          <w:p w14:paraId="0DE9E3D7"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LUX</w:t>
            </w:r>
          </w:p>
        </w:tc>
      </w:tr>
      <w:tr w:rsidR="00FC0A94" w:rsidRPr="006E4391" w14:paraId="32B5F7A0" w14:textId="77777777" w:rsidTr="00FC0A94">
        <w:trPr>
          <w:trHeight w:val="300"/>
        </w:trPr>
        <w:tc>
          <w:tcPr>
            <w:tcW w:w="851" w:type="dxa"/>
            <w:tcBorders>
              <w:left w:val="nil"/>
            </w:tcBorders>
            <w:shd w:val="clear" w:color="auto" w:fill="auto"/>
            <w:noWrap/>
            <w:vAlign w:val="bottom"/>
            <w:hideMark/>
          </w:tcPr>
          <w:p w14:paraId="1B1DC4FA"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6</w:t>
            </w:r>
          </w:p>
        </w:tc>
        <w:tc>
          <w:tcPr>
            <w:tcW w:w="980" w:type="dxa"/>
            <w:shd w:val="clear" w:color="auto" w:fill="auto"/>
            <w:noWrap/>
            <w:vAlign w:val="bottom"/>
            <w:hideMark/>
          </w:tcPr>
          <w:p w14:paraId="601A693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70440866"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860" w:type="dxa"/>
            <w:shd w:val="clear" w:color="auto" w:fill="auto"/>
            <w:noWrap/>
            <w:vAlign w:val="bottom"/>
            <w:hideMark/>
          </w:tcPr>
          <w:p w14:paraId="7D03169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13" w:type="dxa"/>
            <w:shd w:val="clear" w:color="auto" w:fill="auto"/>
            <w:noWrap/>
            <w:vAlign w:val="bottom"/>
            <w:hideMark/>
          </w:tcPr>
          <w:p w14:paraId="7A8630C3"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27" w:type="dxa"/>
            <w:shd w:val="clear" w:color="auto" w:fill="auto"/>
            <w:noWrap/>
            <w:vAlign w:val="bottom"/>
            <w:hideMark/>
          </w:tcPr>
          <w:p w14:paraId="09099291"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4F48838A"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2BEB2E2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314" w:type="dxa"/>
            <w:shd w:val="clear" w:color="auto" w:fill="auto"/>
            <w:noWrap/>
            <w:vAlign w:val="bottom"/>
            <w:hideMark/>
          </w:tcPr>
          <w:p w14:paraId="78578DD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0.67</w:t>
            </w:r>
          </w:p>
        </w:tc>
        <w:tc>
          <w:tcPr>
            <w:tcW w:w="1858" w:type="dxa"/>
            <w:tcBorders>
              <w:right w:val="nil"/>
            </w:tcBorders>
            <w:shd w:val="clear" w:color="auto" w:fill="auto"/>
            <w:noWrap/>
            <w:vAlign w:val="bottom"/>
            <w:hideMark/>
          </w:tcPr>
          <w:p w14:paraId="51EAAB2E"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AUT</w:t>
            </w:r>
          </w:p>
        </w:tc>
      </w:tr>
      <w:tr w:rsidR="00FC0A94" w:rsidRPr="006E4391" w14:paraId="6C9DC9E1" w14:textId="77777777" w:rsidTr="00FC0A94">
        <w:trPr>
          <w:trHeight w:val="300"/>
        </w:trPr>
        <w:tc>
          <w:tcPr>
            <w:tcW w:w="851" w:type="dxa"/>
            <w:tcBorders>
              <w:left w:val="nil"/>
            </w:tcBorders>
            <w:shd w:val="clear" w:color="auto" w:fill="auto"/>
            <w:noWrap/>
            <w:vAlign w:val="bottom"/>
            <w:hideMark/>
          </w:tcPr>
          <w:p w14:paraId="09E98EE5"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7</w:t>
            </w:r>
          </w:p>
        </w:tc>
        <w:tc>
          <w:tcPr>
            <w:tcW w:w="980" w:type="dxa"/>
            <w:shd w:val="clear" w:color="auto" w:fill="auto"/>
            <w:noWrap/>
            <w:vAlign w:val="bottom"/>
            <w:hideMark/>
          </w:tcPr>
          <w:p w14:paraId="601B8B88"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1BC4BDEB"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860" w:type="dxa"/>
            <w:shd w:val="clear" w:color="auto" w:fill="auto"/>
            <w:noWrap/>
            <w:vAlign w:val="bottom"/>
            <w:hideMark/>
          </w:tcPr>
          <w:p w14:paraId="65B6AE38"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13" w:type="dxa"/>
            <w:shd w:val="clear" w:color="auto" w:fill="auto"/>
            <w:noWrap/>
            <w:vAlign w:val="bottom"/>
            <w:hideMark/>
          </w:tcPr>
          <w:p w14:paraId="2C468FF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27" w:type="dxa"/>
            <w:shd w:val="clear" w:color="auto" w:fill="auto"/>
            <w:noWrap/>
            <w:vAlign w:val="bottom"/>
            <w:hideMark/>
          </w:tcPr>
          <w:p w14:paraId="2A0E70C5"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0708EE3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7CA773BE"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314" w:type="dxa"/>
            <w:shd w:val="clear" w:color="auto" w:fill="auto"/>
            <w:noWrap/>
            <w:vAlign w:val="bottom"/>
            <w:hideMark/>
          </w:tcPr>
          <w:p w14:paraId="3F102FF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0.57</w:t>
            </w:r>
          </w:p>
        </w:tc>
        <w:tc>
          <w:tcPr>
            <w:tcW w:w="1858" w:type="dxa"/>
            <w:tcBorders>
              <w:right w:val="nil"/>
            </w:tcBorders>
            <w:shd w:val="clear" w:color="auto" w:fill="auto"/>
            <w:noWrap/>
            <w:vAlign w:val="bottom"/>
            <w:hideMark/>
          </w:tcPr>
          <w:p w14:paraId="6B0CFEF4"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IRE</w:t>
            </w:r>
          </w:p>
        </w:tc>
      </w:tr>
      <w:tr w:rsidR="00FC0A94" w:rsidRPr="006E4391" w14:paraId="46E398F8" w14:textId="77777777" w:rsidTr="00FC0A94">
        <w:trPr>
          <w:trHeight w:val="300"/>
        </w:trPr>
        <w:tc>
          <w:tcPr>
            <w:tcW w:w="851" w:type="dxa"/>
            <w:tcBorders>
              <w:left w:val="nil"/>
            </w:tcBorders>
            <w:shd w:val="clear" w:color="auto" w:fill="auto"/>
            <w:noWrap/>
            <w:vAlign w:val="bottom"/>
            <w:hideMark/>
          </w:tcPr>
          <w:p w14:paraId="7C56A4A9"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8</w:t>
            </w:r>
          </w:p>
        </w:tc>
        <w:tc>
          <w:tcPr>
            <w:tcW w:w="980" w:type="dxa"/>
            <w:shd w:val="clear" w:color="auto" w:fill="auto"/>
            <w:noWrap/>
            <w:vAlign w:val="bottom"/>
            <w:hideMark/>
          </w:tcPr>
          <w:p w14:paraId="22F7E53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1B20AE78"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860" w:type="dxa"/>
            <w:shd w:val="clear" w:color="auto" w:fill="auto"/>
            <w:noWrap/>
            <w:vAlign w:val="bottom"/>
            <w:hideMark/>
          </w:tcPr>
          <w:p w14:paraId="4FD1FC5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13" w:type="dxa"/>
            <w:shd w:val="clear" w:color="auto" w:fill="auto"/>
            <w:noWrap/>
            <w:vAlign w:val="bottom"/>
            <w:hideMark/>
          </w:tcPr>
          <w:p w14:paraId="45CBACFE"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27" w:type="dxa"/>
            <w:shd w:val="clear" w:color="auto" w:fill="auto"/>
            <w:noWrap/>
            <w:vAlign w:val="bottom"/>
            <w:hideMark/>
          </w:tcPr>
          <w:p w14:paraId="31B85601"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07C8340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2680342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314" w:type="dxa"/>
            <w:shd w:val="clear" w:color="auto" w:fill="auto"/>
            <w:noWrap/>
            <w:vAlign w:val="bottom"/>
            <w:hideMark/>
          </w:tcPr>
          <w:p w14:paraId="1F5D8693"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0.50</w:t>
            </w:r>
          </w:p>
        </w:tc>
        <w:tc>
          <w:tcPr>
            <w:tcW w:w="1858" w:type="dxa"/>
            <w:tcBorders>
              <w:right w:val="nil"/>
            </w:tcBorders>
            <w:shd w:val="clear" w:color="auto" w:fill="auto"/>
            <w:noWrap/>
            <w:vAlign w:val="bottom"/>
            <w:hideMark/>
          </w:tcPr>
          <w:p w14:paraId="6200770A"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DEN, NOR, SWI</w:t>
            </w:r>
          </w:p>
        </w:tc>
      </w:tr>
      <w:tr w:rsidR="00FC0A94" w:rsidRPr="006E4391" w14:paraId="1F2CD9E1" w14:textId="77777777" w:rsidTr="00FC0A94">
        <w:trPr>
          <w:trHeight w:val="300"/>
        </w:trPr>
        <w:tc>
          <w:tcPr>
            <w:tcW w:w="851" w:type="dxa"/>
            <w:tcBorders>
              <w:left w:val="nil"/>
            </w:tcBorders>
            <w:shd w:val="clear" w:color="auto" w:fill="auto"/>
            <w:noWrap/>
            <w:vAlign w:val="bottom"/>
            <w:hideMark/>
          </w:tcPr>
          <w:p w14:paraId="24702FD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9</w:t>
            </w:r>
          </w:p>
        </w:tc>
        <w:tc>
          <w:tcPr>
            <w:tcW w:w="980" w:type="dxa"/>
            <w:shd w:val="clear" w:color="auto" w:fill="auto"/>
            <w:noWrap/>
            <w:vAlign w:val="bottom"/>
            <w:hideMark/>
          </w:tcPr>
          <w:p w14:paraId="7EE94650"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67" w:type="dxa"/>
            <w:shd w:val="clear" w:color="auto" w:fill="auto"/>
            <w:noWrap/>
            <w:vAlign w:val="bottom"/>
            <w:hideMark/>
          </w:tcPr>
          <w:p w14:paraId="563B7621"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860" w:type="dxa"/>
            <w:shd w:val="clear" w:color="auto" w:fill="auto"/>
            <w:noWrap/>
            <w:vAlign w:val="bottom"/>
            <w:hideMark/>
          </w:tcPr>
          <w:p w14:paraId="422FAE9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913" w:type="dxa"/>
            <w:shd w:val="clear" w:color="auto" w:fill="auto"/>
            <w:noWrap/>
            <w:vAlign w:val="bottom"/>
            <w:hideMark/>
          </w:tcPr>
          <w:p w14:paraId="3A4AF369"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27" w:type="dxa"/>
            <w:shd w:val="clear" w:color="auto" w:fill="auto"/>
            <w:noWrap/>
            <w:vAlign w:val="bottom"/>
            <w:hideMark/>
          </w:tcPr>
          <w:p w14:paraId="6868E15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67" w:type="dxa"/>
            <w:shd w:val="clear" w:color="auto" w:fill="auto"/>
            <w:noWrap/>
            <w:vAlign w:val="bottom"/>
            <w:hideMark/>
          </w:tcPr>
          <w:p w14:paraId="1A9939B8"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03481865"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314" w:type="dxa"/>
            <w:shd w:val="clear" w:color="auto" w:fill="auto"/>
            <w:noWrap/>
            <w:vAlign w:val="bottom"/>
            <w:hideMark/>
          </w:tcPr>
          <w:p w14:paraId="7FDC984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0.50</w:t>
            </w:r>
          </w:p>
        </w:tc>
        <w:tc>
          <w:tcPr>
            <w:tcW w:w="1858" w:type="dxa"/>
            <w:tcBorders>
              <w:right w:val="nil"/>
            </w:tcBorders>
            <w:shd w:val="clear" w:color="auto" w:fill="auto"/>
            <w:noWrap/>
            <w:vAlign w:val="bottom"/>
            <w:hideMark/>
          </w:tcPr>
          <w:p w14:paraId="4CCAE7D6"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BEL, FRA</w:t>
            </w:r>
          </w:p>
        </w:tc>
      </w:tr>
      <w:tr w:rsidR="00FC0A94" w:rsidRPr="006E4391" w14:paraId="0F288FD9" w14:textId="77777777" w:rsidTr="00FC0A94">
        <w:trPr>
          <w:trHeight w:val="300"/>
        </w:trPr>
        <w:tc>
          <w:tcPr>
            <w:tcW w:w="851" w:type="dxa"/>
            <w:tcBorders>
              <w:left w:val="nil"/>
            </w:tcBorders>
            <w:shd w:val="clear" w:color="auto" w:fill="auto"/>
            <w:noWrap/>
            <w:vAlign w:val="bottom"/>
            <w:hideMark/>
          </w:tcPr>
          <w:p w14:paraId="16AF5E1D"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10</w:t>
            </w:r>
          </w:p>
        </w:tc>
        <w:tc>
          <w:tcPr>
            <w:tcW w:w="980" w:type="dxa"/>
            <w:shd w:val="clear" w:color="auto" w:fill="auto"/>
            <w:noWrap/>
            <w:vAlign w:val="bottom"/>
            <w:hideMark/>
          </w:tcPr>
          <w:p w14:paraId="60BA3C0D"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67" w:type="dxa"/>
            <w:shd w:val="clear" w:color="auto" w:fill="auto"/>
            <w:noWrap/>
            <w:vAlign w:val="bottom"/>
            <w:hideMark/>
          </w:tcPr>
          <w:p w14:paraId="639E9D6E"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860" w:type="dxa"/>
            <w:shd w:val="clear" w:color="auto" w:fill="auto"/>
            <w:noWrap/>
            <w:vAlign w:val="bottom"/>
            <w:hideMark/>
          </w:tcPr>
          <w:p w14:paraId="570A759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13" w:type="dxa"/>
            <w:shd w:val="clear" w:color="auto" w:fill="auto"/>
            <w:noWrap/>
            <w:vAlign w:val="bottom"/>
            <w:hideMark/>
          </w:tcPr>
          <w:p w14:paraId="474D88D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27" w:type="dxa"/>
            <w:shd w:val="clear" w:color="auto" w:fill="auto"/>
            <w:noWrap/>
            <w:vAlign w:val="bottom"/>
            <w:hideMark/>
          </w:tcPr>
          <w:p w14:paraId="04871399"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4D077B3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330FEF3D"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314" w:type="dxa"/>
            <w:shd w:val="clear" w:color="auto" w:fill="auto"/>
            <w:noWrap/>
            <w:vAlign w:val="bottom"/>
            <w:hideMark/>
          </w:tcPr>
          <w:p w14:paraId="0559B85A"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0.50</w:t>
            </w:r>
          </w:p>
        </w:tc>
        <w:tc>
          <w:tcPr>
            <w:tcW w:w="1858" w:type="dxa"/>
            <w:tcBorders>
              <w:right w:val="nil"/>
            </w:tcBorders>
            <w:shd w:val="clear" w:color="auto" w:fill="auto"/>
            <w:noWrap/>
            <w:vAlign w:val="bottom"/>
            <w:hideMark/>
          </w:tcPr>
          <w:p w14:paraId="5E020938"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FIN, ICE</w:t>
            </w:r>
          </w:p>
        </w:tc>
      </w:tr>
      <w:tr w:rsidR="00FC0A94" w:rsidRPr="006E4391" w14:paraId="6C1E94F6" w14:textId="77777777" w:rsidTr="00FC0A94">
        <w:trPr>
          <w:trHeight w:val="300"/>
        </w:trPr>
        <w:tc>
          <w:tcPr>
            <w:tcW w:w="851" w:type="dxa"/>
            <w:tcBorders>
              <w:left w:val="nil"/>
            </w:tcBorders>
            <w:shd w:val="clear" w:color="auto" w:fill="auto"/>
            <w:noWrap/>
            <w:vAlign w:val="bottom"/>
            <w:hideMark/>
          </w:tcPr>
          <w:p w14:paraId="22233DE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11</w:t>
            </w:r>
          </w:p>
        </w:tc>
        <w:tc>
          <w:tcPr>
            <w:tcW w:w="980" w:type="dxa"/>
            <w:shd w:val="clear" w:color="auto" w:fill="auto"/>
            <w:noWrap/>
            <w:vAlign w:val="bottom"/>
            <w:hideMark/>
          </w:tcPr>
          <w:p w14:paraId="3D0A274C"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67" w:type="dxa"/>
            <w:shd w:val="clear" w:color="auto" w:fill="auto"/>
            <w:noWrap/>
            <w:vAlign w:val="bottom"/>
            <w:hideMark/>
          </w:tcPr>
          <w:p w14:paraId="499275C9"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860" w:type="dxa"/>
            <w:shd w:val="clear" w:color="auto" w:fill="auto"/>
            <w:noWrap/>
            <w:vAlign w:val="bottom"/>
            <w:hideMark/>
          </w:tcPr>
          <w:p w14:paraId="12BD7E6F"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913" w:type="dxa"/>
            <w:shd w:val="clear" w:color="auto" w:fill="auto"/>
            <w:noWrap/>
            <w:vAlign w:val="bottom"/>
            <w:hideMark/>
          </w:tcPr>
          <w:p w14:paraId="0AA816B5"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1</w:t>
            </w:r>
          </w:p>
        </w:tc>
        <w:tc>
          <w:tcPr>
            <w:tcW w:w="1127" w:type="dxa"/>
            <w:shd w:val="clear" w:color="auto" w:fill="auto"/>
            <w:noWrap/>
            <w:vAlign w:val="bottom"/>
            <w:hideMark/>
          </w:tcPr>
          <w:p w14:paraId="6D7BE1F0"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167" w:type="dxa"/>
            <w:shd w:val="clear" w:color="auto" w:fill="auto"/>
            <w:noWrap/>
            <w:vAlign w:val="bottom"/>
            <w:hideMark/>
          </w:tcPr>
          <w:p w14:paraId="44979944"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020" w:type="dxa"/>
            <w:shd w:val="clear" w:color="auto" w:fill="auto"/>
            <w:noWrap/>
            <w:vAlign w:val="bottom"/>
            <w:hideMark/>
          </w:tcPr>
          <w:p w14:paraId="06DFA0E5"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w:t>
            </w:r>
          </w:p>
        </w:tc>
        <w:tc>
          <w:tcPr>
            <w:tcW w:w="1314" w:type="dxa"/>
            <w:shd w:val="clear" w:color="auto" w:fill="auto"/>
            <w:noWrap/>
            <w:vAlign w:val="bottom"/>
            <w:hideMark/>
          </w:tcPr>
          <w:p w14:paraId="4C2C26D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0.40</w:t>
            </w:r>
          </w:p>
        </w:tc>
        <w:tc>
          <w:tcPr>
            <w:tcW w:w="1858" w:type="dxa"/>
            <w:tcBorders>
              <w:right w:val="nil"/>
            </w:tcBorders>
            <w:shd w:val="clear" w:color="auto" w:fill="auto"/>
            <w:noWrap/>
            <w:vAlign w:val="bottom"/>
            <w:hideMark/>
          </w:tcPr>
          <w:p w14:paraId="54DAE20B" w14:textId="77777777" w:rsidR="00FC0A94" w:rsidRPr="006E4391" w:rsidRDefault="00FC0A94" w:rsidP="00042734">
            <w:pPr>
              <w:spacing w:after="0" w:line="240" w:lineRule="auto"/>
              <w:rPr>
                <w:rFonts w:eastAsia="Times New Roman"/>
                <w:color w:val="000000"/>
                <w:lang w:val="nb-NO" w:eastAsia="nb-NO"/>
              </w:rPr>
            </w:pPr>
            <w:r w:rsidRPr="006E4391">
              <w:rPr>
                <w:rFonts w:eastAsia="Times New Roman"/>
                <w:color w:val="000000"/>
                <w:lang w:val="nb-NO" w:eastAsia="nb-NO"/>
              </w:rPr>
              <w:t>POR</w:t>
            </w:r>
          </w:p>
        </w:tc>
      </w:tr>
      <w:tr w:rsidR="00FC0A94" w:rsidRPr="006E4391" w14:paraId="5E775E14" w14:textId="77777777" w:rsidTr="00FC0A94">
        <w:trPr>
          <w:trHeight w:val="300"/>
        </w:trPr>
        <w:tc>
          <w:tcPr>
            <w:tcW w:w="851" w:type="dxa"/>
            <w:tcBorders>
              <w:left w:val="nil"/>
            </w:tcBorders>
            <w:shd w:val="clear" w:color="auto" w:fill="auto"/>
            <w:noWrap/>
            <w:vAlign w:val="bottom"/>
            <w:hideMark/>
          </w:tcPr>
          <w:p w14:paraId="6C45A0D1" w14:textId="16849697" w:rsidR="00FC0A94" w:rsidRPr="006E4391" w:rsidRDefault="00330611" w:rsidP="00FC0A94">
            <w:pPr>
              <w:spacing w:after="0" w:line="240" w:lineRule="auto"/>
              <w:jc w:val="center"/>
              <w:rPr>
                <w:rFonts w:eastAsia="Times New Roman"/>
                <w:color w:val="000000"/>
                <w:lang w:val="nb-NO" w:eastAsia="nb-NO"/>
              </w:rPr>
            </w:pPr>
            <w:r>
              <w:rPr>
                <w:rFonts w:eastAsia="Times New Roman"/>
                <w:color w:val="000000"/>
                <w:lang w:val="nb-NO" w:eastAsia="nb-NO"/>
              </w:rPr>
              <w:t>12–64</w:t>
            </w:r>
          </w:p>
        </w:tc>
        <w:tc>
          <w:tcPr>
            <w:tcW w:w="980" w:type="dxa"/>
            <w:shd w:val="clear" w:color="auto" w:fill="auto"/>
            <w:noWrap/>
            <w:vAlign w:val="bottom"/>
            <w:hideMark/>
          </w:tcPr>
          <w:p w14:paraId="46377114" w14:textId="77777777" w:rsidR="00FC0A94" w:rsidRPr="006E4391" w:rsidRDefault="00FC0A94" w:rsidP="00FC0A94">
            <w:pPr>
              <w:spacing w:after="0" w:line="240" w:lineRule="auto"/>
              <w:jc w:val="center"/>
              <w:rPr>
                <w:rFonts w:eastAsia="Times New Roman"/>
                <w:color w:val="000000"/>
                <w:lang w:val="nb-NO" w:eastAsia="nb-NO"/>
              </w:rPr>
            </w:pPr>
          </w:p>
        </w:tc>
        <w:tc>
          <w:tcPr>
            <w:tcW w:w="967" w:type="dxa"/>
            <w:shd w:val="clear" w:color="auto" w:fill="auto"/>
            <w:noWrap/>
            <w:vAlign w:val="bottom"/>
            <w:hideMark/>
          </w:tcPr>
          <w:p w14:paraId="57F9EF8B" w14:textId="77777777" w:rsidR="00FC0A94" w:rsidRPr="006E4391" w:rsidRDefault="00FC0A94" w:rsidP="00FC0A94">
            <w:pPr>
              <w:spacing w:after="0" w:line="240" w:lineRule="auto"/>
              <w:jc w:val="center"/>
              <w:rPr>
                <w:rFonts w:eastAsia="Times New Roman"/>
                <w:lang w:val="nb-NO" w:eastAsia="nb-NO"/>
              </w:rPr>
            </w:pPr>
          </w:p>
        </w:tc>
        <w:tc>
          <w:tcPr>
            <w:tcW w:w="860" w:type="dxa"/>
            <w:shd w:val="clear" w:color="auto" w:fill="auto"/>
            <w:noWrap/>
            <w:vAlign w:val="bottom"/>
            <w:hideMark/>
          </w:tcPr>
          <w:p w14:paraId="2A679B30" w14:textId="77777777" w:rsidR="00FC0A94" w:rsidRPr="006E4391" w:rsidRDefault="00FC0A94" w:rsidP="00FC0A94">
            <w:pPr>
              <w:spacing w:after="0" w:line="240" w:lineRule="auto"/>
              <w:jc w:val="center"/>
              <w:rPr>
                <w:rFonts w:eastAsia="Times New Roman"/>
                <w:lang w:val="nb-NO" w:eastAsia="nb-NO"/>
              </w:rPr>
            </w:pPr>
          </w:p>
        </w:tc>
        <w:tc>
          <w:tcPr>
            <w:tcW w:w="913" w:type="dxa"/>
            <w:shd w:val="clear" w:color="auto" w:fill="auto"/>
            <w:noWrap/>
            <w:vAlign w:val="bottom"/>
            <w:hideMark/>
          </w:tcPr>
          <w:p w14:paraId="63B9454B" w14:textId="77777777" w:rsidR="00FC0A94" w:rsidRPr="006E4391" w:rsidRDefault="00FC0A94" w:rsidP="00FC0A94">
            <w:pPr>
              <w:spacing w:after="0" w:line="240" w:lineRule="auto"/>
              <w:jc w:val="center"/>
              <w:rPr>
                <w:rFonts w:eastAsia="Times New Roman"/>
                <w:lang w:val="nb-NO" w:eastAsia="nb-NO"/>
              </w:rPr>
            </w:pPr>
          </w:p>
        </w:tc>
        <w:tc>
          <w:tcPr>
            <w:tcW w:w="1127" w:type="dxa"/>
            <w:shd w:val="clear" w:color="auto" w:fill="auto"/>
            <w:noWrap/>
            <w:vAlign w:val="bottom"/>
            <w:hideMark/>
          </w:tcPr>
          <w:p w14:paraId="55A44BAD" w14:textId="77777777" w:rsidR="00FC0A94" w:rsidRPr="006E4391" w:rsidRDefault="00FC0A94" w:rsidP="00FC0A94">
            <w:pPr>
              <w:spacing w:after="0" w:line="240" w:lineRule="auto"/>
              <w:jc w:val="center"/>
              <w:rPr>
                <w:rFonts w:eastAsia="Times New Roman"/>
                <w:lang w:val="nb-NO" w:eastAsia="nb-NO"/>
              </w:rPr>
            </w:pPr>
          </w:p>
        </w:tc>
        <w:tc>
          <w:tcPr>
            <w:tcW w:w="1167" w:type="dxa"/>
            <w:shd w:val="clear" w:color="auto" w:fill="auto"/>
            <w:noWrap/>
            <w:vAlign w:val="bottom"/>
            <w:hideMark/>
          </w:tcPr>
          <w:p w14:paraId="1AF8083D" w14:textId="77777777" w:rsidR="00FC0A94" w:rsidRPr="006E4391" w:rsidRDefault="00FC0A94" w:rsidP="00FC0A94">
            <w:pPr>
              <w:spacing w:after="0" w:line="240" w:lineRule="auto"/>
              <w:jc w:val="center"/>
              <w:rPr>
                <w:rFonts w:eastAsia="Times New Roman"/>
                <w:lang w:val="nb-NO" w:eastAsia="nb-NO"/>
              </w:rPr>
            </w:pPr>
          </w:p>
        </w:tc>
        <w:tc>
          <w:tcPr>
            <w:tcW w:w="1020" w:type="dxa"/>
            <w:shd w:val="clear" w:color="auto" w:fill="auto"/>
            <w:noWrap/>
            <w:vAlign w:val="bottom"/>
            <w:hideMark/>
          </w:tcPr>
          <w:p w14:paraId="3860BE37" w14:textId="77777777" w:rsidR="00FC0A94" w:rsidRPr="006E4391" w:rsidRDefault="00FC0A94" w:rsidP="00FC0A94">
            <w:pPr>
              <w:spacing w:after="0" w:line="240" w:lineRule="auto"/>
              <w:jc w:val="center"/>
              <w:rPr>
                <w:rFonts w:eastAsia="Times New Roman"/>
                <w:color w:val="000000"/>
                <w:lang w:val="nb-NO" w:eastAsia="nb-NO"/>
              </w:rPr>
            </w:pPr>
            <w:r w:rsidRPr="006E4391">
              <w:rPr>
                <w:rFonts w:eastAsia="Times New Roman"/>
                <w:color w:val="000000"/>
                <w:lang w:val="nb-NO" w:eastAsia="nb-NO"/>
              </w:rPr>
              <w:t>?</w:t>
            </w:r>
          </w:p>
        </w:tc>
        <w:tc>
          <w:tcPr>
            <w:tcW w:w="1314" w:type="dxa"/>
            <w:shd w:val="clear" w:color="auto" w:fill="auto"/>
            <w:noWrap/>
            <w:vAlign w:val="bottom"/>
            <w:hideMark/>
          </w:tcPr>
          <w:p w14:paraId="726E0457" w14:textId="77777777" w:rsidR="00FC0A94" w:rsidRPr="006E4391" w:rsidRDefault="00FC0A94" w:rsidP="00FC0A94">
            <w:pPr>
              <w:spacing w:after="0" w:line="240" w:lineRule="auto"/>
              <w:jc w:val="center"/>
              <w:rPr>
                <w:rFonts w:eastAsia="Times New Roman"/>
                <w:color w:val="000000"/>
                <w:lang w:val="nb-NO" w:eastAsia="nb-NO"/>
              </w:rPr>
            </w:pPr>
          </w:p>
        </w:tc>
        <w:tc>
          <w:tcPr>
            <w:tcW w:w="1858" w:type="dxa"/>
            <w:tcBorders>
              <w:right w:val="nil"/>
            </w:tcBorders>
            <w:shd w:val="clear" w:color="auto" w:fill="auto"/>
            <w:noWrap/>
            <w:vAlign w:val="bottom"/>
            <w:hideMark/>
          </w:tcPr>
          <w:p w14:paraId="01A97EF0" w14:textId="77777777" w:rsidR="00FC0A94" w:rsidRPr="006E4391" w:rsidRDefault="00FC0A94" w:rsidP="00042734">
            <w:pPr>
              <w:spacing w:after="0" w:line="240" w:lineRule="auto"/>
              <w:rPr>
                <w:rFonts w:eastAsia="Times New Roman"/>
                <w:color w:val="000000"/>
                <w:lang w:val="nb-NO" w:eastAsia="nb-NO"/>
              </w:rPr>
            </w:pPr>
            <w:proofErr w:type="spellStart"/>
            <w:r w:rsidRPr="006E4391">
              <w:rPr>
                <w:rFonts w:eastAsia="Times New Roman"/>
                <w:color w:val="000000"/>
                <w:lang w:val="nb-NO" w:eastAsia="nb-NO"/>
              </w:rPr>
              <w:t>Empty</w:t>
            </w:r>
            <w:proofErr w:type="spellEnd"/>
          </w:p>
        </w:tc>
      </w:tr>
    </w:tbl>
    <w:p w14:paraId="4320A8B1" w14:textId="2839A827" w:rsidR="00CC645A" w:rsidRPr="00FC0A94" w:rsidRDefault="00CC645A" w:rsidP="00FC0A94">
      <w:pPr>
        <w:rPr>
          <w:rFonts w:eastAsiaTheme="majorEastAsia" w:cstheme="majorBidi"/>
          <w:b/>
          <w:bCs/>
          <w:szCs w:val="26"/>
        </w:rPr>
        <w:sectPr w:rsidR="00CC645A" w:rsidRPr="00FC0A94" w:rsidSect="006E4391">
          <w:pgSz w:w="16838" w:h="11906" w:orient="landscape"/>
          <w:pgMar w:top="1417" w:right="1417" w:bottom="1417" w:left="1417" w:header="708" w:footer="708" w:gutter="0"/>
          <w:cols w:space="708"/>
          <w:docGrid w:linePitch="360"/>
        </w:sectPr>
      </w:pPr>
    </w:p>
    <w:p w14:paraId="731DD5B4" w14:textId="32444245" w:rsidR="00DB539E" w:rsidRPr="000577B2" w:rsidRDefault="00763F19" w:rsidP="00CC645A">
      <w:pPr>
        <w:pStyle w:val="Jacoboverskrift2"/>
        <w:spacing w:line="360" w:lineRule="auto"/>
      </w:pPr>
      <w:bookmarkStart w:id="5" w:name="_Toc496794574"/>
      <w:r w:rsidRPr="000577B2">
        <w:lastRenderedPageBreak/>
        <w:t>Analysis of the negated set</w:t>
      </w:r>
      <w:bookmarkEnd w:id="5"/>
    </w:p>
    <w:p w14:paraId="335AA923" w14:textId="13167F62" w:rsidR="00DA03FE" w:rsidRPr="000577B2" w:rsidRDefault="00763F19" w:rsidP="005B74DF">
      <w:pPr>
        <w:pStyle w:val="Jacobnormal"/>
        <w:spacing w:line="360" w:lineRule="auto"/>
      </w:pPr>
      <w:r w:rsidRPr="000577B2">
        <w:t xml:space="preserve">A common and potentially interesting exercise in QCA analysis is to use the conditions from the analysis of the outcome set to </w:t>
      </w:r>
      <w:r w:rsidR="008A286C" w:rsidRPr="000577B2">
        <w:t>analyse</w:t>
      </w:r>
      <w:r w:rsidRPr="000577B2">
        <w:t xml:space="preserve"> its negated version, </w:t>
      </w:r>
      <w:r w:rsidR="00E952A7" w:rsidRPr="000577B2">
        <w:t>in this case</w:t>
      </w:r>
      <w:r w:rsidRPr="000577B2">
        <w:t xml:space="preserve"> the set of </w:t>
      </w:r>
      <w:r w:rsidR="00E952A7" w:rsidRPr="000577B2">
        <w:t xml:space="preserve">West European </w:t>
      </w:r>
      <w:r w:rsidRPr="000577B2">
        <w:t xml:space="preserve">countries that </w:t>
      </w:r>
      <w:r w:rsidR="00E952A7" w:rsidRPr="000577B2">
        <w:t>did not experience</w:t>
      </w:r>
      <w:r w:rsidRPr="000577B2">
        <w:t xml:space="preserve"> extensive RTV between 1990 and 2015. Due to the asymmetrical nature of set relations, the negated set should ideally be </w:t>
      </w:r>
      <w:r w:rsidR="000703EE" w:rsidRPr="000577B2">
        <w:t>analysed</w:t>
      </w:r>
      <w:r w:rsidRPr="000577B2">
        <w:t xml:space="preserve"> using its own set of casual conditions deemed as most relevant for explaining the non-occurrence of the </w:t>
      </w:r>
      <w:r w:rsidR="005D46C2" w:rsidRPr="000577B2">
        <w:t>outcome of interest</w:t>
      </w:r>
      <w:r w:rsidRPr="000577B2">
        <w:t xml:space="preserve">. However, conditions deemed as relevant for explaining its occurrence may also be relevant for explaining its non-occurrence. </w:t>
      </w:r>
      <w:r w:rsidR="00960E58" w:rsidRPr="000577B2">
        <w:t xml:space="preserve">The necessity analysis </w:t>
      </w:r>
      <w:r w:rsidR="00C367C2" w:rsidRPr="000577B2">
        <w:t>of my negated</w:t>
      </w:r>
      <w:r w:rsidR="00960E58" w:rsidRPr="000577B2">
        <w:t xml:space="preserve"> se</w:t>
      </w:r>
      <w:r w:rsidR="005B74DF">
        <w:t xml:space="preserve">t resulted in the following scores: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3026"/>
        <w:gridCol w:w="3020"/>
      </w:tblGrid>
      <w:tr w:rsidR="002816BC" w:rsidRPr="000577B2" w14:paraId="52364437" w14:textId="77777777" w:rsidTr="002816BC">
        <w:tc>
          <w:tcPr>
            <w:tcW w:w="9072" w:type="dxa"/>
            <w:gridSpan w:val="3"/>
            <w:tcBorders>
              <w:bottom w:val="single" w:sz="4" w:space="0" w:color="auto"/>
            </w:tcBorders>
          </w:tcPr>
          <w:p w14:paraId="674EB9AE" w14:textId="5B6F53C9" w:rsidR="002816BC" w:rsidRPr="000577B2" w:rsidRDefault="006E4391" w:rsidP="00CC645A">
            <w:pPr>
              <w:pStyle w:val="Jacobnormal"/>
              <w:spacing w:line="240" w:lineRule="auto"/>
              <w:rPr>
                <w:i/>
              </w:rPr>
            </w:pPr>
            <w:r>
              <w:rPr>
                <w:i/>
              </w:rPr>
              <w:t>Table 11</w:t>
            </w:r>
            <w:r w:rsidR="002816BC" w:rsidRPr="000577B2">
              <w:t>. Analysis of the negated set</w:t>
            </w:r>
          </w:p>
        </w:tc>
      </w:tr>
      <w:tr w:rsidR="00960E58" w:rsidRPr="000577B2" w14:paraId="42ACF21F" w14:textId="77777777" w:rsidTr="00FF693D">
        <w:tc>
          <w:tcPr>
            <w:tcW w:w="3026" w:type="dxa"/>
            <w:tcBorders>
              <w:top w:val="single" w:sz="4" w:space="0" w:color="auto"/>
              <w:bottom w:val="single" w:sz="4" w:space="0" w:color="auto"/>
            </w:tcBorders>
          </w:tcPr>
          <w:p w14:paraId="4EDDC01D" w14:textId="11714582" w:rsidR="00960E58" w:rsidRPr="000577B2" w:rsidRDefault="00960E58" w:rsidP="00CC645A">
            <w:pPr>
              <w:pStyle w:val="Jacobnormal"/>
              <w:spacing w:line="240" w:lineRule="auto"/>
              <w:rPr>
                <w:i/>
              </w:rPr>
            </w:pPr>
            <w:r w:rsidRPr="000577B2">
              <w:rPr>
                <w:i/>
              </w:rPr>
              <w:t>Condition</w:t>
            </w:r>
          </w:p>
        </w:tc>
        <w:tc>
          <w:tcPr>
            <w:tcW w:w="3026" w:type="dxa"/>
            <w:tcBorders>
              <w:top w:val="single" w:sz="4" w:space="0" w:color="auto"/>
              <w:bottom w:val="single" w:sz="4" w:space="0" w:color="auto"/>
            </w:tcBorders>
          </w:tcPr>
          <w:p w14:paraId="2C1FECFB" w14:textId="4DFA22D2" w:rsidR="00960E58" w:rsidRPr="000577B2" w:rsidRDefault="00960E58" w:rsidP="00CC645A">
            <w:pPr>
              <w:pStyle w:val="Jacobnormal"/>
              <w:spacing w:line="240" w:lineRule="auto"/>
              <w:rPr>
                <w:i/>
              </w:rPr>
            </w:pPr>
            <w:r w:rsidRPr="000577B2">
              <w:rPr>
                <w:i/>
              </w:rPr>
              <w:t>Consistency</w:t>
            </w:r>
          </w:p>
        </w:tc>
        <w:tc>
          <w:tcPr>
            <w:tcW w:w="3020" w:type="dxa"/>
            <w:tcBorders>
              <w:top w:val="single" w:sz="4" w:space="0" w:color="auto"/>
              <w:bottom w:val="single" w:sz="4" w:space="0" w:color="auto"/>
            </w:tcBorders>
          </w:tcPr>
          <w:p w14:paraId="5FD327DB" w14:textId="5A3E95D1" w:rsidR="00960E58" w:rsidRPr="000577B2" w:rsidRDefault="00960E58" w:rsidP="00CC645A">
            <w:pPr>
              <w:pStyle w:val="Jacobnormal"/>
              <w:spacing w:line="240" w:lineRule="auto"/>
              <w:rPr>
                <w:i/>
              </w:rPr>
            </w:pPr>
            <w:r w:rsidRPr="000577B2">
              <w:rPr>
                <w:i/>
              </w:rPr>
              <w:t>Coverage</w:t>
            </w:r>
          </w:p>
        </w:tc>
      </w:tr>
      <w:tr w:rsidR="00FF693D" w:rsidRPr="000577B2" w14:paraId="492BDF55" w14:textId="77777777" w:rsidTr="00FF693D">
        <w:tc>
          <w:tcPr>
            <w:tcW w:w="3026" w:type="dxa"/>
            <w:tcBorders>
              <w:top w:val="single" w:sz="4" w:space="0" w:color="auto"/>
            </w:tcBorders>
          </w:tcPr>
          <w:p w14:paraId="348AB410" w14:textId="70825DF5" w:rsidR="00FF693D" w:rsidRPr="00FF693D" w:rsidRDefault="00FF693D" w:rsidP="00CC645A">
            <w:pPr>
              <w:pStyle w:val="Jacobnormal"/>
              <w:spacing w:line="240" w:lineRule="auto"/>
            </w:pPr>
            <w:r>
              <w:t>diversity</w:t>
            </w:r>
          </w:p>
        </w:tc>
        <w:tc>
          <w:tcPr>
            <w:tcW w:w="3026" w:type="dxa"/>
            <w:tcBorders>
              <w:top w:val="single" w:sz="4" w:space="0" w:color="auto"/>
            </w:tcBorders>
          </w:tcPr>
          <w:p w14:paraId="482A9A83" w14:textId="5F55D72D" w:rsidR="00FF693D" w:rsidRPr="00FF693D" w:rsidRDefault="00FF693D" w:rsidP="00CC645A">
            <w:pPr>
              <w:pStyle w:val="Jacobnormal"/>
              <w:spacing w:line="240" w:lineRule="auto"/>
            </w:pPr>
            <w:r>
              <w:t>0.77</w:t>
            </w:r>
          </w:p>
        </w:tc>
        <w:tc>
          <w:tcPr>
            <w:tcW w:w="3020" w:type="dxa"/>
            <w:tcBorders>
              <w:top w:val="single" w:sz="4" w:space="0" w:color="auto"/>
            </w:tcBorders>
          </w:tcPr>
          <w:p w14:paraId="25765F1F" w14:textId="43C8B4E7" w:rsidR="00FF693D" w:rsidRPr="00FF693D" w:rsidRDefault="00FF693D" w:rsidP="00CC645A">
            <w:pPr>
              <w:pStyle w:val="Jacobnormal"/>
              <w:spacing w:line="240" w:lineRule="auto"/>
            </w:pPr>
            <w:r>
              <w:t>0.66</w:t>
            </w:r>
          </w:p>
        </w:tc>
      </w:tr>
      <w:tr w:rsidR="00FF693D" w:rsidRPr="000577B2" w14:paraId="05F8AA95" w14:textId="77777777" w:rsidTr="00FF693D">
        <w:tc>
          <w:tcPr>
            <w:tcW w:w="3026" w:type="dxa"/>
          </w:tcPr>
          <w:p w14:paraId="1AD66002" w14:textId="1B431B6F" w:rsidR="00FF693D" w:rsidRDefault="00FF693D" w:rsidP="00FF693D">
            <w:pPr>
              <w:pStyle w:val="Jacobnormal"/>
              <w:spacing w:line="240" w:lineRule="auto"/>
            </w:pPr>
            <w:r w:rsidRPr="000577B2">
              <w:t>~diversity</w:t>
            </w:r>
          </w:p>
        </w:tc>
        <w:tc>
          <w:tcPr>
            <w:tcW w:w="3026" w:type="dxa"/>
          </w:tcPr>
          <w:p w14:paraId="2D2DDF9B" w14:textId="78803222" w:rsidR="00FF693D" w:rsidRDefault="00FF693D" w:rsidP="00FF693D">
            <w:pPr>
              <w:pStyle w:val="Jacobnormal"/>
              <w:spacing w:line="240" w:lineRule="auto"/>
            </w:pPr>
            <w:r w:rsidRPr="000577B2">
              <w:t>0.42</w:t>
            </w:r>
          </w:p>
        </w:tc>
        <w:tc>
          <w:tcPr>
            <w:tcW w:w="3020" w:type="dxa"/>
          </w:tcPr>
          <w:p w14:paraId="53E7FD99" w14:textId="6910471F" w:rsidR="00FF693D" w:rsidRDefault="00FF693D" w:rsidP="00FF693D">
            <w:pPr>
              <w:pStyle w:val="Jacobnormal"/>
              <w:spacing w:line="240" w:lineRule="auto"/>
            </w:pPr>
            <w:r w:rsidRPr="000577B2">
              <w:t>0.82</w:t>
            </w:r>
          </w:p>
        </w:tc>
      </w:tr>
      <w:tr w:rsidR="00FF693D" w:rsidRPr="000577B2" w14:paraId="2964FB58" w14:textId="77777777" w:rsidTr="00FF693D">
        <w:tc>
          <w:tcPr>
            <w:tcW w:w="3026" w:type="dxa"/>
          </w:tcPr>
          <w:p w14:paraId="3E273BDB" w14:textId="03FE3357" w:rsidR="00FF693D" w:rsidRPr="000577B2" w:rsidRDefault="00FF693D" w:rsidP="00FF693D">
            <w:pPr>
              <w:pStyle w:val="Jacobnormal"/>
              <w:spacing w:line="240" w:lineRule="auto"/>
            </w:pPr>
            <w:r>
              <w:t>hardship</w:t>
            </w:r>
          </w:p>
        </w:tc>
        <w:tc>
          <w:tcPr>
            <w:tcW w:w="3026" w:type="dxa"/>
          </w:tcPr>
          <w:p w14:paraId="023020FF" w14:textId="7B70E0A1" w:rsidR="00FF693D" w:rsidRPr="000577B2" w:rsidRDefault="00FF693D" w:rsidP="00FF693D">
            <w:pPr>
              <w:pStyle w:val="Jacobnormal"/>
              <w:spacing w:line="240" w:lineRule="auto"/>
            </w:pPr>
            <w:r>
              <w:t>0.26</w:t>
            </w:r>
          </w:p>
        </w:tc>
        <w:tc>
          <w:tcPr>
            <w:tcW w:w="3020" w:type="dxa"/>
          </w:tcPr>
          <w:p w14:paraId="0B6E8159" w14:textId="6C05E03B" w:rsidR="00FF693D" w:rsidRPr="000577B2" w:rsidRDefault="00FF693D" w:rsidP="00FF693D">
            <w:pPr>
              <w:pStyle w:val="Jacobnormal"/>
              <w:spacing w:line="240" w:lineRule="auto"/>
            </w:pPr>
            <w:r>
              <w:t>0.58</w:t>
            </w:r>
          </w:p>
        </w:tc>
      </w:tr>
      <w:tr w:rsidR="00FF693D" w:rsidRPr="000577B2" w14:paraId="3EEF38D5" w14:textId="77777777" w:rsidTr="00FF693D">
        <w:tc>
          <w:tcPr>
            <w:tcW w:w="3026" w:type="dxa"/>
          </w:tcPr>
          <w:p w14:paraId="4A7BEAAE" w14:textId="4C969895" w:rsidR="00FF693D" w:rsidRDefault="00FF693D" w:rsidP="00FF693D">
            <w:pPr>
              <w:pStyle w:val="Jacobnormal"/>
              <w:spacing w:line="240" w:lineRule="auto"/>
            </w:pPr>
            <w:r w:rsidRPr="000577B2">
              <w:t>~hardship</w:t>
            </w:r>
          </w:p>
        </w:tc>
        <w:tc>
          <w:tcPr>
            <w:tcW w:w="3026" w:type="dxa"/>
          </w:tcPr>
          <w:p w14:paraId="0EE6EDDB" w14:textId="48687973" w:rsidR="00FF693D" w:rsidRDefault="00FF693D" w:rsidP="00FF693D">
            <w:pPr>
              <w:pStyle w:val="Jacobnormal"/>
              <w:spacing w:line="240" w:lineRule="auto"/>
            </w:pPr>
            <w:r w:rsidRPr="000577B2">
              <w:t>0.86</w:t>
            </w:r>
          </w:p>
        </w:tc>
        <w:tc>
          <w:tcPr>
            <w:tcW w:w="3020" w:type="dxa"/>
          </w:tcPr>
          <w:p w14:paraId="4C3F9977" w14:textId="6B080B23" w:rsidR="00FF693D" w:rsidRDefault="00FF693D" w:rsidP="00FF693D">
            <w:pPr>
              <w:pStyle w:val="Jacobnormal"/>
              <w:spacing w:line="240" w:lineRule="auto"/>
            </w:pPr>
            <w:r w:rsidRPr="000577B2">
              <w:t>0.70</w:t>
            </w:r>
          </w:p>
        </w:tc>
      </w:tr>
      <w:tr w:rsidR="00FF693D" w:rsidRPr="000577B2" w14:paraId="1F23208E" w14:textId="77777777" w:rsidTr="00FF693D">
        <w:tc>
          <w:tcPr>
            <w:tcW w:w="3026" w:type="dxa"/>
          </w:tcPr>
          <w:p w14:paraId="41E37AB4" w14:textId="72A9E9A7" w:rsidR="00FF693D" w:rsidRPr="000577B2" w:rsidRDefault="00FF693D" w:rsidP="00FF693D">
            <w:pPr>
              <w:pStyle w:val="Jacobnormal"/>
              <w:spacing w:line="240" w:lineRule="auto"/>
            </w:pPr>
            <w:r w:rsidRPr="000577B2">
              <w:t>support</w:t>
            </w:r>
          </w:p>
        </w:tc>
        <w:tc>
          <w:tcPr>
            <w:tcW w:w="3026" w:type="dxa"/>
          </w:tcPr>
          <w:p w14:paraId="4EE717F7" w14:textId="7B75A7E5" w:rsidR="00FF693D" w:rsidRPr="000577B2" w:rsidRDefault="00FF693D" w:rsidP="00FF693D">
            <w:pPr>
              <w:pStyle w:val="Jacobnormal"/>
              <w:spacing w:line="240" w:lineRule="auto"/>
            </w:pPr>
            <w:r w:rsidRPr="000577B2">
              <w:t>0.49</w:t>
            </w:r>
          </w:p>
        </w:tc>
        <w:tc>
          <w:tcPr>
            <w:tcW w:w="3020" w:type="dxa"/>
          </w:tcPr>
          <w:p w14:paraId="128F5100" w14:textId="6BB702AF" w:rsidR="00FF693D" w:rsidRPr="000577B2" w:rsidRDefault="00FF693D" w:rsidP="00FF693D">
            <w:pPr>
              <w:pStyle w:val="Jacobnormal"/>
              <w:spacing w:line="240" w:lineRule="auto"/>
            </w:pPr>
            <w:r w:rsidRPr="000577B2">
              <w:t>0.84</w:t>
            </w:r>
          </w:p>
        </w:tc>
      </w:tr>
      <w:tr w:rsidR="00FF693D" w:rsidRPr="000577B2" w14:paraId="56F9DCA4" w14:textId="77777777" w:rsidTr="00FF693D">
        <w:tc>
          <w:tcPr>
            <w:tcW w:w="3026" w:type="dxa"/>
          </w:tcPr>
          <w:p w14:paraId="0514B585" w14:textId="57CB9BF0" w:rsidR="00FF693D" w:rsidRPr="000577B2" w:rsidRDefault="00FF693D" w:rsidP="00FF693D">
            <w:pPr>
              <w:pStyle w:val="Jacobnormal"/>
              <w:spacing w:line="240" w:lineRule="auto"/>
            </w:pPr>
            <w:r w:rsidRPr="000577B2">
              <w:t>~</w:t>
            </w:r>
            <w:r>
              <w:t>support</w:t>
            </w:r>
          </w:p>
        </w:tc>
        <w:tc>
          <w:tcPr>
            <w:tcW w:w="3026" w:type="dxa"/>
          </w:tcPr>
          <w:p w14:paraId="06846E2F" w14:textId="597300A4" w:rsidR="00FF693D" w:rsidRPr="000577B2" w:rsidRDefault="00FF693D" w:rsidP="00FF693D">
            <w:pPr>
              <w:pStyle w:val="Jacobnormal"/>
              <w:spacing w:line="240" w:lineRule="auto"/>
            </w:pPr>
            <w:r>
              <w:t>0.67</w:t>
            </w:r>
          </w:p>
        </w:tc>
        <w:tc>
          <w:tcPr>
            <w:tcW w:w="3020" w:type="dxa"/>
          </w:tcPr>
          <w:p w14:paraId="2183C3C3" w14:textId="19418BCE" w:rsidR="00FF693D" w:rsidRPr="000577B2" w:rsidRDefault="00FF693D" w:rsidP="00FF693D">
            <w:pPr>
              <w:pStyle w:val="Jacobnormal"/>
              <w:spacing w:line="240" w:lineRule="auto"/>
            </w:pPr>
            <w:r>
              <w:t>0.62</w:t>
            </w:r>
          </w:p>
        </w:tc>
      </w:tr>
      <w:tr w:rsidR="00FF693D" w:rsidRPr="000577B2" w14:paraId="6A4B31AF" w14:textId="77777777" w:rsidTr="00FF693D">
        <w:tc>
          <w:tcPr>
            <w:tcW w:w="3026" w:type="dxa"/>
          </w:tcPr>
          <w:p w14:paraId="39DD6C18" w14:textId="6C236C10" w:rsidR="00FF693D" w:rsidRPr="000577B2" w:rsidRDefault="00FF693D" w:rsidP="00FF693D">
            <w:pPr>
              <w:pStyle w:val="Jacobnormal"/>
              <w:spacing w:line="240" w:lineRule="auto"/>
            </w:pPr>
            <w:r>
              <w:t>legacies</w:t>
            </w:r>
          </w:p>
        </w:tc>
        <w:tc>
          <w:tcPr>
            <w:tcW w:w="3026" w:type="dxa"/>
          </w:tcPr>
          <w:p w14:paraId="7E88B885" w14:textId="45CEDAB0" w:rsidR="00FF693D" w:rsidRDefault="00FF693D" w:rsidP="00FF693D">
            <w:pPr>
              <w:pStyle w:val="Jacobnormal"/>
              <w:spacing w:line="240" w:lineRule="auto"/>
            </w:pPr>
            <w:r>
              <w:t>0.30</w:t>
            </w:r>
          </w:p>
        </w:tc>
        <w:tc>
          <w:tcPr>
            <w:tcW w:w="3020" w:type="dxa"/>
          </w:tcPr>
          <w:p w14:paraId="5E1BC46B" w14:textId="09DC840B" w:rsidR="00FF693D" w:rsidRDefault="00FF693D" w:rsidP="00FF693D">
            <w:pPr>
              <w:pStyle w:val="Jacobnormal"/>
              <w:spacing w:line="240" w:lineRule="auto"/>
            </w:pPr>
            <w:r>
              <w:t>0.46</w:t>
            </w:r>
          </w:p>
        </w:tc>
      </w:tr>
      <w:tr w:rsidR="00FF693D" w:rsidRPr="000577B2" w14:paraId="7797DC4C" w14:textId="77777777" w:rsidTr="00FF693D">
        <w:tc>
          <w:tcPr>
            <w:tcW w:w="3026" w:type="dxa"/>
          </w:tcPr>
          <w:p w14:paraId="7B4051C5" w14:textId="04C6088C" w:rsidR="00FF693D" w:rsidRDefault="00FF693D" w:rsidP="00FF693D">
            <w:pPr>
              <w:pStyle w:val="Jacobnormal"/>
              <w:spacing w:line="240" w:lineRule="auto"/>
            </w:pPr>
            <w:r w:rsidRPr="000577B2">
              <w:t>~legacies</w:t>
            </w:r>
          </w:p>
        </w:tc>
        <w:tc>
          <w:tcPr>
            <w:tcW w:w="3026" w:type="dxa"/>
          </w:tcPr>
          <w:p w14:paraId="6D8DE115" w14:textId="3C42A4F2" w:rsidR="00FF693D" w:rsidRDefault="00FF693D" w:rsidP="00FF693D">
            <w:pPr>
              <w:pStyle w:val="Jacobnormal"/>
              <w:spacing w:line="240" w:lineRule="auto"/>
            </w:pPr>
            <w:r w:rsidRPr="000577B2">
              <w:t>0.77</w:t>
            </w:r>
          </w:p>
        </w:tc>
        <w:tc>
          <w:tcPr>
            <w:tcW w:w="3020" w:type="dxa"/>
          </w:tcPr>
          <w:p w14:paraId="7700DFD5" w14:textId="63BEB9B2" w:rsidR="00FF693D" w:rsidRDefault="00FF693D" w:rsidP="00FF693D">
            <w:pPr>
              <w:pStyle w:val="Jacobnormal"/>
              <w:spacing w:line="240" w:lineRule="auto"/>
            </w:pPr>
            <w:r w:rsidRPr="000577B2">
              <w:t>0.72</w:t>
            </w:r>
          </w:p>
        </w:tc>
      </w:tr>
      <w:tr w:rsidR="00FF693D" w:rsidRPr="000577B2" w14:paraId="08DA5805" w14:textId="77777777" w:rsidTr="00FF693D">
        <w:tc>
          <w:tcPr>
            <w:tcW w:w="3026" w:type="dxa"/>
          </w:tcPr>
          <w:p w14:paraId="74F61312" w14:textId="3E7B3EC2" w:rsidR="00FF693D" w:rsidRPr="000577B2" w:rsidRDefault="00FF693D" w:rsidP="00FF693D">
            <w:pPr>
              <w:pStyle w:val="Jacobnormal"/>
              <w:spacing w:line="240" w:lineRule="auto"/>
            </w:pPr>
            <w:r>
              <w:t>repression</w:t>
            </w:r>
          </w:p>
        </w:tc>
        <w:tc>
          <w:tcPr>
            <w:tcW w:w="3026" w:type="dxa"/>
          </w:tcPr>
          <w:p w14:paraId="1F467D7F" w14:textId="7A3B8B38" w:rsidR="00FF693D" w:rsidRPr="000577B2" w:rsidRDefault="00FF693D" w:rsidP="00FF693D">
            <w:pPr>
              <w:pStyle w:val="Jacobnormal"/>
              <w:spacing w:line="240" w:lineRule="auto"/>
            </w:pPr>
            <w:r>
              <w:t>0.26</w:t>
            </w:r>
          </w:p>
        </w:tc>
        <w:tc>
          <w:tcPr>
            <w:tcW w:w="3020" w:type="dxa"/>
          </w:tcPr>
          <w:p w14:paraId="6E493099" w14:textId="35110168" w:rsidR="00FF693D" w:rsidRPr="000577B2" w:rsidRDefault="00FF693D" w:rsidP="00FF693D">
            <w:pPr>
              <w:pStyle w:val="Jacobnormal"/>
              <w:spacing w:line="240" w:lineRule="auto"/>
            </w:pPr>
            <w:r>
              <w:t>0.52</w:t>
            </w:r>
          </w:p>
        </w:tc>
      </w:tr>
      <w:tr w:rsidR="00FF693D" w:rsidRPr="000577B2" w14:paraId="6D09588F" w14:textId="77777777" w:rsidTr="00FF693D">
        <w:tc>
          <w:tcPr>
            <w:tcW w:w="3026" w:type="dxa"/>
          </w:tcPr>
          <w:p w14:paraId="4304E8C2" w14:textId="0DC7B5D9" w:rsidR="00FF693D" w:rsidRDefault="00FF693D" w:rsidP="00FF693D">
            <w:pPr>
              <w:pStyle w:val="Jacobnormal"/>
              <w:spacing w:line="240" w:lineRule="auto"/>
            </w:pPr>
            <w:r w:rsidRPr="000577B2">
              <w:t>~repression</w:t>
            </w:r>
          </w:p>
        </w:tc>
        <w:tc>
          <w:tcPr>
            <w:tcW w:w="3026" w:type="dxa"/>
          </w:tcPr>
          <w:p w14:paraId="2E6229FA" w14:textId="4197F9D5" w:rsidR="00FF693D" w:rsidRDefault="00FF693D" w:rsidP="00FF693D">
            <w:pPr>
              <w:pStyle w:val="Jacobnormal"/>
              <w:spacing w:line="240" w:lineRule="auto"/>
            </w:pPr>
            <w:r w:rsidRPr="000577B2">
              <w:t>0.86</w:t>
            </w:r>
          </w:p>
        </w:tc>
        <w:tc>
          <w:tcPr>
            <w:tcW w:w="3020" w:type="dxa"/>
          </w:tcPr>
          <w:p w14:paraId="06F12AF3" w14:textId="7E583C76" w:rsidR="00FF693D" w:rsidRDefault="00FF693D" w:rsidP="00FF693D">
            <w:pPr>
              <w:pStyle w:val="Jacobnormal"/>
              <w:spacing w:line="240" w:lineRule="auto"/>
            </w:pPr>
            <w:r w:rsidRPr="000577B2">
              <w:t>0.73</w:t>
            </w:r>
          </w:p>
        </w:tc>
      </w:tr>
      <w:tr w:rsidR="00FF693D" w:rsidRPr="000577B2" w14:paraId="424E7EB8" w14:textId="77777777" w:rsidTr="00FF693D">
        <w:tc>
          <w:tcPr>
            <w:tcW w:w="3026" w:type="dxa"/>
          </w:tcPr>
          <w:p w14:paraId="13666569" w14:textId="6A297679" w:rsidR="00FF693D" w:rsidRPr="000577B2" w:rsidRDefault="00FF693D" w:rsidP="00FF693D">
            <w:pPr>
              <w:pStyle w:val="Jacobnormal"/>
              <w:spacing w:line="240" w:lineRule="auto"/>
            </w:pPr>
            <w:r>
              <w:t>aggression</w:t>
            </w:r>
          </w:p>
        </w:tc>
        <w:tc>
          <w:tcPr>
            <w:tcW w:w="3026" w:type="dxa"/>
          </w:tcPr>
          <w:p w14:paraId="5A4D2A36" w14:textId="43A4CFA6" w:rsidR="00FF693D" w:rsidRPr="000577B2" w:rsidRDefault="00FF693D" w:rsidP="00FF693D">
            <w:pPr>
              <w:pStyle w:val="Jacobnormal"/>
              <w:spacing w:line="240" w:lineRule="auto"/>
            </w:pPr>
            <w:r>
              <w:t>0.12</w:t>
            </w:r>
          </w:p>
        </w:tc>
        <w:tc>
          <w:tcPr>
            <w:tcW w:w="3020" w:type="dxa"/>
          </w:tcPr>
          <w:p w14:paraId="5D5934E1" w14:textId="64747C8B" w:rsidR="00FF693D" w:rsidRPr="000577B2" w:rsidRDefault="00FF693D" w:rsidP="00FF693D">
            <w:pPr>
              <w:pStyle w:val="Jacobnormal"/>
              <w:spacing w:line="240" w:lineRule="auto"/>
            </w:pPr>
            <w:r>
              <w:t>0.31</w:t>
            </w:r>
          </w:p>
        </w:tc>
      </w:tr>
      <w:tr w:rsidR="00FF693D" w:rsidRPr="000577B2" w14:paraId="3DEC885F" w14:textId="77777777" w:rsidTr="00FF693D">
        <w:tc>
          <w:tcPr>
            <w:tcW w:w="3026" w:type="dxa"/>
            <w:tcBorders>
              <w:bottom w:val="single" w:sz="4" w:space="0" w:color="auto"/>
            </w:tcBorders>
          </w:tcPr>
          <w:p w14:paraId="7FD168DF" w14:textId="0935FBB5" w:rsidR="00FF693D" w:rsidRPr="000577B2" w:rsidRDefault="00FF693D" w:rsidP="00FF693D">
            <w:pPr>
              <w:pStyle w:val="Jacobnormal"/>
              <w:spacing w:line="240" w:lineRule="auto"/>
            </w:pPr>
            <w:r w:rsidRPr="000577B2">
              <w:t>~aggression</w:t>
            </w:r>
          </w:p>
        </w:tc>
        <w:tc>
          <w:tcPr>
            <w:tcW w:w="3026" w:type="dxa"/>
            <w:tcBorders>
              <w:bottom w:val="single" w:sz="4" w:space="0" w:color="auto"/>
            </w:tcBorders>
          </w:tcPr>
          <w:p w14:paraId="1FB13C82" w14:textId="6428434D" w:rsidR="00FF693D" w:rsidRPr="000577B2" w:rsidRDefault="00FF693D" w:rsidP="00FF693D">
            <w:pPr>
              <w:pStyle w:val="Jacobnormal"/>
              <w:spacing w:line="240" w:lineRule="auto"/>
            </w:pPr>
            <w:r w:rsidRPr="000577B2">
              <w:t>0.98</w:t>
            </w:r>
          </w:p>
        </w:tc>
        <w:tc>
          <w:tcPr>
            <w:tcW w:w="3020" w:type="dxa"/>
            <w:tcBorders>
              <w:bottom w:val="single" w:sz="4" w:space="0" w:color="auto"/>
            </w:tcBorders>
          </w:tcPr>
          <w:p w14:paraId="6D6B06B0" w14:textId="470DF82F" w:rsidR="00FF693D" w:rsidRPr="000577B2" w:rsidRDefault="00FF693D" w:rsidP="00FF693D">
            <w:pPr>
              <w:pStyle w:val="Jacobnormal"/>
              <w:spacing w:line="240" w:lineRule="auto"/>
            </w:pPr>
            <w:r w:rsidRPr="000577B2">
              <w:t>0.75</w:t>
            </w:r>
          </w:p>
        </w:tc>
      </w:tr>
    </w:tbl>
    <w:p w14:paraId="7A05B553" w14:textId="38F49A0A" w:rsidR="00960E58" w:rsidRPr="000577B2" w:rsidRDefault="00960E58" w:rsidP="00CC645A">
      <w:pPr>
        <w:pStyle w:val="Jacobnormal"/>
        <w:spacing w:line="240" w:lineRule="auto"/>
      </w:pPr>
    </w:p>
    <w:p w14:paraId="3849C9CA" w14:textId="77777777" w:rsidR="004115DA" w:rsidRDefault="00C367C2" w:rsidP="004115DA">
      <w:pPr>
        <w:pStyle w:val="Jacobnormal"/>
        <w:spacing w:line="360" w:lineRule="auto"/>
      </w:pPr>
      <w:r w:rsidRPr="000577B2">
        <w:t>Notably, both ~</w:t>
      </w:r>
      <w:r w:rsidRPr="000577B2">
        <w:rPr>
          <w:i/>
        </w:rPr>
        <w:t xml:space="preserve">diversity </w:t>
      </w:r>
      <w:r w:rsidRPr="000577B2">
        <w:t>and</w:t>
      </w:r>
      <w:r w:rsidRPr="000577B2">
        <w:rPr>
          <w:i/>
        </w:rPr>
        <w:t xml:space="preserve"> support</w:t>
      </w:r>
      <w:r w:rsidRPr="000577B2">
        <w:t xml:space="preserve"> receive low consistency scores, suggesting that </w:t>
      </w:r>
      <w:r w:rsidR="0057670B" w:rsidRPr="000577B2">
        <w:t>these two conditions derived from</w:t>
      </w:r>
      <w:r w:rsidRPr="000577B2">
        <w:t xml:space="preserve"> </w:t>
      </w:r>
      <w:r w:rsidR="0057670B" w:rsidRPr="000577B2">
        <w:t xml:space="preserve">the </w:t>
      </w:r>
      <w:r w:rsidRPr="000577B2">
        <w:t xml:space="preserve">grievance and opportunity models offer inconsistent explanations of the non-occurrence of RTV. </w:t>
      </w:r>
      <w:r w:rsidR="0057670B" w:rsidRPr="000577B2">
        <w:t xml:space="preserve">At the same time, </w:t>
      </w:r>
      <w:r w:rsidR="0057670B" w:rsidRPr="000577B2">
        <w:rPr>
          <w:i/>
        </w:rPr>
        <w:t>~hardship</w:t>
      </w:r>
      <w:r w:rsidR="0057670B" w:rsidRPr="000577B2">
        <w:t xml:space="preserve"> (grievances), </w:t>
      </w:r>
      <w:r w:rsidR="0057670B" w:rsidRPr="000577B2">
        <w:rPr>
          <w:i/>
        </w:rPr>
        <w:t>~legacies</w:t>
      </w:r>
      <w:r w:rsidR="0057670B" w:rsidRPr="000577B2">
        <w:t xml:space="preserve"> (opportunities), </w:t>
      </w:r>
      <w:r w:rsidR="0057670B" w:rsidRPr="000577B2">
        <w:rPr>
          <w:i/>
        </w:rPr>
        <w:t>~aggression</w:t>
      </w:r>
      <w:r w:rsidR="0057670B" w:rsidRPr="000577B2">
        <w:t xml:space="preserve"> (</w:t>
      </w:r>
      <w:r w:rsidR="00384092" w:rsidRPr="000577B2">
        <w:t>polarization</w:t>
      </w:r>
      <w:r w:rsidR="0057670B" w:rsidRPr="000577B2">
        <w:t xml:space="preserve">) and </w:t>
      </w:r>
      <w:r w:rsidR="0057670B" w:rsidRPr="000577B2">
        <w:rPr>
          <w:i/>
        </w:rPr>
        <w:t>~repression</w:t>
      </w:r>
      <w:r w:rsidR="0057670B" w:rsidRPr="000577B2">
        <w:t xml:space="preserve"> (</w:t>
      </w:r>
      <w:r w:rsidR="00384092" w:rsidRPr="000577B2">
        <w:t>polarization</w:t>
      </w:r>
      <w:r w:rsidR="0057670B" w:rsidRPr="000577B2">
        <w:t xml:space="preserve">) receive far better consistency scores. However, their relatively poor coverage scores show that they only explain subsets </w:t>
      </w:r>
      <w:r w:rsidR="000544C7">
        <w:t>of the</w:t>
      </w:r>
      <w:r w:rsidR="0057670B" w:rsidRPr="000577B2">
        <w:t xml:space="preserve"> negated outcome set. These findings thus call for a more complexity</w:t>
      </w:r>
      <w:r w:rsidR="00AB1B5B">
        <w:t>-</w:t>
      </w:r>
      <w:r w:rsidR="0057670B" w:rsidRPr="000577B2">
        <w:t xml:space="preserve">oriented analysis investigating different combinations of conditions </w:t>
      </w:r>
      <w:r w:rsidR="00BB6CA6" w:rsidRPr="000577B2">
        <w:t>to arrive at a</w:t>
      </w:r>
      <w:r w:rsidR="00211F6E">
        <w:t>n</w:t>
      </w:r>
      <w:r w:rsidR="00BB6CA6" w:rsidRPr="000577B2">
        <w:t xml:space="preserve"> explanation</w:t>
      </w:r>
      <w:r w:rsidR="00211F6E">
        <w:t xml:space="preserve"> that covers</w:t>
      </w:r>
      <w:r w:rsidR="004F4655" w:rsidRPr="000577B2">
        <w:t xml:space="preserve"> more cases</w:t>
      </w:r>
      <w:r w:rsidRPr="000577B2">
        <w:t>.</w:t>
      </w:r>
      <w:r w:rsidR="00BB6CA6" w:rsidRPr="000577B2">
        <w:t xml:space="preserve"> This brings u</w:t>
      </w:r>
      <w:r w:rsidR="004115DA">
        <w:t>s to the sufficiency analysis.</w:t>
      </w:r>
    </w:p>
    <w:p w14:paraId="70CC74D3" w14:textId="3025E187" w:rsidR="00DA03FE" w:rsidRDefault="00763F19" w:rsidP="004115DA">
      <w:pPr>
        <w:pStyle w:val="Jacobnormal"/>
        <w:spacing w:line="360" w:lineRule="auto"/>
        <w:ind w:firstLine="426"/>
      </w:pPr>
      <w:r w:rsidRPr="000577B2">
        <w:t xml:space="preserve">The intermediate solution of </w:t>
      </w:r>
      <w:r w:rsidR="000544C7">
        <w:t xml:space="preserve">a sufficiency analysis of </w:t>
      </w:r>
      <w:r w:rsidRPr="000577B2">
        <w:t xml:space="preserve">my negated set </w:t>
      </w:r>
      <w:r w:rsidR="00DE6B05" w:rsidRPr="000577B2">
        <w:t xml:space="preserve">includes four </w:t>
      </w:r>
      <w:r w:rsidRPr="000577B2">
        <w:t>causal recipes</w:t>
      </w:r>
      <w:r w:rsidR="00DE6B05" w:rsidRPr="000577B2">
        <w:t xml:space="preserve">, as </w:t>
      </w:r>
      <w:r w:rsidR="004F4655" w:rsidRPr="000577B2">
        <w:t>illustrated by</w:t>
      </w:r>
      <w:r w:rsidR="00DE6B05" w:rsidRPr="000577B2">
        <w:t xml:space="preserve"> </w:t>
      </w:r>
      <w:r w:rsidR="00CC645A">
        <w:t>T</w:t>
      </w:r>
      <w:r w:rsidR="00DE6B05" w:rsidRPr="000577B2">
        <w:t xml:space="preserve">able </w:t>
      </w:r>
      <w:r w:rsidR="00CC645A">
        <w:t>11</w:t>
      </w:r>
      <w:r w:rsidR="00DE6B05" w:rsidRPr="000577B2">
        <w:t>.</w:t>
      </w:r>
      <w:r w:rsidRPr="000577B2">
        <w:t xml:space="preserve"> </w:t>
      </w:r>
    </w:p>
    <w:p w14:paraId="15D0DA6D" w14:textId="7D8F3EF3" w:rsidR="00CC645A" w:rsidRDefault="00CC645A" w:rsidP="00CC645A">
      <w:pPr>
        <w:pStyle w:val="Jacobnormal"/>
        <w:spacing w:line="360" w:lineRule="auto"/>
        <w:ind w:firstLine="720"/>
      </w:pPr>
    </w:p>
    <w:p w14:paraId="7B6EFB7E" w14:textId="473D9411" w:rsidR="00CC645A" w:rsidRDefault="00CC645A" w:rsidP="00CC645A">
      <w:pPr>
        <w:pStyle w:val="Jacobnormal"/>
        <w:spacing w:line="360" w:lineRule="auto"/>
        <w:ind w:firstLine="720"/>
      </w:pPr>
    </w:p>
    <w:p w14:paraId="70CE2317" w14:textId="2377382C" w:rsidR="00CC645A" w:rsidRPr="000577B2" w:rsidRDefault="00CC645A" w:rsidP="00B948EA">
      <w:pPr>
        <w:pStyle w:val="Jacobnormal"/>
        <w:spacing w:line="36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1378"/>
        <w:gridCol w:w="1253"/>
        <w:gridCol w:w="1688"/>
      </w:tblGrid>
      <w:tr w:rsidR="002816BC" w:rsidRPr="000577B2" w14:paraId="536B6D15" w14:textId="77777777" w:rsidTr="002816BC">
        <w:tc>
          <w:tcPr>
            <w:tcW w:w="9072" w:type="dxa"/>
            <w:gridSpan w:val="4"/>
            <w:tcBorders>
              <w:top w:val="nil"/>
              <w:bottom w:val="single" w:sz="4" w:space="0" w:color="auto"/>
            </w:tcBorders>
            <w:vAlign w:val="bottom"/>
          </w:tcPr>
          <w:p w14:paraId="62CC51CF" w14:textId="0C8C053A" w:rsidR="002816BC" w:rsidRPr="000577B2" w:rsidRDefault="006E4391" w:rsidP="00CC645A">
            <w:pPr>
              <w:pStyle w:val="Jacobnormal"/>
              <w:spacing w:line="240" w:lineRule="auto"/>
              <w:rPr>
                <w:i/>
              </w:rPr>
            </w:pPr>
            <w:r>
              <w:rPr>
                <w:i/>
              </w:rPr>
              <w:t>Table 12</w:t>
            </w:r>
            <w:r w:rsidR="002816BC" w:rsidRPr="000577B2">
              <w:rPr>
                <w:i/>
              </w:rPr>
              <w:t>.</w:t>
            </w:r>
            <w:r w:rsidR="002816BC" w:rsidRPr="000577B2">
              <w:t xml:space="preserve"> Solution terms from negate</w:t>
            </w:r>
            <w:r w:rsidR="00AB1B5B">
              <w:t>d</w:t>
            </w:r>
            <w:r w:rsidR="002816BC" w:rsidRPr="000577B2">
              <w:t xml:space="preserve"> set analysis</w:t>
            </w:r>
          </w:p>
        </w:tc>
      </w:tr>
      <w:tr w:rsidR="00F10A79" w:rsidRPr="000577B2" w14:paraId="08F547C4" w14:textId="77777777" w:rsidTr="002816BC">
        <w:tc>
          <w:tcPr>
            <w:tcW w:w="4753" w:type="dxa"/>
            <w:tcBorders>
              <w:top w:val="single" w:sz="4" w:space="0" w:color="auto"/>
              <w:bottom w:val="single" w:sz="4" w:space="0" w:color="auto"/>
            </w:tcBorders>
            <w:vAlign w:val="bottom"/>
          </w:tcPr>
          <w:p w14:paraId="3BD0696C" w14:textId="77777777" w:rsidR="00F10A79" w:rsidRPr="000577B2" w:rsidRDefault="00F10A79" w:rsidP="00CC645A">
            <w:pPr>
              <w:pStyle w:val="Jacobnormal"/>
              <w:spacing w:line="240" w:lineRule="auto"/>
            </w:pPr>
            <w:r w:rsidRPr="000577B2">
              <w:rPr>
                <w:i/>
              </w:rPr>
              <w:t>Causal recipes</w:t>
            </w:r>
          </w:p>
        </w:tc>
        <w:tc>
          <w:tcPr>
            <w:tcW w:w="1378" w:type="dxa"/>
            <w:tcBorders>
              <w:top w:val="single" w:sz="4" w:space="0" w:color="auto"/>
              <w:bottom w:val="single" w:sz="4" w:space="0" w:color="auto"/>
            </w:tcBorders>
          </w:tcPr>
          <w:p w14:paraId="45691B7E" w14:textId="77777777" w:rsidR="00F10A79" w:rsidRPr="000577B2" w:rsidRDefault="00F10A79" w:rsidP="00CC645A">
            <w:pPr>
              <w:pStyle w:val="Jacobnormal"/>
              <w:spacing w:line="240" w:lineRule="auto"/>
              <w:rPr>
                <w:i/>
              </w:rPr>
            </w:pPr>
            <w:r w:rsidRPr="000577B2">
              <w:rPr>
                <w:i/>
              </w:rPr>
              <w:t>Raw coverage</w:t>
            </w:r>
          </w:p>
        </w:tc>
        <w:tc>
          <w:tcPr>
            <w:tcW w:w="1253" w:type="dxa"/>
            <w:tcBorders>
              <w:top w:val="single" w:sz="4" w:space="0" w:color="auto"/>
              <w:bottom w:val="single" w:sz="4" w:space="0" w:color="auto"/>
            </w:tcBorders>
          </w:tcPr>
          <w:p w14:paraId="6C5080A5" w14:textId="77777777" w:rsidR="00F10A79" w:rsidRPr="000577B2" w:rsidRDefault="00F10A79" w:rsidP="00CC645A">
            <w:pPr>
              <w:pStyle w:val="Jacobnormal"/>
              <w:spacing w:line="240" w:lineRule="auto"/>
              <w:rPr>
                <w:i/>
              </w:rPr>
            </w:pPr>
            <w:r w:rsidRPr="000577B2">
              <w:rPr>
                <w:i/>
              </w:rPr>
              <w:t>Unique coverage</w:t>
            </w:r>
          </w:p>
        </w:tc>
        <w:tc>
          <w:tcPr>
            <w:tcW w:w="1688" w:type="dxa"/>
            <w:tcBorders>
              <w:top w:val="single" w:sz="4" w:space="0" w:color="auto"/>
              <w:bottom w:val="single" w:sz="4" w:space="0" w:color="auto"/>
            </w:tcBorders>
          </w:tcPr>
          <w:p w14:paraId="67642BE8" w14:textId="77777777" w:rsidR="00F10A79" w:rsidRPr="000577B2" w:rsidRDefault="00F10A79" w:rsidP="00CC645A">
            <w:pPr>
              <w:pStyle w:val="Jacobnormal"/>
              <w:spacing w:line="240" w:lineRule="auto"/>
              <w:rPr>
                <w:i/>
              </w:rPr>
            </w:pPr>
            <w:r w:rsidRPr="000577B2">
              <w:rPr>
                <w:i/>
              </w:rPr>
              <w:t>Consistency</w:t>
            </w:r>
          </w:p>
        </w:tc>
      </w:tr>
      <w:tr w:rsidR="00F10A79" w:rsidRPr="000577B2" w14:paraId="64BA2467" w14:textId="77777777" w:rsidTr="002816BC">
        <w:tc>
          <w:tcPr>
            <w:tcW w:w="9072" w:type="dxa"/>
            <w:gridSpan w:val="4"/>
            <w:tcBorders>
              <w:top w:val="single" w:sz="4" w:space="0" w:color="auto"/>
              <w:bottom w:val="nil"/>
            </w:tcBorders>
          </w:tcPr>
          <w:p w14:paraId="44CECD92" w14:textId="77777777" w:rsidR="00F10A79" w:rsidRPr="000577B2" w:rsidRDefault="00F10A79" w:rsidP="00CC645A">
            <w:pPr>
              <w:pStyle w:val="Jacobnormal"/>
              <w:spacing w:line="240" w:lineRule="auto"/>
            </w:pPr>
            <w:r w:rsidRPr="000577B2">
              <w:t>Frequency cut-off: 1.00</w:t>
            </w:r>
          </w:p>
          <w:p w14:paraId="4CB129B0" w14:textId="3422F514" w:rsidR="00F10A79" w:rsidRPr="000577B2" w:rsidRDefault="00F10A79" w:rsidP="00CC645A">
            <w:pPr>
              <w:pStyle w:val="Jacobnormal"/>
              <w:spacing w:line="240" w:lineRule="auto"/>
            </w:pPr>
            <w:r w:rsidRPr="000577B2">
              <w:t>C</w:t>
            </w:r>
            <w:r w:rsidR="00AB0A76" w:rsidRPr="000577B2">
              <w:t>onsistency cut-off: 0.86</w:t>
            </w:r>
          </w:p>
          <w:p w14:paraId="43992200" w14:textId="3A980993" w:rsidR="00F10A79" w:rsidRPr="000577B2" w:rsidRDefault="00F10A79" w:rsidP="00CC645A">
            <w:pPr>
              <w:pStyle w:val="Jacobnormal"/>
              <w:spacing w:line="240" w:lineRule="auto"/>
            </w:pPr>
            <w:r w:rsidRPr="000577B2">
              <w:t xml:space="preserve">Assumptions: </w:t>
            </w:r>
            <w:r w:rsidR="00AB0A76" w:rsidRPr="000577B2">
              <w:t>~</w:t>
            </w:r>
            <w:r w:rsidRPr="000577B2">
              <w:t>diversity</w:t>
            </w:r>
            <w:r w:rsidR="00AB0A76" w:rsidRPr="000577B2">
              <w:t>*~</w:t>
            </w:r>
            <w:r w:rsidRPr="000577B2">
              <w:t>hardship</w:t>
            </w:r>
            <w:r w:rsidR="00AB0A76" w:rsidRPr="000577B2">
              <w:t>*</w:t>
            </w:r>
            <w:r w:rsidRPr="000577B2">
              <w:t>support</w:t>
            </w:r>
            <w:r w:rsidR="00AB0A76" w:rsidRPr="000577B2">
              <w:t>*~</w:t>
            </w:r>
            <w:r w:rsidRPr="000577B2">
              <w:t>legacies</w:t>
            </w:r>
            <w:r w:rsidR="00AB0A76" w:rsidRPr="000577B2">
              <w:t>*~</w:t>
            </w:r>
            <w:r w:rsidRPr="000577B2">
              <w:t>repression*</w:t>
            </w:r>
            <w:r w:rsidR="00AB0A76" w:rsidRPr="000577B2">
              <w:t>~</w:t>
            </w:r>
            <w:r w:rsidRPr="000577B2">
              <w:t xml:space="preserve">aggression → </w:t>
            </w:r>
            <w:r w:rsidR="00211F6E" w:rsidRPr="000577B2">
              <w:t>~</w:t>
            </w:r>
            <w:proofErr w:type="spellStart"/>
            <w:r w:rsidRPr="000577B2">
              <w:t>rtv</w:t>
            </w:r>
            <w:proofErr w:type="spellEnd"/>
          </w:p>
        </w:tc>
      </w:tr>
      <w:tr w:rsidR="00F10A79" w:rsidRPr="000577B2" w14:paraId="080CC636" w14:textId="77777777" w:rsidTr="002816BC">
        <w:tc>
          <w:tcPr>
            <w:tcW w:w="9072" w:type="dxa"/>
            <w:gridSpan w:val="4"/>
            <w:tcBorders>
              <w:top w:val="nil"/>
            </w:tcBorders>
          </w:tcPr>
          <w:p w14:paraId="54136B6B" w14:textId="77777777" w:rsidR="00F10A79" w:rsidRPr="000577B2" w:rsidRDefault="00F10A79" w:rsidP="00CC645A">
            <w:pPr>
              <w:pStyle w:val="Jacobnormal"/>
              <w:spacing w:line="240" w:lineRule="auto"/>
              <w:rPr>
                <w:i/>
              </w:rPr>
            </w:pPr>
          </w:p>
        </w:tc>
      </w:tr>
      <w:tr w:rsidR="00F10A79" w:rsidRPr="000577B2" w14:paraId="755F1928" w14:textId="77777777" w:rsidTr="002816BC">
        <w:tc>
          <w:tcPr>
            <w:tcW w:w="4753" w:type="dxa"/>
          </w:tcPr>
          <w:p w14:paraId="6D1CAD07" w14:textId="21F5D603" w:rsidR="00F10A79" w:rsidRPr="000577B2" w:rsidRDefault="00AB0A76" w:rsidP="00CC645A">
            <w:pPr>
              <w:pStyle w:val="Jacobnormal"/>
              <w:spacing w:line="240" w:lineRule="auto"/>
            </w:pPr>
            <w:r w:rsidRPr="000577B2">
              <w:t>~aggression*~repression*~diversity</w:t>
            </w:r>
          </w:p>
        </w:tc>
        <w:tc>
          <w:tcPr>
            <w:tcW w:w="1378" w:type="dxa"/>
          </w:tcPr>
          <w:p w14:paraId="0026D437" w14:textId="1C9C0CD9" w:rsidR="00F10A79" w:rsidRPr="000577B2" w:rsidRDefault="00F10A79" w:rsidP="00CC645A">
            <w:pPr>
              <w:pStyle w:val="Jacobnormal"/>
              <w:spacing w:line="240" w:lineRule="auto"/>
            </w:pPr>
            <w:r w:rsidRPr="000577B2">
              <w:t>0</w:t>
            </w:r>
            <w:r w:rsidR="00AB0A76" w:rsidRPr="000577B2">
              <w:t>.40</w:t>
            </w:r>
          </w:p>
        </w:tc>
        <w:tc>
          <w:tcPr>
            <w:tcW w:w="1253" w:type="dxa"/>
          </w:tcPr>
          <w:p w14:paraId="6CA80065" w14:textId="62E0A391" w:rsidR="00F10A79" w:rsidRPr="000577B2" w:rsidRDefault="00F10A79" w:rsidP="00CC645A">
            <w:pPr>
              <w:pStyle w:val="Jacobnormal"/>
              <w:spacing w:line="240" w:lineRule="auto"/>
            </w:pPr>
            <w:r w:rsidRPr="000577B2">
              <w:t>0.</w:t>
            </w:r>
            <w:r w:rsidR="00AB0A76" w:rsidRPr="000577B2">
              <w:t>93</w:t>
            </w:r>
          </w:p>
        </w:tc>
        <w:tc>
          <w:tcPr>
            <w:tcW w:w="1688" w:type="dxa"/>
          </w:tcPr>
          <w:p w14:paraId="0424084D" w14:textId="1EC95A9F" w:rsidR="00F10A79" w:rsidRPr="000577B2" w:rsidRDefault="00F10A79" w:rsidP="00CC645A">
            <w:pPr>
              <w:pStyle w:val="Jacobnormal"/>
              <w:spacing w:line="240" w:lineRule="auto"/>
            </w:pPr>
            <w:r w:rsidRPr="000577B2">
              <w:t>0.</w:t>
            </w:r>
            <w:r w:rsidR="00AB0A76" w:rsidRPr="000577B2">
              <w:t>94</w:t>
            </w:r>
          </w:p>
        </w:tc>
      </w:tr>
      <w:tr w:rsidR="00F10A79" w:rsidRPr="000577B2" w14:paraId="3231D838" w14:textId="77777777" w:rsidTr="002816BC">
        <w:tc>
          <w:tcPr>
            <w:tcW w:w="4753" w:type="dxa"/>
          </w:tcPr>
          <w:p w14:paraId="5C5513A8" w14:textId="3DEDBFFD" w:rsidR="00F10A79" w:rsidRPr="000577B2" w:rsidRDefault="00AB0A76" w:rsidP="00CC645A">
            <w:pPr>
              <w:pStyle w:val="Jacobnormal"/>
              <w:spacing w:line="240" w:lineRule="auto"/>
            </w:pPr>
            <w:r w:rsidRPr="000577B2">
              <w:t>~aggression*~repression*~legacies</w:t>
            </w:r>
          </w:p>
        </w:tc>
        <w:tc>
          <w:tcPr>
            <w:tcW w:w="1378" w:type="dxa"/>
          </w:tcPr>
          <w:p w14:paraId="46E0053F" w14:textId="604EAC09" w:rsidR="00F10A79" w:rsidRPr="000577B2" w:rsidRDefault="00F10A79" w:rsidP="00CC645A">
            <w:pPr>
              <w:pStyle w:val="Jacobnormal"/>
              <w:spacing w:line="240" w:lineRule="auto"/>
            </w:pPr>
            <w:r w:rsidRPr="000577B2">
              <w:t>0.</w:t>
            </w:r>
            <w:r w:rsidR="00AB0A76" w:rsidRPr="000577B2">
              <w:t>63</w:t>
            </w:r>
          </w:p>
        </w:tc>
        <w:tc>
          <w:tcPr>
            <w:tcW w:w="1253" w:type="dxa"/>
          </w:tcPr>
          <w:p w14:paraId="1B362D56" w14:textId="5252EA25" w:rsidR="00F10A79" w:rsidRPr="000577B2" w:rsidRDefault="00F10A79" w:rsidP="00CC645A">
            <w:pPr>
              <w:pStyle w:val="Jacobnormal"/>
              <w:spacing w:line="240" w:lineRule="auto"/>
            </w:pPr>
            <w:r w:rsidRPr="000577B2">
              <w:t>0.</w:t>
            </w:r>
            <w:r w:rsidR="00AB0A76" w:rsidRPr="000577B2">
              <w:t>14</w:t>
            </w:r>
          </w:p>
        </w:tc>
        <w:tc>
          <w:tcPr>
            <w:tcW w:w="1688" w:type="dxa"/>
          </w:tcPr>
          <w:p w14:paraId="087601DB" w14:textId="7BF767BA" w:rsidR="00F10A79" w:rsidRPr="000577B2" w:rsidRDefault="00F10A79" w:rsidP="00CC645A">
            <w:pPr>
              <w:pStyle w:val="Jacobnormal"/>
              <w:spacing w:line="240" w:lineRule="auto"/>
            </w:pPr>
            <w:r w:rsidRPr="000577B2">
              <w:t>0</w:t>
            </w:r>
            <w:r w:rsidR="00AB0A76" w:rsidRPr="000577B2">
              <w:t>.90</w:t>
            </w:r>
          </w:p>
        </w:tc>
      </w:tr>
      <w:tr w:rsidR="00AB0A76" w:rsidRPr="000577B2" w14:paraId="7A298DBC" w14:textId="77777777" w:rsidTr="002816BC">
        <w:tc>
          <w:tcPr>
            <w:tcW w:w="4753" w:type="dxa"/>
          </w:tcPr>
          <w:p w14:paraId="19F2074F" w14:textId="7CB3941A" w:rsidR="00AB0A76" w:rsidRPr="000577B2" w:rsidRDefault="00AB0A76" w:rsidP="00CC645A">
            <w:pPr>
              <w:pStyle w:val="Jacobnormal"/>
              <w:spacing w:line="240" w:lineRule="auto"/>
            </w:pPr>
            <w:r w:rsidRPr="000577B2">
              <w:t>~aggression*~legacies*support*~hardship</w:t>
            </w:r>
          </w:p>
        </w:tc>
        <w:tc>
          <w:tcPr>
            <w:tcW w:w="1378" w:type="dxa"/>
          </w:tcPr>
          <w:p w14:paraId="750F0F67" w14:textId="667CD4C1" w:rsidR="00AB0A76" w:rsidRPr="000577B2" w:rsidRDefault="00AB0A76" w:rsidP="00CC645A">
            <w:pPr>
              <w:pStyle w:val="Jacobnormal"/>
              <w:spacing w:line="240" w:lineRule="auto"/>
            </w:pPr>
            <w:r w:rsidRPr="000577B2">
              <w:t>0.40</w:t>
            </w:r>
          </w:p>
        </w:tc>
        <w:tc>
          <w:tcPr>
            <w:tcW w:w="1253" w:type="dxa"/>
          </w:tcPr>
          <w:p w14:paraId="5DCEDAFA" w14:textId="411D6A38" w:rsidR="00AB0A76" w:rsidRPr="000577B2" w:rsidRDefault="00AB0A76" w:rsidP="00CC645A">
            <w:pPr>
              <w:pStyle w:val="Jacobnormal"/>
              <w:spacing w:line="240" w:lineRule="auto"/>
            </w:pPr>
            <w:r w:rsidRPr="000577B2">
              <w:t>0.93</w:t>
            </w:r>
          </w:p>
        </w:tc>
        <w:tc>
          <w:tcPr>
            <w:tcW w:w="1688" w:type="dxa"/>
          </w:tcPr>
          <w:p w14:paraId="63B38CB3" w14:textId="44CE4214" w:rsidR="00AB0A76" w:rsidRPr="000577B2" w:rsidRDefault="00AB0A76" w:rsidP="00CC645A">
            <w:pPr>
              <w:pStyle w:val="Jacobnormal"/>
              <w:spacing w:line="240" w:lineRule="auto"/>
            </w:pPr>
            <w:r w:rsidRPr="000577B2">
              <w:t>0.94</w:t>
            </w:r>
          </w:p>
        </w:tc>
      </w:tr>
      <w:tr w:rsidR="00AB0A76" w:rsidRPr="000577B2" w14:paraId="7615BEAC" w14:textId="77777777" w:rsidTr="002816BC">
        <w:tc>
          <w:tcPr>
            <w:tcW w:w="4753" w:type="dxa"/>
          </w:tcPr>
          <w:p w14:paraId="773A9E8C" w14:textId="598A8CF2" w:rsidR="00AB0A76" w:rsidRPr="000577B2" w:rsidRDefault="00AB0A76" w:rsidP="00CC645A">
            <w:pPr>
              <w:pStyle w:val="Jacobnormal"/>
              <w:spacing w:line="240" w:lineRule="auto"/>
            </w:pPr>
            <w:r w:rsidRPr="000577B2">
              <w:t>~aggression*~repression*support*~hardship</w:t>
            </w:r>
          </w:p>
        </w:tc>
        <w:tc>
          <w:tcPr>
            <w:tcW w:w="1378" w:type="dxa"/>
          </w:tcPr>
          <w:p w14:paraId="1EE16868" w14:textId="401593CC" w:rsidR="00AB0A76" w:rsidRPr="000577B2" w:rsidRDefault="00AB0A76" w:rsidP="00CC645A">
            <w:pPr>
              <w:pStyle w:val="Jacobnormal"/>
              <w:spacing w:line="240" w:lineRule="auto"/>
            </w:pPr>
            <w:r w:rsidRPr="000577B2">
              <w:t>0.40</w:t>
            </w:r>
          </w:p>
        </w:tc>
        <w:tc>
          <w:tcPr>
            <w:tcW w:w="1253" w:type="dxa"/>
          </w:tcPr>
          <w:p w14:paraId="486F27E3" w14:textId="5DB0116B" w:rsidR="00AB0A76" w:rsidRPr="000577B2" w:rsidRDefault="00AB0A76" w:rsidP="00CC645A">
            <w:pPr>
              <w:pStyle w:val="Jacobnormal"/>
              <w:spacing w:line="240" w:lineRule="auto"/>
            </w:pPr>
            <w:r w:rsidRPr="000577B2">
              <w:t>0.07</w:t>
            </w:r>
          </w:p>
        </w:tc>
        <w:tc>
          <w:tcPr>
            <w:tcW w:w="1688" w:type="dxa"/>
          </w:tcPr>
          <w:p w14:paraId="6B59FB97" w14:textId="7AE33536" w:rsidR="00AB0A76" w:rsidRPr="000577B2" w:rsidRDefault="00AB0A76" w:rsidP="00CC645A">
            <w:pPr>
              <w:pStyle w:val="Jacobnormal"/>
              <w:spacing w:line="240" w:lineRule="auto"/>
            </w:pPr>
            <w:r w:rsidRPr="000577B2">
              <w:t>0.94</w:t>
            </w:r>
          </w:p>
        </w:tc>
      </w:tr>
      <w:tr w:rsidR="00F10A79" w:rsidRPr="000577B2" w14:paraId="56557676" w14:textId="77777777" w:rsidTr="002816BC">
        <w:tc>
          <w:tcPr>
            <w:tcW w:w="4753" w:type="dxa"/>
          </w:tcPr>
          <w:p w14:paraId="3D40B5E2" w14:textId="5CA90DFD" w:rsidR="00F10A79" w:rsidRPr="000577B2" w:rsidRDefault="00F10A79" w:rsidP="00CC645A">
            <w:pPr>
              <w:pStyle w:val="Jacobnormal"/>
              <w:spacing w:line="240" w:lineRule="auto"/>
            </w:pPr>
            <w:r w:rsidRPr="000577B2">
              <w:t>Solution coverage: 0.</w:t>
            </w:r>
            <w:r w:rsidR="00AB0A76" w:rsidRPr="000577B2">
              <w:t>91</w:t>
            </w:r>
          </w:p>
        </w:tc>
        <w:tc>
          <w:tcPr>
            <w:tcW w:w="1378" w:type="dxa"/>
          </w:tcPr>
          <w:p w14:paraId="768E7B43" w14:textId="77777777" w:rsidR="00F10A79" w:rsidRPr="000577B2" w:rsidRDefault="00F10A79" w:rsidP="00CC645A">
            <w:pPr>
              <w:pStyle w:val="Jacobnormal"/>
              <w:spacing w:line="240" w:lineRule="auto"/>
            </w:pPr>
          </w:p>
        </w:tc>
        <w:tc>
          <w:tcPr>
            <w:tcW w:w="1253" w:type="dxa"/>
          </w:tcPr>
          <w:p w14:paraId="531BA336" w14:textId="77777777" w:rsidR="00F10A79" w:rsidRPr="000577B2" w:rsidRDefault="00F10A79" w:rsidP="00CC645A">
            <w:pPr>
              <w:pStyle w:val="Jacobnormal"/>
              <w:spacing w:line="240" w:lineRule="auto"/>
            </w:pPr>
          </w:p>
        </w:tc>
        <w:tc>
          <w:tcPr>
            <w:tcW w:w="1688" w:type="dxa"/>
          </w:tcPr>
          <w:p w14:paraId="665141C8" w14:textId="77777777" w:rsidR="00F10A79" w:rsidRPr="000577B2" w:rsidRDefault="00F10A79" w:rsidP="00CC645A">
            <w:pPr>
              <w:pStyle w:val="Jacobnormal"/>
              <w:spacing w:line="240" w:lineRule="auto"/>
            </w:pPr>
          </w:p>
        </w:tc>
      </w:tr>
      <w:tr w:rsidR="00F10A79" w:rsidRPr="000577B2" w14:paraId="5CD09FBF" w14:textId="77777777" w:rsidTr="002816BC">
        <w:tc>
          <w:tcPr>
            <w:tcW w:w="4753" w:type="dxa"/>
          </w:tcPr>
          <w:p w14:paraId="27AE80C8" w14:textId="65E46157" w:rsidR="00F10A79" w:rsidRPr="000577B2" w:rsidRDefault="00AB0A76" w:rsidP="00CC645A">
            <w:pPr>
              <w:pStyle w:val="Jacobnormal"/>
              <w:spacing w:line="240" w:lineRule="auto"/>
            </w:pPr>
            <w:r w:rsidRPr="000577B2">
              <w:t>Solution consistency: 0.89</w:t>
            </w:r>
          </w:p>
        </w:tc>
        <w:tc>
          <w:tcPr>
            <w:tcW w:w="1378" w:type="dxa"/>
          </w:tcPr>
          <w:p w14:paraId="6C8F526B" w14:textId="77777777" w:rsidR="00F10A79" w:rsidRPr="000577B2" w:rsidRDefault="00F10A79" w:rsidP="00CC645A">
            <w:pPr>
              <w:pStyle w:val="Jacobnormal"/>
              <w:spacing w:line="240" w:lineRule="auto"/>
            </w:pPr>
          </w:p>
        </w:tc>
        <w:tc>
          <w:tcPr>
            <w:tcW w:w="1253" w:type="dxa"/>
          </w:tcPr>
          <w:p w14:paraId="5159C3F0" w14:textId="77777777" w:rsidR="00F10A79" w:rsidRPr="000577B2" w:rsidRDefault="00F10A79" w:rsidP="00CC645A">
            <w:pPr>
              <w:pStyle w:val="Jacobnormal"/>
              <w:spacing w:line="240" w:lineRule="auto"/>
            </w:pPr>
          </w:p>
        </w:tc>
        <w:tc>
          <w:tcPr>
            <w:tcW w:w="1688" w:type="dxa"/>
          </w:tcPr>
          <w:p w14:paraId="7BBEABC5" w14:textId="77777777" w:rsidR="00F10A79" w:rsidRPr="000577B2" w:rsidRDefault="00F10A79" w:rsidP="00CC645A">
            <w:pPr>
              <w:pStyle w:val="Jacobnormal"/>
              <w:spacing w:line="240" w:lineRule="auto"/>
            </w:pPr>
          </w:p>
        </w:tc>
      </w:tr>
    </w:tbl>
    <w:p w14:paraId="58835CDC" w14:textId="77777777" w:rsidR="005D46C2" w:rsidRPr="000577B2" w:rsidRDefault="005D46C2" w:rsidP="00CC645A">
      <w:pPr>
        <w:pStyle w:val="Jacobnormal"/>
        <w:spacing w:line="240" w:lineRule="auto"/>
      </w:pPr>
    </w:p>
    <w:p w14:paraId="6F5FF4E8" w14:textId="448E8199" w:rsidR="00763F19" w:rsidRPr="000577B2" w:rsidRDefault="00BB6CA6" w:rsidP="00CC645A">
      <w:pPr>
        <w:pStyle w:val="Jacobnormal"/>
        <w:spacing w:line="360" w:lineRule="auto"/>
      </w:pPr>
      <w:r w:rsidRPr="000577B2">
        <w:t xml:space="preserve">As </w:t>
      </w:r>
      <w:r w:rsidR="00814EA7" w:rsidRPr="000577B2">
        <w:t>indicated by the necessity analysis</w:t>
      </w:r>
      <w:r w:rsidR="00DE6B05" w:rsidRPr="000577B2">
        <w:t xml:space="preserve">, all </w:t>
      </w:r>
      <w:r w:rsidRPr="000577B2">
        <w:t xml:space="preserve">four </w:t>
      </w:r>
      <w:r w:rsidR="00DE6B05" w:rsidRPr="000577B2">
        <w:t xml:space="preserve">recipes include </w:t>
      </w:r>
      <w:r w:rsidR="00960E58" w:rsidRPr="000577B2">
        <w:rPr>
          <w:i/>
        </w:rPr>
        <w:t>~aggression</w:t>
      </w:r>
      <w:r w:rsidR="00960E58" w:rsidRPr="000577B2">
        <w:t xml:space="preserve">, </w:t>
      </w:r>
      <w:r w:rsidRPr="000577B2">
        <w:t xml:space="preserve">while three of </w:t>
      </w:r>
      <w:r w:rsidR="00AB1B5B">
        <w:t xml:space="preserve">the </w:t>
      </w:r>
      <w:r w:rsidRPr="000577B2">
        <w:t xml:space="preserve">four include </w:t>
      </w:r>
      <w:r w:rsidRPr="000577B2">
        <w:rPr>
          <w:i/>
        </w:rPr>
        <w:t>~repression</w:t>
      </w:r>
      <w:r w:rsidRPr="000577B2">
        <w:t xml:space="preserve">. Furthermore, combined with the </w:t>
      </w:r>
      <w:r w:rsidR="0057670B" w:rsidRPr="000577B2">
        <w:t xml:space="preserve">other </w:t>
      </w:r>
      <w:r w:rsidRPr="000577B2">
        <w:t>conditions derived from the grievances</w:t>
      </w:r>
      <w:r w:rsidR="00AB1B5B">
        <w:t xml:space="preserve"> </w:t>
      </w:r>
      <w:r w:rsidRPr="000577B2">
        <w:t>and opportunity models (</w:t>
      </w:r>
      <w:r w:rsidRPr="000577B2">
        <w:rPr>
          <w:i/>
        </w:rPr>
        <w:t>diversity</w:t>
      </w:r>
      <w:r w:rsidRPr="000577B2">
        <w:t xml:space="preserve">, </w:t>
      </w:r>
      <w:r w:rsidRPr="000577B2">
        <w:rPr>
          <w:i/>
        </w:rPr>
        <w:t>hardship</w:t>
      </w:r>
      <w:r w:rsidRPr="000577B2">
        <w:t xml:space="preserve">, </w:t>
      </w:r>
      <w:r w:rsidRPr="000577B2">
        <w:rPr>
          <w:i/>
        </w:rPr>
        <w:t>support</w:t>
      </w:r>
      <w:r w:rsidRPr="000577B2">
        <w:t xml:space="preserve">, and </w:t>
      </w:r>
      <w:r w:rsidRPr="000577B2">
        <w:rPr>
          <w:i/>
        </w:rPr>
        <w:t>legacies</w:t>
      </w:r>
      <w:r w:rsidRPr="000577B2">
        <w:t>) these four recipes offer a fairly consistent explanation of why most West European countries did not experience extensive RTV between 1990 and 2015</w:t>
      </w:r>
      <w:r w:rsidR="00814EA7" w:rsidRPr="000577B2">
        <w:t>, covering as many as 11 of 12 cases</w:t>
      </w:r>
      <w:r w:rsidR="004F4655" w:rsidRPr="000577B2">
        <w:t xml:space="preserve"> (once again, the Netherlands is the most inconsistent case). </w:t>
      </w:r>
      <w:r w:rsidR="00EA1847" w:rsidRPr="000577B2">
        <w:t xml:space="preserve">Interestingly, they </w:t>
      </w:r>
      <w:r w:rsidR="00211F6E">
        <w:t xml:space="preserve">do not represent </w:t>
      </w:r>
      <w:r w:rsidR="00EA1847" w:rsidRPr="000577B2">
        <w:t>a negated mirror image of the causal recipes derived from my analysis of the outcome set, but rather new and unique combinations of conditions, thereby illustrating the asymmetric nature of set relation</w:t>
      </w:r>
      <w:r w:rsidR="000544C7">
        <w:t>s</w:t>
      </w:r>
      <w:r w:rsidR="00EA1847" w:rsidRPr="000577B2">
        <w:t xml:space="preserve"> – that is, the fact that the occurrence and non-occurrence of a phenomenon require qualitatively different explanations. </w:t>
      </w:r>
      <w:r w:rsidR="00763F19" w:rsidRPr="000577B2">
        <w:t xml:space="preserve">However, considering that the conditions included in this </w:t>
      </w:r>
      <w:r w:rsidR="00EA1847" w:rsidRPr="000577B2">
        <w:t xml:space="preserve">negated set </w:t>
      </w:r>
      <w:r w:rsidR="00763F19" w:rsidRPr="000577B2">
        <w:t xml:space="preserve">analysis were originally intended to explain </w:t>
      </w:r>
      <w:r w:rsidR="00F10A79" w:rsidRPr="000577B2">
        <w:t>th</w:t>
      </w:r>
      <w:r w:rsidR="00DE6B05" w:rsidRPr="000577B2">
        <w:t>e</w:t>
      </w:r>
      <w:r w:rsidR="00F10A79" w:rsidRPr="000577B2">
        <w:t xml:space="preserve"> occurrence of </w:t>
      </w:r>
      <w:r w:rsidR="00763F19" w:rsidRPr="000577B2">
        <w:t xml:space="preserve">RTV </w:t>
      </w:r>
      <w:r w:rsidR="00F10A79" w:rsidRPr="000577B2">
        <w:t xml:space="preserve">rather than its non-occurrence, </w:t>
      </w:r>
      <w:r w:rsidR="00763F19" w:rsidRPr="000577B2">
        <w:t xml:space="preserve">one should be careful </w:t>
      </w:r>
      <w:r w:rsidR="00AB1B5B">
        <w:t xml:space="preserve">in </w:t>
      </w:r>
      <w:r w:rsidR="004F4655" w:rsidRPr="000577B2">
        <w:t xml:space="preserve">drawing final conclusions from these </w:t>
      </w:r>
      <w:r w:rsidR="00211F6E">
        <w:t>results</w:t>
      </w:r>
      <w:r w:rsidR="00763F19" w:rsidRPr="000577B2">
        <w:t xml:space="preserve">. </w:t>
      </w:r>
    </w:p>
    <w:p w14:paraId="19C7EA24" w14:textId="77777777" w:rsidR="00E37D2B" w:rsidRDefault="00E37D2B" w:rsidP="00CC645A">
      <w:pPr>
        <w:pStyle w:val="Jacoboverskrift2"/>
        <w:spacing w:line="360" w:lineRule="auto"/>
        <w:sectPr w:rsidR="00E37D2B" w:rsidSect="00CC645A">
          <w:pgSz w:w="11906" w:h="16838"/>
          <w:pgMar w:top="1417" w:right="1417" w:bottom="1417" w:left="1417" w:header="708" w:footer="708" w:gutter="0"/>
          <w:cols w:space="708"/>
          <w:docGrid w:linePitch="360"/>
        </w:sectPr>
      </w:pPr>
    </w:p>
    <w:p w14:paraId="7C32DC37" w14:textId="2E55BE20" w:rsidR="00980048" w:rsidRDefault="00980048" w:rsidP="00CC645A">
      <w:pPr>
        <w:pStyle w:val="Jacoboverskrift2"/>
        <w:spacing w:line="360" w:lineRule="auto"/>
      </w:pPr>
      <w:bookmarkStart w:id="6" w:name="_Toc496794575"/>
      <w:r w:rsidRPr="000577B2">
        <w:lastRenderedPageBreak/>
        <w:t>Robustness test</w:t>
      </w:r>
      <w:r w:rsidR="00E37D2B">
        <w:t xml:space="preserve"> scores</w:t>
      </w:r>
      <w:bookmarkEnd w:id="6"/>
    </w:p>
    <w:p w14:paraId="77E4868D" w14:textId="77777777" w:rsidR="00C232AC" w:rsidRDefault="00C232AC" w:rsidP="00C232AC">
      <w:pPr>
        <w:pStyle w:val="Jacobnormal"/>
        <w:spacing w:line="360" w:lineRule="auto"/>
      </w:pPr>
      <w:r w:rsidRPr="000544C7">
        <w:t>To experiment with different calibration thresholds, a robustness test</w:t>
      </w:r>
      <w:r>
        <w:t xml:space="preserve"> was carried out</w:t>
      </w:r>
      <w:r w:rsidRPr="000544C7">
        <w:t xml:space="preserve"> </w:t>
      </w:r>
      <w:r>
        <w:t xml:space="preserve">in which </w:t>
      </w:r>
      <w:r w:rsidRPr="000544C7">
        <w:t xml:space="preserve">the cut-off points for </w:t>
      </w:r>
      <w:r w:rsidRPr="00211F6E">
        <w:rPr>
          <w:i/>
        </w:rPr>
        <w:t>diversity</w:t>
      </w:r>
      <w:r w:rsidRPr="000544C7">
        <w:t xml:space="preserve">, </w:t>
      </w:r>
      <w:r w:rsidRPr="00211F6E">
        <w:rPr>
          <w:i/>
        </w:rPr>
        <w:t>hardship</w:t>
      </w:r>
      <w:r w:rsidRPr="000544C7">
        <w:t xml:space="preserve"> and </w:t>
      </w:r>
      <w:r w:rsidRPr="00211F6E">
        <w:rPr>
          <w:i/>
        </w:rPr>
        <w:t>support</w:t>
      </w:r>
      <w:r w:rsidRPr="000544C7">
        <w:t xml:space="preserve"> (conditions based on frequency distributions) were determined by the median score rather than by the case distribution and the position of a few key cases, and the intervals were set to be equally large, again irrespective of how the cases cluster</w:t>
      </w:r>
      <w:r>
        <w:t>ed</w:t>
      </w:r>
      <w:r w:rsidRPr="000544C7">
        <w:t>.</w:t>
      </w:r>
      <w:r>
        <w:t xml:space="preserve"> These robustness test scores are presented in Tables 12–16, and the solution terms derived from these new scores in Table 17. My interpretation of this test is found in the last section of the original manuscript.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977"/>
        <w:gridCol w:w="4678"/>
      </w:tblGrid>
      <w:tr w:rsidR="008A286C" w:rsidRPr="000577B2" w14:paraId="19AD0886" w14:textId="77777777" w:rsidTr="00AB0A76">
        <w:tc>
          <w:tcPr>
            <w:tcW w:w="8897" w:type="dxa"/>
            <w:gridSpan w:val="3"/>
            <w:tcBorders>
              <w:top w:val="nil"/>
              <w:bottom w:val="single" w:sz="4" w:space="0" w:color="auto"/>
            </w:tcBorders>
          </w:tcPr>
          <w:p w14:paraId="735EDF65" w14:textId="3DCADFF5" w:rsidR="008A286C" w:rsidRPr="000577B2" w:rsidRDefault="006E4391" w:rsidP="00E159A0">
            <w:pPr>
              <w:pStyle w:val="Jacobnormal"/>
              <w:spacing w:line="240" w:lineRule="auto"/>
            </w:pPr>
            <w:r>
              <w:rPr>
                <w:i/>
              </w:rPr>
              <w:t>Table 13</w:t>
            </w:r>
            <w:r w:rsidR="002816BC" w:rsidRPr="000577B2">
              <w:t>. Ethnic diversity (</w:t>
            </w:r>
            <w:r w:rsidR="00E159A0">
              <w:t>median</w:t>
            </w:r>
            <w:r w:rsidR="002816BC" w:rsidRPr="000577B2">
              <w:t>)</w:t>
            </w:r>
          </w:p>
        </w:tc>
      </w:tr>
      <w:tr w:rsidR="008A286C" w:rsidRPr="000577B2" w14:paraId="4511E936" w14:textId="77777777" w:rsidTr="00AB0A76">
        <w:tc>
          <w:tcPr>
            <w:tcW w:w="1242" w:type="dxa"/>
            <w:tcBorders>
              <w:top w:val="single" w:sz="4" w:space="0" w:color="auto"/>
              <w:bottom w:val="single" w:sz="4" w:space="0" w:color="auto"/>
            </w:tcBorders>
          </w:tcPr>
          <w:p w14:paraId="1E2CC6A3" w14:textId="77777777" w:rsidR="008A286C" w:rsidRPr="001A72EC" w:rsidRDefault="008A286C" w:rsidP="00CC645A">
            <w:pPr>
              <w:pStyle w:val="Jacobnormal"/>
              <w:spacing w:line="240" w:lineRule="auto"/>
            </w:pPr>
            <w:r w:rsidRPr="001A72EC">
              <w:t>Fuzzy score</w:t>
            </w:r>
          </w:p>
        </w:tc>
        <w:tc>
          <w:tcPr>
            <w:tcW w:w="2977" w:type="dxa"/>
            <w:tcBorders>
              <w:top w:val="single" w:sz="4" w:space="0" w:color="auto"/>
              <w:bottom w:val="single" w:sz="4" w:space="0" w:color="auto"/>
            </w:tcBorders>
          </w:tcPr>
          <w:p w14:paraId="36CD1968" w14:textId="77777777" w:rsidR="008A286C" w:rsidRPr="001A72EC" w:rsidRDefault="008A286C" w:rsidP="00CC645A">
            <w:pPr>
              <w:pStyle w:val="Jacobnormal"/>
              <w:spacing w:line="240" w:lineRule="auto"/>
            </w:pPr>
            <w:r w:rsidRPr="001A72EC">
              <w:t xml:space="preserve">Share of population born outside the EU </w:t>
            </w:r>
          </w:p>
        </w:tc>
        <w:tc>
          <w:tcPr>
            <w:tcW w:w="4678" w:type="dxa"/>
            <w:tcBorders>
              <w:top w:val="single" w:sz="4" w:space="0" w:color="auto"/>
              <w:bottom w:val="single" w:sz="4" w:space="0" w:color="auto"/>
            </w:tcBorders>
          </w:tcPr>
          <w:p w14:paraId="75547B7A" w14:textId="77777777" w:rsidR="008A286C" w:rsidRPr="001A72EC" w:rsidRDefault="008A286C" w:rsidP="00CC645A">
            <w:pPr>
              <w:pStyle w:val="Jacobnormal"/>
              <w:spacing w:line="240" w:lineRule="auto"/>
            </w:pPr>
            <w:r w:rsidRPr="001A72EC">
              <w:t>Case distribution</w:t>
            </w:r>
          </w:p>
        </w:tc>
      </w:tr>
      <w:tr w:rsidR="008A286C" w:rsidRPr="000577B2" w14:paraId="10559D9F" w14:textId="77777777" w:rsidTr="00AB0A76">
        <w:tc>
          <w:tcPr>
            <w:tcW w:w="1242" w:type="dxa"/>
            <w:tcBorders>
              <w:top w:val="single" w:sz="4" w:space="0" w:color="auto"/>
              <w:bottom w:val="nil"/>
            </w:tcBorders>
          </w:tcPr>
          <w:p w14:paraId="5B2C9A0D" w14:textId="77777777" w:rsidR="008A286C" w:rsidRPr="000577B2" w:rsidRDefault="008A286C" w:rsidP="00CC645A">
            <w:pPr>
              <w:pStyle w:val="Jacobnormal"/>
              <w:spacing w:line="240" w:lineRule="auto"/>
            </w:pPr>
            <w:r w:rsidRPr="000577B2">
              <w:t>1.0</w:t>
            </w:r>
          </w:p>
        </w:tc>
        <w:tc>
          <w:tcPr>
            <w:tcW w:w="2977" w:type="dxa"/>
            <w:tcBorders>
              <w:top w:val="single" w:sz="4" w:space="0" w:color="auto"/>
              <w:bottom w:val="nil"/>
            </w:tcBorders>
          </w:tcPr>
          <w:p w14:paraId="591ED1F8" w14:textId="65B50B15" w:rsidR="008A286C" w:rsidRPr="000577B2" w:rsidRDefault="000703EE" w:rsidP="00CC645A">
            <w:pPr>
              <w:pStyle w:val="Jacobnormal"/>
              <w:spacing w:line="240" w:lineRule="auto"/>
            </w:pPr>
            <w:r w:rsidRPr="000577B2">
              <w:t>9</w:t>
            </w:r>
            <w:r w:rsidR="00480814">
              <w:t>.</w:t>
            </w:r>
            <w:r w:rsidRPr="000577B2">
              <w:t>2</w:t>
            </w:r>
            <w:r w:rsidR="00480814">
              <w:t>–</w:t>
            </w:r>
            <w:r w:rsidRPr="000577B2">
              <w:t>11</w:t>
            </w:r>
            <w:r w:rsidR="008A286C" w:rsidRPr="000577B2">
              <w:t xml:space="preserve"> % </w:t>
            </w:r>
          </w:p>
        </w:tc>
        <w:tc>
          <w:tcPr>
            <w:tcW w:w="4678" w:type="dxa"/>
            <w:tcBorders>
              <w:top w:val="single" w:sz="4" w:space="0" w:color="auto"/>
              <w:bottom w:val="nil"/>
            </w:tcBorders>
          </w:tcPr>
          <w:p w14:paraId="0E69EA7E" w14:textId="0B7157B9" w:rsidR="008A286C" w:rsidRPr="000577B2" w:rsidRDefault="008A286C" w:rsidP="00CC645A">
            <w:pPr>
              <w:pStyle w:val="Jacobnormal"/>
              <w:spacing w:line="240" w:lineRule="auto"/>
            </w:pPr>
            <w:r w:rsidRPr="000577B2">
              <w:t>Luxemburg (11), Sweden (10</w:t>
            </w:r>
            <w:r w:rsidR="00480814">
              <w:t>.</w:t>
            </w:r>
            <w:r w:rsidRPr="000577B2">
              <w:t>6), Switzerland (10</w:t>
            </w:r>
            <w:r w:rsidR="00480814">
              <w:t>.</w:t>
            </w:r>
            <w:r w:rsidRPr="000577B2">
              <w:t xml:space="preserve">6) </w:t>
            </w:r>
          </w:p>
        </w:tc>
      </w:tr>
      <w:tr w:rsidR="008A286C" w:rsidRPr="000577B2" w14:paraId="21770C51" w14:textId="77777777" w:rsidTr="00AB0A76">
        <w:tc>
          <w:tcPr>
            <w:tcW w:w="1242" w:type="dxa"/>
            <w:tcBorders>
              <w:top w:val="nil"/>
            </w:tcBorders>
          </w:tcPr>
          <w:p w14:paraId="3F8C98EE" w14:textId="77777777" w:rsidR="008A286C" w:rsidRPr="000577B2" w:rsidRDefault="008A286C" w:rsidP="00CC645A">
            <w:pPr>
              <w:pStyle w:val="Jacobnormal"/>
              <w:spacing w:line="240" w:lineRule="auto"/>
            </w:pPr>
          </w:p>
        </w:tc>
        <w:tc>
          <w:tcPr>
            <w:tcW w:w="2977" w:type="dxa"/>
            <w:tcBorders>
              <w:top w:val="nil"/>
            </w:tcBorders>
          </w:tcPr>
          <w:p w14:paraId="0FD3B6D5" w14:textId="77777777" w:rsidR="008A286C" w:rsidRPr="000577B2" w:rsidRDefault="008A286C" w:rsidP="00CC645A">
            <w:pPr>
              <w:pStyle w:val="Jacobnormal"/>
              <w:spacing w:line="240" w:lineRule="auto"/>
            </w:pPr>
          </w:p>
        </w:tc>
        <w:tc>
          <w:tcPr>
            <w:tcW w:w="4678" w:type="dxa"/>
            <w:tcBorders>
              <w:top w:val="nil"/>
            </w:tcBorders>
          </w:tcPr>
          <w:p w14:paraId="4819D116" w14:textId="77777777" w:rsidR="008A286C" w:rsidRPr="000577B2" w:rsidRDefault="008A286C" w:rsidP="00CC645A">
            <w:pPr>
              <w:pStyle w:val="Jacobnormal"/>
              <w:spacing w:line="240" w:lineRule="auto"/>
            </w:pPr>
          </w:p>
        </w:tc>
      </w:tr>
      <w:tr w:rsidR="008A286C" w:rsidRPr="000577B2" w14:paraId="6DFEE71D" w14:textId="77777777" w:rsidTr="00AB0A76">
        <w:tc>
          <w:tcPr>
            <w:tcW w:w="1242" w:type="dxa"/>
          </w:tcPr>
          <w:p w14:paraId="6F20324D" w14:textId="77777777" w:rsidR="008A286C" w:rsidRPr="000577B2" w:rsidRDefault="008A286C" w:rsidP="00CC645A">
            <w:pPr>
              <w:pStyle w:val="Jacobnormal"/>
              <w:spacing w:line="240" w:lineRule="auto"/>
            </w:pPr>
            <w:r w:rsidRPr="000577B2">
              <w:t>0.75</w:t>
            </w:r>
          </w:p>
        </w:tc>
        <w:tc>
          <w:tcPr>
            <w:tcW w:w="2977" w:type="dxa"/>
          </w:tcPr>
          <w:p w14:paraId="41369AA0" w14:textId="4557A55F" w:rsidR="008A286C" w:rsidRPr="000577B2" w:rsidRDefault="008A286C" w:rsidP="00CC645A">
            <w:pPr>
              <w:pStyle w:val="Jacobnormal"/>
              <w:spacing w:line="240" w:lineRule="auto"/>
            </w:pPr>
            <w:r w:rsidRPr="000577B2">
              <w:t>7</w:t>
            </w:r>
            <w:r w:rsidR="00480814">
              <w:t>.</w:t>
            </w:r>
            <w:r w:rsidR="000703EE" w:rsidRPr="000577B2">
              <w:t>3–9</w:t>
            </w:r>
            <w:r w:rsidR="00480814">
              <w:t>.</w:t>
            </w:r>
            <w:r w:rsidR="000703EE" w:rsidRPr="000577B2">
              <w:t>1</w:t>
            </w:r>
            <w:r w:rsidRPr="000577B2">
              <w:t xml:space="preserve"> %</w:t>
            </w:r>
          </w:p>
        </w:tc>
        <w:tc>
          <w:tcPr>
            <w:tcW w:w="4678" w:type="dxa"/>
          </w:tcPr>
          <w:p w14:paraId="66D6C044" w14:textId="386F8914" w:rsidR="008A286C" w:rsidRPr="000577B2" w:rsidRDefault="008A286C" w:rsidP="00CC645A">
            <w:pPr>
              <w:pStyle w:val="Jacobnormal"/>
              <w:spacing w:line="240" w:lineRule="auto"/>
            </w:pPr>
            <w:r w:rsidRPr="000577B2">
              <w:t>Austria (9</w:t>
            </w:r>
            <w:r w:rsidR="00480814">
              <w:t>.</w:t>
            </w:r>
            <w:r w:rsidRPr="000577B2">
              <w:t>1), Netherlands (8</w:t>
            </w:r>
            <w:r w:rsidR="00480814">
              <w:t>.</w:t>
            </w:r>
            <w:r w:rsidRPr="000577B2">
              <w:t>6), Spain (8</w:t>
            </w:r>
            <w:r w:rsidR="00480814">
              <w:t>.</w:t>
            </w:r>
            <w:r w:rsidRPr="000577B2">
              <w:t>5), Belgium (8</w:t>
            </w:r>
            <w:r w:rsidR="00480814">
              <w:t>.</w:t>
            </w:r>
            <w:r w:rsidRPr="000577B2">
              <w:t>4), Greece (8</w:t>
            </w:r>
            <w:r w:rsidR="00480814">
              <w:t>.</w:t>
            </w:r>
            <w:r w:rsidRPr="000577B2">
              <w:t>4), France (8</w:t>
            </w:r>
            <w:r w:rsidR="00480814">
              <w:t>.</w:t>
            </w:r>
            <w:r w:rsidRPr="000577B2">
              <w:t>3), UK (8</w:t>
            </w:r>
            <w:r w:rsidR="00480814">
              <w:t>.</w:t>
            </w:r>
            <w:r w:rsidRPr="000577B2">
              <w:t>1), Norway (7</w:t>
            </w:r>
            <w:r w:rsidR="00480814">
              <w:t>.</w:t>
            </w:r>
            <w:r w:rsidRPr="000577B2">
              <w:t>6), Germany (7</w:t>
            </w:r>
            <w:r w:rsidR="00480814">
              <w:t>.</w:t>
            </w:r>
            <w:r w:rsidRPr="000577B2">
              <w:t>4)</w:t>
            </w:r>
          </w:p>
          <w:p w14:paraId="579AF03B" w14:textId="77777777" w:rsidR="008A286C" w:rsidRPr="000577B2" w:rsidRDefault="008A286C" w:rsidP="00CC645A">
            <w:pPr>
              <w:pStyle w:val="Jacobnormal"/>
              <w:spacing w:line="240" w:lineRule="auto"/>
            </w:pPr>
          </w:p>
        </w:tc>
      </w:tr>
      <w:tr w:rsidR="008A286C" w:rsidRPr="000577B2" w14:paraId="5ACF01A0" w14:textId="77777777" w:rsidTr="00AB0A76">
        <w:tc>
          <w:tcPr>
            <w:tcW w:w="1242" w:type="dxa"/>
          </w:tcPr>
          <w:p w14:paraId="66F54203" w14:textId="77777777" w:rsidR="008A286C" w:rsidRPr="000577B2" w:rsidRDefault="008A286C" w:rsidP="00CC645A">
            <w:pPr>
              <w:pStyle w:val="Jacobnormal"/>
              <w:spacing w:line="240" w:lineRule="auto"/>
            </w:pPr>
            <w:r w:rsidRPr="000577B2">
              <w:t>0.25</w:t>
            </w:r>
          </w:p>
        </w:tc>
        <w:tc>
          <w:tcPr>
            <w:tcW w:w="2977" w:type="dxa"/>
          </w:tcPr>
          <w:p w14:paraId="69F25E4E" w14:textId="71B2A885" w:rsidR="008A286C" w:rsidRPr="000577B2" w:rsidRDefault="008A286C" w:rsidP="00CC645A">
            <w:pPr>
              <w:pStyle w:val="Jacobnormal"/>
              <w:spacing w:line="240" w:lineRule="auto"/>
            </w:pPr>
            <w:r w:rsidRPr="000577B2">
              <w:t>5</w:t>
            </w:r>
            <w:r w:rsidR="00480814">
              <w:t>.</w:t>
            </w:r>
            <w:r w:rsidR="000703EE" w:rsidRPr="000577B2">
              <w:t>4</w:t>
            </w:r>
            <w:r w:rsidRPr="000577B2">
              <w:t>–</w:t>
            </w:r>
            <w:r w:rsidR="000703EE" w:rsidRPr="000577B2">
              <w:t>7</w:t>
            </w:r>
            <w:r w:rsidR="00480814">
              <w:t>.</w:t>
            </w:r>
            <w:r w:rsidR="000703EE" w:rsidRPr="000577B2">
              <w:t>2</w:t>
            </w:r>
            <w:r w:rsidRPr="000577B2">
              <w:t xml:space="preserve"> %</w:t>
            </w:r>
          </w:p>
        </w:tc>
        <w:tc>
          <w:tcPr>
            <w:tcW w:w="4678" w:type="dxa"/>
          </w:tcPr>
          <w:p w14:paraId="1218C1C9" w14:textId="3F6223D0" w:rsidR="008A286C" w:rsidRPr="000577B2" w:rsidRDefault="008A286C" w:rsidP="00CC645A">
            <w:pPr>
              <w:pStyle w:val="Jacobnormal"/>
              <w:spacing w:line="240" w:lineRule="auto"/>
            </w:pPr>
            <w:r w:rsidRPr="000577B2">
              <w:t>Denmark (6</w:t>
            </w:r>
            <w:r w:rsidR="00480814">
              <w:t>.</w:t>
            </w:r>
            <w:r w:rsidRPr="000577B2">
              <w:t>7), Italy (6</w:t>
            </w:r>
            <w:r w:rsidR="00480814">
              <w:t>.</w:t>
            </w:r>
            <w:r w:rsidRPr="000577B2">
              <w:t>5), Portugal (6</w:t>
            </w:r>
            <w:r w:rsidR="00480814">
              <w:t>.</w:t>
            </w:r>
            <w:r w:rsidRPr="000577B2">
              <w:t>1), Ireland (5</w:t>
            </w:r>
            <w:r w:rsidR="00480814">
              <w:t>.</w:t>
            </w:r>
            <w:r w:rsidRPr="000577B2">
              <w:t>9)</w:t>
            </w:r>
          </w:p>
        </w:tc>
      </w:tr>
      <w:tr w:rsidR="008A286C" w:rsidRPr="000577B2" w14:paraId="610D85AD" w14:textId="77777777" w:rsidTr="00AB0A76">
        <w:tc>
          <w:tcPr>
            <w:tcW w:w="1242" w:type="dxa"/>
          </w:tcPr>
          <w:p w14:paraId="527E4D83" w14:textId="77777777" w:rsidR="008A286C" w:rsidRPr="000577B2" w:rsidRDefault="008A286C" w:rsidP="00CC645A">
            <w:pPr>
              <w:pStyle w:val="Jacobnormal"/>
              <w:spacing w:line="240" w:lineRule="auto"/>
            </w:pPr>
          </w:p>
        </w:tc>
        <w:tc>
          <w:tcPr>
            <w:tcW w:w="2977" w:type="dxa"/>
          </w:tcPr>
          <w:p w14:paraId="52707421" w14:textId="77777777" w:rsidR="008A286C" w:rsidRPr="000577B2" w:rsidRDefault="008A286C" w:rsidP="00CC645A">
            <w:pPr>
              <w:pStyle w:val="Jacobnormal"/>
              <w:spacing w:line="240" w:lineRule="auto"/>
            </w:pPr>
          </w:p>
        </w:tc>
        <w:tc>
          <w:tcPr>
            <w:tcW w:w="4678" w:type="dxa"/>
          </w:tcPr>
          <w:p w14:paraId="3F23F227" w14:textId="77777777" w:rsidR="008A286C" w:rsidRPr="000577B2" w:rsidRDefault="008A286C" w:rsidP="00CC645A">
            <w:pPr>
              <w:pStyle w:val="Jacobnormal"/>
              <w:spacing w:line="240" w:lineRule="auto"/>
            </w:pPr>
          </w:p>
        </w:tc>
      </w:tr>
      <w:tr w:rsidR="008A286C" w:rsidRPr="000577B2" w14:paraId="503AC65F" w14:textId="77777777" w:rsidTr="00AB0A76">
        <w:trPr>
          <w:trHeight w:val="78"/>
        </w:trPr>
        <w:tc>
          <w:tcPr>
            <w:tcW w:w="1242" w:type="dxa"/>
          </w:tcPr>
          <w:p w14:paraId="5ECE30F0" w14:textId="77777777" w:rsidR="008A286C" w:rsidRPr="000577B2" w:rsidRDefault="008A286C" w:rsidP="00CC645A">
            <w:pPr>
              <w:pStyle w:val="Jacobnormal"/>
              <w:spacing w:line="240" w:lineRule="auto"/>
            </w:pPr>
            <w:r w:rsidRPr="000577B2">
              <w:t>0.0</w:t>
            </w:r>
          </w:p>
        </w:tc>
        <w:tc>
          <w:tcPr>
            <w:tcW w:w="2977" w:type="dxa"/>
          </w:tcPr>
          <w:p w14:paraId="27384107" w14:textId="7F070EFE" w:rsidR="008A286C" w:rsidRPr="000577B2" w:rsidRDefault="000703EE" w:rsidP="00CC645A">
            <w:pPr>
              <w:pStyle w:val="Jacobnormal"/>
              <w:spacing w:line="240" w:lineRule="auto"/>
            </w:pPr>
            <w:r w:rsidRPr="000577B2">
              <w:t>3</w:t>
            </w:r>
            <w:r w:rsidR="00480814">
              <w:t>.</w:t>
            </w:r>
            <w:r w:rsidRPr="000577B2">
              <w:t>5–</w:t>
            </w:r>
            <w:r w:rsidR="008A286C" w:rsidRPr="000577B2">
              <w:t>5</w:t>
            </w:r>
            <w:r w:rsidR="00480814">
              <w:t>.</w:t>
            </w:r>
            <w:r w:rsidRPr="000577B2">
              <w:t>3</w:t>
            </w:r>
            <w:r w:rsidR="008A286C" w:rsidRPr="000577B2">
              <w:t xml:space="preserve"> %</w:t>
            </w:r>
          </w:p>
        </w:tc>
        <w:tc>
          <w:tcPr>
            <w:tcW w:w="4678" w:type="dxa"/>
          </w:tcPr>
          <w:p w14:paraId="34237B37" w14:textId="72794442" w:rsidR="008A286C" w:rsidRPr="000577B2" w:rsidRDefault="008A286C" w:rsidP="00CC645A">
            <w:pPr>
              <w:pStyle w:val="Jacobnormal"/>
              <w:spacing w:line="240" w:lineRule="auto"/>
            </w:pPr>
            <w:r w:rsidRPr="000577B2">
              <w:t>Iceland (3</w:t>
            </w:r>
            <w:r w:rsidR="00480814">
              <w:t>.</w:t>
            </w:r>
            <w:r w:rsidRPr="000577B2">
              <w:t>9), Finland (3</w:t>
            </w:r>
            <w:r w:rsidR="00480814">
              <w:t>.</w:t>
            </w:r>
            <w:r w:rsidRPr="000577B2">
              <w:t>5)</w:t>
            </w:r>
          </w:p>
        </w:tc>
      </w:tr>
    </w:tbl>
    <w:p w14:paraId="21EADF63" w14:textId="269A1396" w:rsidR="00763F19" w:rsidRPr="000577B2" w:rsidRDefault="008A286C" w:rsidP="00CC645A">
      <w:pPr>
        <w:pStyle w:val="Jacobnormal"/>
        <w:spacing w:line="240" w:lineRule="auto"/>
        <w:rPr>
          <w:rStyle w:val="Hyperlink"/>
        </w:rPr>
      </w:pPr>
      <w:r w:rsidRPr="000577B2">
        <w:rPr>
          <w:i/>
        </w:rPr>
        <w:t>Source</w:t>
      </w:r>
      <w:r w:rsidRPr="000577B2">
        <w:t xml:space="preserve">: Eurostat, </w:t>
      </w:r>
      <w:hyperlink r:id="rId17" w:history="1">
        <w:r w:rsidRPr="000577B2">
          <w:rPr>
            <w:rStyle w:val="Hyperlink"/>
          </w:rPr>
          <w:t>http://ec.europa.eu/eurostat/statistics-explained/images/7/79/Foreign-born_population_by_country_of_birth%2C_1_January_2014_%28%C2%B9%29_YB15.png</w:t>
        </w:r>
      </w:hyperlink>
    </w:p>
    <w:p w14:paraId="6D86F795" w14:textId="4540F43A" w:rsidR="00DA03FE" w:rsidRPr="000577B2" w:rsidRDefault="00DA03FE" w:rsidP="00CC645A">
      <w:pPr>
        <w:pStyle w:val="Jacobnormal"/>
        <w:spacing w:line="240" w:lineRule="auto"/>
        <w:rPr>
          <w:rStyle w:val="Hyperlink"/>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835"/>
        <w:gridCol w:w="4077"/>
      </w:tblGrid>
      <w:tr w:rsidR="008A286C" w:rsidRPr="000577B2" w14:paraId="6E9CED2D" w14:textId="77777777" w:rsidTr="00AB0A76">
        <w:tc>
          <w:tcPr>
            <w:tcW w:w="8154" w:type="dxa"/>
            <w:gridSpan w:val="3"/>
            <w:tcBorders>
              <w:top w:val="nil"/>
              <w:bottom w:val="single" w:sz="4" w:space="0" w:color="auto"/>
            </w:tcBorders>
          </w:tcPr>
          <w:p w14:paraId="0B3E42FF" w14:textId="56F49012" w:rsidR="008A286C" w:rsidRPr="000577B2" w:rsidRDefault="006E4391" w:rsidP="00E159A0">
            <w:pPr>
              <w:pStyle w:val="Jacobnormal"/>
              <w:spacing w:line="240" w:lineRule="auto"/>
            </w:pPr>
            <w:r>
              <w:rPr>
                <w:i/>
              </w:rPr>
              <w:t>Table 14</w:t>
            </w:r>
            <w:r w:rsidR="002816BC" w:rsidRPr="000577B2">
              <w:t>. Immigration (</w:t>
            </w:r>
            <w:r w:rsidR="00E159A0">
              <w:t>median</w:t>
            </w:r>
            <w:r w:rsidR="002816BC" w:rsidRPr="000577B2">
              <w:t>)</w:t>
            </w:r>
          </w:p>
        </w:tc>
      </w:tr>
      <w:tr w:rsidR="008A286C" w:rsidRPr="000577B2" w14:paraId="689E6AE9" w14:textId="77777777" w:rsidTr="00AB0A76">
        <w:tc>
          <w:tcPr>
            <w:tcW w:w="1242" w:type="dxa"/>
            <w:tcBorders>
              <w:top w:val="single" w:sz="4" w:space="0" w:color="auto"/>
              <w:bottom w:val="single" w:sz="4" w:space="0" w:color="auto"/>
            </w:tcBorders>
          </w:tcPr>
          <w:p w14:paraId="1543CE90" w14:textId="77777777" w:rsidR="008A286C" w:rsidRPr="001A72EC" w:rsidRDefault="008A286C" w:rsidP="00CC645A">
            <w:pPr>
              <w:pStyle w:val="Jacobnormal"/>
              <w:spacing w:line="240" w:lineRule="auto"/>
            </w:pPr>
            <w:r w:rsidRPr="001A72EC">
              <w:t>Fuzzy score</w:t>
            </w:r>
          </w:p>
        </w:tc>
        <w:tc>
          <w:tcPr>
            <w:tcW w:w="2835" w:type="dxa"/>
            <w:tcBorders>
              <w:top w:val="single" w:sz="4" w:space="0" w:color="auto"/>
              <w:bottom w:val="single" w:sz="4" w:space="0" w:color="auto"/>
            </w:tcBorders>
          </w:tcPr>
          <w:p w14:paraId="65581D7D" w14:textId="313C885F" w:rsidR="008A286C" w:rsidRPr="001A72EC" w:rsidRDefault="008A286C" w:rsidP="00CC645A">
            <w:pPr>
              <w:pStyle w:val="Jacobnormal"/>
              <w:spacing w:line="240" w:lineRule="auto"/>
            </w:pPr>
            <w:r w:rsidRPr="001A72EC">
              <w:t>Average number of annual asylum seekers per million inhabitants 1991</w:t>
            </w:r>
            <w:r w:rsidR="00480814">
              <w:t>–</w:t>
            </w:r>
            <w:r w:rsidRPr="001A72EC">
              <w:t>2014</w:t>
            </w:r>
          </w:p>
        </w:tc>
        <w:tc>
          <w:tcPr>
            <w:tcW w:w="4077" w:type="dxa"/>
            <w:tcBorders>
              <w:top w:val="single" w:sz="4" w:space="0" w:color="auto"/>
              <w:bottom w:val="single" w:sz="4" w:space="0" w:color="auto"/>
            </w:tcBorders>
          </w:tcPr>
          <w:p w14:paraId="00702093" w14:textId="77777777" w:rsidR="008A286C" w:rsidRPr="001A72EC" w:rsidRDefault="008A286C" w:rsidP="00CC645A">
            <w:pPr>
              <w:pStyle w:val="Jacobnormal"/>
              <w:spacing w:line="240" w:lineRule="auto"/>
            </w:pPr>
            <w:r w:rsidRPr="001A72EC">
              <w:t>Case distribution</w:t>
            </w:r>
          </w:p>
        </w:tc>
      </w:tr>
      <w:tr w:rsidR="008A286C" w:rsidRPr="000577B2" w14:paraId="66B9304E" w14:textId="77777777" w:rsidTr="00AB0A76">
        <w:tc>
          <w:tcPr>
            <w:tcW w:w="1242" w:type="dxa"/>
            <w:tcBorders>
              <w:top w:val="single" w:sz="4" w:space="0" w:color="auto"/>
            </w:tcBorders>
          </w:tcPr>
          <w:p w14:paraId="20785FBD" w14:textId="77777777" w:rsidR="008A286C" w:rsidRPr="000577B2" w:rsidRDefault="008A286C" w:rsidP="00CC645A">
            <w:pPr>
              <w:pStyle w:val="Jacobnormal"/>
              <w:spacing w:line="240" w:lineRule="auto"/>
            </w:pPr>
            <w:r w:rsidRPr="000577B2">
              <w:t>1.0</w:t>
            </w:r>
          </w:p>
        </w:tc>
        <w:tc>
          <w:tcPr>
            <w:tcW w:w="2835" w:type="dxa"/>
            <w:tcBorders>
              <w:top w:val="single" w:sz="4" w:space="0" w:color="auto"/>
            </w:tcBorders>
          </w:tcPr>
          <w:p w14:paraId="44FD949A" w14:textId="7A4869AB" w:rsidR="008A286C" w:rsidRPr="000577B2" w:rsidRDefault="00A267A9" w:rsidP="00CC645A">
            <w:pPr>
              <w:pStyle w:val="Jacobnormal"/>
              <w:spacing w:line="240" w:lineRule="auto"/>
            </w:pPr>
            <w:r w:rsidRPr="000577B2">
              <w:t>2293</w:t>
            </w:r>
            <w:r w:rsidR="00480814">
              <w:t>–</w:t>
            </w:r>
            <w:r w:rsidR="000703EE" w:rsidRPr="000577B2">
              <w:t>3044</w:t>
            </w:r>
          </w:p>
        </w:tc>
        <w:tc>
          <w:tcPr>
            <w:tcW w:w="4077" w:type="dxa"/>
            <w:tcBorders>
              <w:top w:val="single" w:sz="4" w:space="0" w:color="auto"/>
            </w:tcBorders>
          </w:tcPr>
          <w:p w14:paraId="4F3AA199" w14:textId="22B98680" w:rsidR="008A286C" w:rsidRPr="000577B2" w:rsidRDefault="008A286C" w:rsidP="00CC645A">
            <w:pPr>
              <w:pStyle w:val="Jacobnormal"/>
              <w:spacing w:line="240" w:lineRule="auto"/>
            </w:pPr>
            <w:r w:rsidRPr="000577B2">
              <w:t xml:space="preserve">Sweden (3044), Switzerland (2913), </w:t>
            </w:r>
          </w:p>
          <w:p w14:paraId="175659A1" w14:textId="77777777" w:rsidR="008A286C" w:rsidRPr="000577B2" w:rsidRDefault="008A286C" w:rsidP="00CC645A">
            <w:pPr>
              <w:pStyle w:val="Jacobnormal"/>
              <w:spacing w:line="240" w:lineRule="auto"/>
            </w:pPr>
          </w:p>
        </w:tc>
      </w:tr>
      <w:tr w:rsidR="008A286C" w:rsidRPr="000577B2" w14:paraId="36E3E281" w14:textId="77777777" w:rsidTr="00AB0A76">
        <w:tc>
          <w:tcPr>
            <w:tcW w:w="1242" w:type="dxa"/>
          </w:tcPr>
          <w:p w14:paraId="697F10BA" w14:textId="77777777" w:rsidR="008A286C" w:rsidRPr="000577B2" w:rsidRDefault="008A286C" w:rsidP="00CC645A">
            <w:pPr>
              <w:pStyle w:val="Jacobnormal"/>
              <w:spacing w:line="240" w:lineRule="auto"/>
            </w:pPr>
            <w:r w:rsidRPr="000577B2">
              <w:t>0.75</w:t>
            </w:r>
          </w:p>
        </w:tc>
        <w:tc>
          <w:tcPr>
            <w:tcW w:w="2835" w:type="dxa"/>
          </w:tcPr>
          <w:p w14:paraId="4AB19B18" w14:textId="014409DE" w:rsidR="008A286C" w:rsidRPr="000577B2" w:rsidRDefault="00A267A9" w:rsidP="00CC645A">
            <w:pPr>
              <w:pStyle w:val="Jacobnormal"/>
              <w:spacing w:line="240" w:lineRule="auto"/>
            </w:pPr>
            <w:r w:rsidRPr="000577B2">
              <w:t>1540</w:t>
            </w:r>
            <w:r w:rsidR="008A286C" w:rsidRPr="000577B2">
              <w:t>–</w:t>
            </w:r>
            <w:r w:rsidRPr="000577B2">
              <w:t>2292</w:t>
            </w:r>
          </w:p>
        </w:tc>
        <w:tc>
          <w:tcPr>
            <w:tcW w:w="4077" w:type="dxa"/>
          </w:tcPr>
          <w:p w14:paraId="48EC9383" w14:textId="2F92C243" w:rsidR="008A286C" w:rsidRPr="000577B2" w:rsidRDefault="000703EE" w:rsidP="00CC645A">
            <w:pPr>
              <w:pStyle w:val="Jacobnormal"/>
              <w:spacing w:line="240" w:lineRule="auto"/>
            </w:pPr>
            <w:r w:rsidRPr="000577B2">
              <w:t>Luxemburg (2247), Austria (2084), Norway (1977), Belgium (1890)</w:t>
            </w:r>
            <w:r w:rsidR="00480814">
              <w:t>,</w:t>
            </w:r>
          </w:p>
        </w:tc>
      </w:tr>
      <w:tr w:rsidR="008A286C" w:rsidRPr="000577B2" w14:paraId="25C79FC0" w14:textId="77777777" w:rsidTr="00AB0A76">
        <w:tc>
          <w:tcPr>
            <w:tcW w:w="1242" w:type="dxa"/>
          </w:tcPr>
          <w:p w14:paraId="5F754780" w14:textId="77777777" w:rsidR="008A286C" w:rsidRPr="000577B2" w:rsidRDefault="008A286C" w:rsidP="00CC645A">
            <w:pPr>
              <w:pStyle w:val="Jacobnormal"/>
              <w:spacing w:line="240" w:lineRule="auto"/>
            </w:pPr>
            <w:r w:rsidRPr="000577B2">
              <w:t>0.25</w:t>
            </w:r>
          </w:p>
        </w:tc>
        <w:tc>
          <w:tcPr>
            <w:tcW w:w="2835" w:type="dxa"/>
          </w:tcPr>
          <w:p w14:paraId="3144F522" w14:textId="3FBE4E1D" w:rsidR="008A286C" w:rsidRPr="000577B2" w:rsidRDefault="000703EE" w:rsidP="00CC645A">
            <w:pPr>
              <w:pStyle w:val="Jacobnormal"/>
              <w:spacing w:line="240" w:lineRule="auto"/>
            </w:pPr>
            <w:r w:rsidRPr="000577B2">
              <w:t>787</w:t>
            </w:r>
            <w:r w:rsidR="008A286C" w:rsidRPr="000577B2">
              <w:t>–</w:t>
            </w:r>
            <w:r w:rsidRPr="000577B2">
              <w:t>1539</w:t>
            </w:r>
          </w:p>
        </w:tc>
        <w:tc>
          <w:tcPr>
            <w:tcW w:w="4077" w:type="dxa"/>
          </w:tcPr>
          <w:p w14:paraId="0A1F32D6" w14:textId="77777777" w:rsidR="000703EE" w:rsidRPr="000577B2" w:rsidRDefault="000703EE" w:rsidP="00CC645A">
            <w:pPr>
              <w:pStyle w:val="Jacobnormal"/>
              <w:spacing w:line="240" w:lineRule="auto"/>
            </w:pPr>
            <w:r w:rsidRPr="000577B2">
              <w:t>Netherlands (1487), Germany (1294), Denmark (1119), Ireland (947)</w:t>
            </w:r>
          </w:p>
          <w:p w14:paraId="7BDB43DE" w14:textId="77777777" w:rsidR="008A286C" w:rsidRPr="000577B2" w:rsidRDefault="008A286C" w:rsidP="00CC645A">
            <w:pPr>
              <w:pStyle w:val="Jacobnormal"/>
              <w:spacing w:line="240" w:lineRule="auto"/>
            </w:pPr>
          </w:p>
        </w:tc>
      </w:tr>
      <w:tr w:rsidR="008A286C" w:rsidRPr="000577B2" w14:paraId="7C3D10CE" w14:textId="77777777" w:rsidTr="00AB0A76">
        <w:tc>
          <w:tcPr>
            <w:tcW w:w="1242" w:type="dxa"/>
          </w:tcPr>
          <w:p w14:paraId="76484537" w14:textId="77777777" w:rsidR="008A286C" w:rsidRPr="000577B2" w:rsidRDefault="008A286C" w:rsidP="00CC645A">
            <w:pPr>
              <w:pStyle w:val="Jacobnormal"/>
              <w:spacing w:line="240" w:lineRule="auto"/>
            </w:pPr>
            <w:r w:rsidRPr="000577B2">
              <w:t>0.0</w:t>
            </w:r>
          </w:p>
        </w:tc>
        <w:tc>
          <w:tcPr>
            <w:tcW w:w="2835" w:type="dxa"/>
          </w:tcPr>
          <w:p w14:paraId="4D943F39" w14:textId="1AFD761D" w:rsidR="008A286C" w:rsidRPr="000577B2" w:rsidRDefault="000703EE" w:rsidP="00CC645A">
            <w:pPr>
              <w:pStyle w:val="Jacobnormal"/>
              <w:spacing w:line="240" w:lineRule="auto"/>
            </w:pPr>
            <w:r w:rsidRPr="000577B2">
              <w:t>34</w:t>
            </w:r>
            <w:r w:rsidR="00480814">
              <w:t>–</w:t>
            </w:r>
            <w:r w:rsidRPr="000577B2">
              <w:t>786</w:t>
            </w:r>
          </w:p>
        </w:tc>
        <w:tc>
          <w:tcPr>
            <w:tcW w:w="4077" w:type="dxa"/>
          </w:tcPr>
          <w:p w14:paraId="4B4A4B71" w14:textId="657D8343" w:rsidR="008A286C" w:rsidRPr="000577B2" w:rsidRDefault="000703EE" w:rsidP="00CC645A">
            <w:pPr>
              <w:pStyle w:val="Jacobnormal"/>
              <w:spacing w:line="240" w:lineRule="auto"/>
            </w:pPr>
            <w:r w:rsidRPr="000577B2">
              <w:t xml:space="preserve">UK (741), France (676), Greece (665), </w:t>
            </w:r>
            <w:r w:rsidR="008A286C" w:rsidRPr="000577B2">
              <w:t>Finland (490), Italy (234), Iceland (188), Spain (151), Portugal (34)</w:t>
            </w:r>
          </w:p>
        </w:tc>
      </w:tr>
    </w:tbl>
    <w:p w14:paraId="4DBA981C" w14:textId="7FD1830F" w:rsidR="008A286C" w:rsidRDefault="00F65C4E" w:rsidP="00CC645A">
      <w:pPr>
        <w:spacing w:before="120" w:line="240" w:lineRule="auto"/>
      </w:pPr>
      <w:r>
        <w:rPr>
          <w:i/>
        </w:rPr>
        <w:t>Source</w:t>
      </w:r>
      <w:r w:rsidR="008A286C" w:rsidRPr="000577B2">
        <w:t xml:space="preserve">: Eurostat, </w:t>
      </w:r>
      <w:hyperlink r:id="rId18" w:history="1">
        <w:r w:rsidR="008A286C" w:rsidRPr="000577B2">
          <w:rPr>
            <w:rStyle w:val="Hyperlink"/>
          </w:rPr>
          <w:t>http://ec.europa.eu/eurostat/statistics-explained/index.php/Asylum_statistics</w:t>
        </w:r>
      </w:hyperlink>
      <w:r w:rsidR="008A286C" w:rsidRPr="000577B2">
        <w:t xml:space="preserve"> </w:t>
      </w:r>
    </w:p>
    <w:p w14:paraId="5DA61102" w14:textId="27E9ECDA" w:rsidR="008A286C" w:rsidRDefault="008A286C" w:rsidP="00CC645A">
      <w:pPr>
        <w:pStyle w:val="Jacobnormal"/>
        <w:spacing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980"/>
      </w:tblGrid>
      <w:tr w:rsidR="00A267A9" w:rsidRPr="000577B2" w14:paraId="654B0D24" w14:textId="77777777" w:rsidTr="002816BC">
        <w:tc>
          <w:tcPr>
            <w:tcW w:w="8222" w:type="dxa"/>
            <w:gridSpan w:val="2"/>
            <w:tcBorders>
              <w:top w:val="nil"/>
              <w:bottom w:val="single" w:sz="4" w:space="0" w:color="auto"/>
            </w:tcBorders>
          </w:tcPr>
          <w:p w14:paraId="789ACA2D" w14:textId="44F80808" w:rsidR="00A267A9" w:rsidRPr="000577B2" w:rsidRDefault="006E4391" w:rsidP="00CC645A">
            <w:pPr>
              <w:pStyle w:val="Jacobnormal"/>
              <w:spacing w:line="240" w:lineRule="auto"/>
            </w:pPr>
            <w:r>
              <w:rPr>
                <w:i/>
              </w:rPr>
              <w:lastRenderedPageBreak/>
              <w:t>Table 15</w:t>
            </w:r>
            <w:r w:rsidR="002816BC" w:rsidRPr="000577B2">
              <w:t xml:space="preserve">. Ethnic diversity and immigration combined </w:t>
            </w:r>
            <w:r w:rsidR="004146D6">
              <w:t xml:space="preserve">(logical or) </w:t>
            </w:r>
            <w:r w:rsidR="002816BC" w:rsidRPr="000577B2">
              <w:t>score (</w:t>
            </w:r>
            <w:r w:rsidR="00E159A0">
              <w:t>median</w:t>
            </w:r>
            <w:r w:rsidR="002816BC" w:rsidRPr="000577B2">
              <w:t>)</w:t>
            </w:r>
          </w:p>
        </w:tc>
      </w:tr>
      <w:tr w:rsidR="00A267A9" w:rsidRPr="000577B2" w14:paraId="1C14E1D7" w14:textId="77777777" w:rsidTr="002816BC">
        <w:tc>
          <w:tcPr>
            <w:tcW w:w="1242" w:type="dxa"/>
            <w:tcBorders>
              <w:top w:val="single" w:sz="4" w:space="0" w:color="auto"/>
              <w:bottom w:val="single" w:sz="4" w:space="0" w:color="auto"/>
            </w:tcBorders>
          </w:tcPr>
          <w:p w14:paraId="0B441465" w14:textId="77777777" w:rsidR="00A267A9" w:rsidRPr="001E49F7" w:rsidRDefault="00A267A9" w:rsidP="00CC645A">
            <w:pPr>
              <w:pStyle w:val="Jacobnormal"/>
              <w:spacing w:line="240" w:lineRule="auto"/>
            </w:pPr>
            <w:r w:rsidRPr="001E49F7">
              <w:t>Fuzzy score</w:t>
            </w:r>
          </w:p>
        </w:tc>
        <w:tc>
          <w:tcPr>
            <w:tcW w:w="6980" w:type="dxa"/>
            <w:tcBorders>
              <w:top w:val="single" w:sz="4" w:space="0" w:color="auto"/>
              <w:bottom w:val="single" w:sz="4" w:space="0" w:color="auto"/>
            </w:tcBorders>
          </w:tcPr>
          <w:p w14:paraId="4DCF12E6" w14:textId="77777777" w:rsidR="00A267A9" w:rsidRPr="001E49F7" w:rsidRDefault="00A267A9" w:rsidP="00CC645A">
            <w:pPr>
              <w:pStyle w:val="Jacobnormal"/>
              <w:spacing w:line="240" w:lineRule="auto"/>
            </w:pPr>
            <w:r w:rsidRPr="001E49F7">
              <w:t xml:space="preserve">Case distribution </w:t>
            </w:r>
          </w:p>
        </w:tc>
      </w:tr>
      <w:tr w:rsidR="00A267A9" w:rsidRPr="000577B2" w14:paraId="59DE5E02" w14:textId="77777777" w:rsidTr="002816BC">
        <w:tc>
          <w:tcPr>
            <w:tcW w:w="1242" w:type="dxa"/>
            <w:tcBorders>
              <w:top w:val="single" w:sz="4" w:space="0" w:color="auto"/>
            </w:tcBorders>
          </w:tcPr>
          <w:p w14:paraId="6828B83D" w14:textId="77777777" w:rsidR="00A267A9" w:rsidRPr="000577B2" w:rsidRDefault="00A267A9" w:rsidP="00CC645A">
            <w:pPr>
              <w:pStyle w:val="Jacobnormal"/>
              <w:spacing w:line="240" w:lineRule="auto"/>
            </w:pPr>
            <w:r w:rsidRPr="000577B2">
              <w:t>1.0</w:t>
            </w:r>
          </w:p>
        </w:tc>
        <w:tc>
          <w:tcPr>
            <w:tcW w:w="6980" w:type="dxa"/>
            <w:tcBorders>
              <w:top w:val="single" w:sz="4" w:space="0" w:color="auto"/>
            </w:tcBorders>
          </w:tcPr>
          <w:p w14:paraId="7D30F2C5" w14:textId="706DF033" w:rsidR="00A267A9" w:rsidRPr="000577B2" w:rsidRDefault="00A267A9" w:rsidP="00CC645A">
            <w:pPr>
              <w:pStyle w:val="Jacobnormal"/>
              <w:spacing w:line="240" w:lineRule="auto"/>
            </w:pPr>
            <w:r w:rsidRPr="000577B2">
              <w:t xml:space="preserve">Sweden, Switzerland, Luxemburg, </w:t>
            </w:r>
          </w:p>
        </w:tc>
      </w:tr>
      <w:tr w:rsidR="00A267A9" w:rsidRPr="000577B2" w14:paraId="091CE62D" w14:textId="77777777" w:rsidTr="002816BC">
        <w:tc>
          <w:tcPr>
            <w:tcW w:w="1242" w:type="dxa"/>
          </w:tcPr>
          <w:p w14:paraId="42C9690A" w14:textId="77777777" w:rsidR="00A267A9" w:rsidRPr="000577B2" w:rsidRDefault="00A267A9" w:rsidP="00CC645A">
            <w:pPr>
              <w:pStyle w:val="Jacobnormal"/>
              <w:spacing w:line="240" w:lineRule="auto"/>
            </w:pPr>
            <w:r w:rsidRPr="000577B2">
              <w:t>0.75</w:t>
            </w:r>
          </w:p>
        </w:tc>
        <w:tc>
          <w:tcPr>
            <w:tcW w:w="6980" w:type="dxa"/>
          </w:tcPr>
          <w:p w14:paraId="43CF7734" w14:textId="735A4955" w:rsidR="00A267A9" w:rsidRPr="000577B2" w:rsidRDefault="00A267A9" w:rsidP="00CC645A">
            <w:pPr>
              <w:pStyle w:val="Jacobnormal"/>
              <w:spacing w:line="240" w:lineRule="auto"/>
            </w:pPr>
            <w:r w:rsidRPr="000577B2">
              <w:t>Austria, Norway, Belgium Netherlands, Germany, Denmark, Spain, Greece, France, UK</w:t>
            </w:r>
          </w:p>
        </w:tc>
      </w:tr>
      <w:tr w:rsidR="00A267A9" w:rsidRPr="000577B2" w14:paraId="594BA3B0" w14:textId="77777777" w:rsidTr="002816BC">
        <w:tc>
          <w:tcPr>
            <w:tcW w:w="1242" w:type="dxa"/>
          </w:tcPr>
          <w:p w14:paraId="34B70F7C" w14:textId="77777777" w:rsidR="00A267A9" w:rsidRPr="000577B2" w:rsidRDefault="00A267A9" w:rsidP="00CC645A">
            <w:pPr>
              <w:pStyle w:val="Jacobnormal"/>
              <w:spacing w:line="240" w:lineRule="auto"/>
            </w:pPr>
            <w:r w:rsidRPr="000577B2">
              <w:t>0.25</w:t>
            </w:r>
          </w:p>
        </w:tc>
        <w:tc>
          <w:tcPr>
            <w:tcW w:w="6980" w:type="dxa"/>
          </w:tcPr>
          <w:p w14:paraId="6DD9D84B" w14:textId="0835981B" w:rsidR="00A267A9" w:rsidRPr="000577B2" w:rsidRDefault="00A267A9" w:rsidP="00CC645A">
            <w:pPr>
              <w:pStyle w:val="Jacobnormal"/>
              <w:spacing w:line="240" w:lineRule="auto"/>
            </w:pPr>
            <w:r w:rsidRPr="000577B2">
              <w:t>Italy, Portugal</w:t>
            </w:r>
            <w:r w:rsidR="00CD74EF" w:rsidRPr="000577B2">
              <w:t>, Ireland</w:t>
            </w:r>
          </w:p>
        </w:tc>
      </w:tr>
      <w:tr w:rsidR="00A267A9" w:rsidRPr="000577B2" w14:paraId="7B193292" w14:textId="77777777" w:rsidTr="002816BC">
        <w:tc>
          <w:tcPr>
            <w:tcW w:w="1242" w:type="dxa"/>
          </w:tcPr>
          <w:p w14:paraId="45D38D40" w14:textId="77777777" w:rsidR="00A267A9" w:rsidRPr="000577B2" w:rsidRDefault="00A267A9" w:rsidP="00CC645A">
            <w:pPr>
              <w:pStyle w:val="Jacobnormal"/>
              <w:spacing w:line="240" w:lineRule="auto"/>
            </w:pPr>
            <w:r w:rsidRPr="000577B2">
              <w:t>0.0</w:t>
            </w:r>
          </w:p>
        </w:tc>
        <w:tc>
          <w:tcPr>
            <w:tcW w:w="6980" w:type="dxa"/>
          </w:tcPr>
          <w:p w14:paraId="5FDEA2D2" w14:textId="77777777" w:rsidR="00A267A9" w:rsidRPr="000577B2" w:rsidRDefault="00A267A9" w:rsidP="00CC645A">
            <w:pPr>
              <w:pStyle w:val="Jacobnormal"/>
              <w:spacing w:line="240" w:lineRule="auto"/>
            </w:pPr>
            <w:r w:rsidRPr="000577B2">
              <w:t>Iceland, Finland</w:t>
            </w:r>
          </w:p>
        </w:tc>
      </w:tr>
    </w:tbl>
    <w:p w14:paraId="413D8EF1" w14:textId="5A3B9737" w:rsidR="00F65C4E" w:rsidRPr="000577B2" w:rsidRDefault="00F65C4E" w:rsidP="00CC645A">
      <w:pPr>
        <w:pStyle w:val="Jacobnormal"/>
        <w:spacing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444"/>
        <w:gridCol w:w="5211"/>
      </w:tblGrid>
      <w:tr w:rsidR="008A286C" w:rsidRPr="000577B2" w14:paraId="7A0771C3" w14:textId="77777777" w:rsidTr="00AB0A76">
        <w:tc>
          <w:tcPr>
            <w:tcW w:w="8897" w:type="dxa"/>
            <w:gridSpan w:val="3"/>
            <w:tcBorders>
              <w:top w:val="nil"/>
              <w:bottom w:val="single" w:sz="4" w:space="0" w:color="auto"/>
            </w:tcBorders>
          </w:tcPr>
          <w:p w14:paraId="0466E262" w14:textId="0F462BDF" w:rsidR="008A286C" w:rsidRPr="000577B2" w:rsidRDefault="006E4391" w:rsidP="00CC645A">
            <w:pPr>
              <w:pStyle w:val="Jacobnormal"/>
              <w:spacing w:line="240" w:lineRule="auto"/>
            </w:pPr>
            <w:r>
              <w:rPr>
                <w:i/>
              </w:rPr>
              <w:t>Table 16</w:t>
            </w:r>
            <w:r w:rsidR="002816BC" w:rsidRPr="000577B2">
              <w:t>. Socio-economic hardship (</w:t>
            </w:r>
            <w:r w:rsidR="00E159A0">
              <w:t>median</w:t>
            </w:r>
            <w:r w:rsidR="002816BC" w:rsidRPr="000577B2">
              <w:t>)</w:t>
            </w:r>
          </w:p>
        </w:tc>
      </w:tr>
      <w:tr w:rsidR="008A286C" w:rsidRPr="000577B2" w14:paraId="55ABD932" w14:textId="77777777" w:rsidTr="00AB0A76">
        <w:tc>
          <w:tcPr>
            <w:tcW w:w="1242" w:type="dxa"/>
            <w:tcBorders>
              <w:top w:val="single" w:sz="4" w:space="0" w:color="auto"/>
              <w:bottom w:val="single" w:sz="4" w:space="0" w:color="auto"/>
            </w:tcBorders>
          </w:tcPr>
          <w:p w14:paraId="0AA42D78" w14:textId="77777777" w:rsidR="008A286C" w:rsidRPr="001E49F7" w:rsidRDefault="008A286C" w:rsidP="00CC645A">
            <w:pPr>
              <w:pStyle w:val="Jacobnormal"/>
              <w:spacing w:line="240" w:lineRule="auto"/>
            </w:pPr>
            <w:r w:rsidRPr="001E49F7">
              <w:t>Fuzzy score</w:t>
            </w:r>
          </w:p>
        </w:tc>
        <w:tc>
          <w:tcPr>
            <w:tcW w:w="2444" w:type="dxa"/>
            <w:tcBorders>
              <w:top w:val="single" w:sz="4" w:space="0" w:color="auto"/>
              <w:bottom w:val="single" w:sz="4" w:space="0" w:color="auto"/>
            </w:tcBorders>
          </w:tcPr>
          <w:p w14:paraId="57711029" w14:textId="08A8E452" w:rsidR="008A286C" w:rsidRPr="001E49F7" w:rsidRDefault="008A286C" w:rsidP="00CC645A">
            <w:pPr>
              <w:pStyle w:val="Jacobnormal"/>
              <w:spacing w:line="240" w:lineRule="auto"/>
            </w:pPr>
            <w:r w:rsidRPr="001E49F7">
              <w:t>Risk of poverty or social exclusion (AROPE) Eurostat average score 2004</w:t>
            </w:r>
            <w:r w:rsidR="00480814">
              <w:t>–</w:t>
            </w:r>
            <w:r w:rsidRPr="001E49F7">
              <w:t>2012</w:t>
            </w:r>
          </w:p>
        </w:tc>
        <w:tc>
          <w:tcPr>
            <w:tcW w:w="5211" w:type="dxa"/>
            <w:tcBorders>
              <w:top w:val="single" w:sz="4" w:space="0" w:color="auto"/>
              <w:bottom w:val="single" w:sz="4" w:space="0" w:color="auto"/>
            </w:tcBorders>
          </w:tcPr>
          <w:p w14:paraId="2785DE3F" w14:textId="77777777" w:rsidR="008A286C" w:rsidRPr="001E49F7" w:rsidRDefault="008A286C" w:rsidP="00CC645A">
            <w:pPr>
              <w:pStyle w:val="Jacobnormal"/>
              <w:spacing w:line="240" w:lineRule="auto"/>
            </w:pPr>
            <w:r w:rsidRPr="001E49F7">
              <w:t xml:space="preserve">Case distribution </w:t>
            </w:r>
          </w:p>
        </w:tc>
      </w:tr>
      <w:tr w:rsidR="008A286C" w:rsidRPr="000577B2" w14:paraId="7D5058A6" w14:textId="77777777" w:rsidTr="00AB0A76">
        <w:tc>
          <w:tcPr>
            <w:tcW w:w="1242" w:type="dxa"/>
            <w:tcBorders>
              <w:top w:val="single" w:sz="4" w:space="0" w:color="auto"/>
            </w:tcBorders>
          </w:tcPr>
          <w:p w14:paraId="3CB849DA" w14:textId="77777777" w:rsidR="008A286C" w:rsidRPr="000577B2" w:rsidRDefault="008A286C" w:rsidP="00CC645A">
            <w:pPr>
              <w:pStyle w:val="Jacobnormal"/>
              <w:spacing w:line="240" w:lineRule="auto"/>
            </w:pPr>
            <w:r w:rsidRPr="000577B2">
              <w:t>1.0</w:t>
            </w:r>
          </w:p>
        </w:tc>
        <w:tc>
          <w:tcPr>
            <w:tcW w:w="2444" w:type="dxa"/>
            <w:tcBorders>
              <w:top w:val="single" w:sz="4" w:space="0" w:color="auto"/>
            </w:tcBorders>
          </w:tcPr>
          <w:p w14:paraId="04F5FF40" w14:textId="418E108A" w:rsidR="008A286C" w:rsidRPr="000577B2" w:rsidRDefault="00CD74EF" w:rsidP="00CC645A">
            <w:pPr>
              <w:pStyle w:val="Jacobnormal"/>
              <w:spacing w:line="240" w:lineRule="auto"/>
            </w:pPr>
            <w:r w:rsidRPr="000577B2">
              <w:t>28</w:t>
            </w:r>
            <w:r w:rsidR="00480814">
              <w:t>–</w:t>
            </w:r>
            <w:r w:rsidRPr="000577B2">
              <w:t>31</w:t>
            </w:r>
          </w:p>
        </w:tc>
        <w:tc>
          <w:tcPr>
            <w:tcW w:w="5211" w:type="dxa"/>
            <w:tcBorders>
              <w:top w:val="single" w:sz="4" w:space="0" w:color="auto"/>
            </w:tcBorders>
          </w:tcPr>
          <w:p w14:paraId="6C4DDF90" w14:textId="77777777" w:rsidR="008A286C" w:rsidRPr="000577B2" w:rsidRDefault="008A286C" w:rsidP="00CC645A">
            <w:pPr>
              <w:pStyle w:val="Jacobnormal"/>
              <w:spacing w:line="240" w:lineRule="auto"/>
            </w:pPr>
            <w:r w:rsidRPr="000577B2">
              <w:t xml:space="preserve">Greece (31) </w:t>
            </w:r>
          </w:p>
          <w:p w14:paraId="028682B0" w14:textId="77777777" w:rsidR="008A286C" w:rsidRPr="000577B2" w:rsidRDefault="008A286C" w:rsidP="00CC645A">
            <w:pPr>
              <w:pStyle w:val="Jacobnormal"/>
              <w:spacing w:line="240" w:lineRule="auto"/>
            </w:pPr>
          </w:p>
        </w:tc>
      </w:tr>
      <w:tr w:rsidR="008A286C" w:rsidRPr="000577B2" w14:paraId="455AEA4C" w14:textId="77777777" w:rsidTr="00AB0A76">
        <w:tc>
          <w:tcPr>
            <w:tcW w:w="1242" w:type="dxa"/>
          </w:tcPr>
          <w:p w14:paraId="0E65D9C9" w14:textId="77777777" w:rsidR="008A286C" w:rsidRPr="000577B2" w:rsidRDefault="008A286C" w:rsidP="00CC645A">
            <w:pPr>
              <w:pStyle w:val="Jacobnormal"/>
              <w:spacing w:line="240" w:lineRule="auto"/>
            </w:pPr>
            <w:r w:rsidRPr="000577B2">
              <w:t>0.75</w:t>
            </w:r>
          </w:p>
        </w:tc>
        <w:tc>
          <w:tcPr>
            <w:tcW w:w="2444" w:type="dxa"/>
          </w:tcPr>
          <w:p w14:paraId="7460B9C6" w14:textId="3A82A01B" w:rsidR="008A286C" w:rsidRPr="000577B2" w:rsidRDefault="008A286C" w:rsidP="00CC645A">
            <w:pPr>
              <w:pStyle w:val="Jacobnormal"/>
              <w:spacing w:line="240" w:lineRule="auto"/>
            </w:pPr>
            <w:r w:rsidRPr="000577B2">
              <w:t>2</w:t>
            </w:r>
            <w:r w:rsidR="00CD74EF" w:rsidRPr="000577B2">
              <w:t>3</w:t>
            </w:r>
            <w:r w:rsidRPr="000577B2">
              <w:t>–2</w:t>
            </w:r>
            <w:r w:rsidR="00CD74EF" w:rsidRPr="000577B2">
              <w:t>7</w:t>
            </w:r>
          </w:p>
        </w:tc>
        <w:tc>
          <w:tcPr>
            <w:tcW w:w="5211" w:type="dxa"/>
          </w:tcPr>
          <w:p w14:paraId="3DC3E541" w14:textId="51E2B79D" w:rsidR="008A286C" w:rsidRPr="000577B2" w:rsidRDefault="008A286C" w:rsidP="00CC645A">
            <w:pPr>
              <w:pStyle w:val="Jacobnormal"/>
              <w:spacing w:line="240" w:lineRule="auto"/>
            </w:pPr>
            <w:r w:rsidRPr="000577B2">
              <w:t>Italy (27), Portugal (26), Ireland (26), Spain (26)</w:t>
            </w:r>
            <w:r w:rsidR="00CD74EF" w:rsidRPr="000577B2">
              <w:t>,</w:t>
            </w:r>
            <w:r w:rsidRPr="000577B2">
              <w:t xml:space="preserve"> </w:t>
            </w:r>
            <w:r w:rsidR="00CD74EF" w:rsidRPr="000577B2">
              <w:t>UK (24)</w:t>
            </w:r>
          </w:p>
          <w:p w14:paraId="1F3EC010" w14:textId="77777777" w:rsidR="008A286C" w:rsidRPr="000577B2" w:rsidRDefault="008A286C" w:rsidP="00CC645A">
            <w:pPr>
              <w:pStyle w:val="Jacobnormal"/>
              <w:spacing w:line="240" w:lineRule="auto"/>
            </w:pPr>
          </w:p>
        </w:tc>
      </w:tr>
      <w:tr w:rsidR="008A286C" w:rsidRPr="000577B2" w14:paraId="7702CA45" w14:textId="77777777" w:rsidTr="00AB0A76">
        <w:tc>
          <w:tcPr>
            <w:tcW w:w="1242" w:type="dxa"/>
          </w:tcPr>
          <w:p w14:paraId="4BDB4033" w14:textId="77777777" w:rsidR="008A286C" w:rsidRPr="000577B2" w:rsidRDefault="008A286C" w:rsidP="00CC645A">
            <w:pPr>
              <w:pStyle w:val="Jacobnormal"/>
              <w:spacing w:line="240" w:lineRule="auto"/>
            </w:pPr>
            <w:r w:rsidRPr="000577B2">
              <w:t>0.25</w:t>
            </w:r>
          </w:p>
        </w:tc>
        <w:tc>
          <w:tcPr>
            <w:tcW w:w="2444" w:type="dxa"/>
          </w:tcPr>
          <w:p w14:paraId="353AAF28" w14:textId="2FDA5DCE" w:rsidR="008A286C" w:rsidRPr="000577B2" w:rsidRDefault="00CD74EF" w:rsidP="00CC645A">
            <w:pPr>
              <w:pStyle w:val="Jacobnormal"/>
              <w:spacing w:line="240" w:lineRule="auto"/>
            </w:pPr>
            <w:r w:rsidRPr="000577B2">
              <w:t>18</w:t>
            </w:r>
            <w:r w:rsidR="008A286C" w:rsidRPr="000577B2">
              <w:t>–2</w:t>
            </w:r>
            <w:r w:rsidRPr="000577B2">
              <w:t>2</w:t>
            </w:r>
          </w:p>
        </w:tc>
        <w:tc>
          <w:tcPr>
            <w:tcW w:w="5211" w:type="dxa"/>
          </w:tcPr>
          <w:p w14:paraId="275E6813" w14:textId="73CF9A3D" w:rsidR="008A286C" w:rsidRPr="000577B2" w:rsidRDefault="008A286C" w:rsidP="00CC645A">
            <w:pPr>
              <w:pStyle w:val="Jacobnormal"/>
              <w:spacing w:line="240" w:lineRule="auto"/>
            </w:pPr>
            <w:r w:rsidRPr="000577B2">
              <w:t>Belgium (21)</w:t>
            </w:r>
            <w:r w:rsidR="00480814">
              <w:t>,</w:t>
            </w:r>
            <w:r w:rsidRPr="000577B2">
              <w:t xml:space="preserve"> Germany (20)</w:t>
            </w:r>
            <w:r w:rsidR="00CD74EF" w:rsidRPr="000577B2">
              <w:t>, France (19), Austria (18)</w:t>
            </w:r>
          </w:p>
          <w:p w14:paraId="6BCB72DF" w14:textId="77777777" w:rsidR="008A286C" w:rsidRPr="000577B2" w:rsidRDefault="008A286C" w:rsidP="00CC645A">
            <w:pPr>
              <w:pStyle w:val="Jacobnormal"/>
              <w:spacing w:line="240" w:lineRule="auto"/>
            </w:pPr>
          </w:p>
        </w:tc>
      </w:tr>
      <w:tr w:rsidR="008A286C" w:rsidRPr="00FF693D" w14:paraId="01A567D3" w14:textId="77777777" w:rsidTr="00AB0A76">
        <w:tc>
          <w:tcPr>
            <w:tcW w:w="1242" w:type="dxa"/>
          </w:tcPr>
          <w:p w14:paraId="4116C39C" w14:textId="77777777" w:rsidR="008A286C" w:rsidRPr="000577B2" w:rsidRDefault="008A286C" w:rsidP="00CC645A">
            <w:pPr>
              <w:pStyle w:val="Jacobnormal"/>
              <w:spacing w:line="240" w:lineRule="auto"/>
            </w:pPr>
            <w:r w:rsidRPr="000577B2">
              <w:t>0.0</w:t>
            </w:r>
          </w:p>
        </w:tc>
        <w:tc>
          <w:tcPr>
            <w:tcW w:w="2444" w:type="dxa"/>
          </w:tcPr>
          <w:p w14:paraId="215B0BF8" w14:textId="20A03C1D" w:rsidR="008A286C" w:rsidRPr="000577B2" w:rsidRDefault="00CD74EF" w:rsidP="00CC645A">
            <w:pPr>
              <w:pStyle w:val="Jacobnormal"/>
              <w:spacing w:line="240" w:lineRule="auto"/>
            </w:pPr>
            <w:r w:rsidRPr="000577B2">
              <w:t>13–17</w:t>
            </w:r>
          </w:p>
        </w:tc>
        <w:tc>
          <w:tcPr>
            <w:tcW w:w="5211" w:type="dxa"/>
          </w:tcPr>
          <w:p w14:paraId="3CE6E9D5" w14:textId="1EF42DA4" w:rsidR="008A286C" w:rsidRPr="000544C7" w:rsidRDefault="008A286C" w:rsidP="00CC645A">
            <w:pPr>
              <w:pStyle w:val="Jacobnormal"/>
              <w:spacing w:line="240" w:lineRule="auto"/>
              <w:rPr>
                <w:lang w:val="de-DE"/>
              </w:rPr>
            </w:pPr>
            <w:proofErr w:type="spellStart"/>
            <w:r w:rsidRPr="000544C7">
              <w:rPr>
                <w:lang w:val="de-DE"/>
              </w:rPr>
              <w:t>Denmark</w:t>
            </w:r>
            <w:proofErr w:type="spellEnd"/>
            <w:r w:rsidRPr="000544C7">
              <w:rPr>
                <w:lang w:val="de-DE"/>
              </w:rPr>
              <w:t xml:space="preserve"> (17), </w:t>
            </w:r>
            <w:proofErr w:type="spellStart"/>
            <w:r w:rsidRPr="000544C7">
              <w:rPr>
                <w:lang w:val="de-DE"/>
              </w:rPr>
              <w:t>Switzerland</w:t>
            </w:r>
            <w:proofErr w:type="spellEnd"/>
            <w:r w:rsidRPr="000544C7">
              <w:rPr>
                <w:lang w:val="de-DE"/>
              </w:rPr>
              <w:t xml:space="preserve"> (17), Luxemburg (17), </w:t>
            </w:r>
            <w:proofErr w:type="spellStart"/>
            <w:r w:rsidRPr="000544C7">
              <w:rPr>
                <w:lang w:val="de-DE"/>
              </w:rPr>
              <w:t>Finland</w:t>
            </w:r>
            <w:proofErr w:type="spellEnd"/>
            <w:r w:rsidRPr="000544C7">
              <w:rPr>
                <w:lang w:val="de-DE"/>
              </w:rPr>
              <w:t xml:space="preserve"> (17), </w:t>
            </w:r>
            <w:proofErr w:type="spellStart"/>
            <w:r w:rsidRPr="000544C7">
              <w:rPr>
                <w:lang w:val="de-DE"/>
              </w:rPr>
              <w:t>Sweden</w:t>
            </w:r>
            <w:proofErr w:type="spellEnd"/>
            <w:r w:rsidRPr="000544C7">
              <w:rPr>
                <w:lang w:val="de-DE"/>
              </w:rPr>
              <w:t xml:space="preserve"> (15), </w:t>
            </w:r>
            <w:proofErr w:type="spellStart"/>
            <w:r w:rsidRPr="000544C7">
              <w:rPr>
                <w:lang w:val="de-DE"/>
              </w:rPr>
              <w:t>Netherlands</w:t>
            </w:r>
            <w:proofErr w:type="spellEnd"/>
            <w:r w:rsidRPr="000544C7">
              <w:rPr>
                <w:lang w:val="de-DE"/>
              </w:rPr>
              <w:t xml:space="preserve"> (15), </w:t>
            </w:r>
            <w:proofErr w:type="spellStart"/>
            <w:r w:rsidRPr="000544C7">
              <w:rPr>
                <w:lang w:val="de-DE"/>
              </w:rPr>
              <w:t>Norway</w:t>
            </w:r>
            <w:proofErr w:type="spellEnd"/>
            <w:r w:rsidRPr="000544C7">
              <w:rPr>
                <w:lang w:val="de-DE"/>
              </w:rPr>
              <w:t xml:space="preserve"> (15), </w:t>
            </w:r>
            <w:proofErr w:type="spellStart"/>
            <w:r w:rsidRPr="000544C7">
              <w:rPr>
                <w:lang w:val="de-DE"/>
              </w:rPr>
              <w:t>Iceland</w:t>
            </w:r>
            <w:proofErr w:type="spellEnd"/>
            <w:r w:rsidRPr="000544C7">
              <w:rPr>
                <w:lang w:val="de-DE"/>
              </w:rPr>
              <w:t xml:space="preserve"> (13)</w:t>
            </w:r>
          </w:p>
        </w:tc>
      </w:tr>
    </w:tbl>
    <w:p w14:paraId="4B75C6A7" w14:textId="1C55BAD5" w:rsidR="008A286C" w:rsidRPr="000577B2" w:rsidRDefault="008A286C" w:rsidP="00CC645A">
      <w:pPr>
        <w:pStyle w:val="Jacobnormal"/>
        <w:spacing w:line="240" w:lineRule="auto"/>
        <w:rPr>
          <w:rStyle w:val="Hyperlink"/>
        </w:rPr>
      </w:pPr>
      <w:r w:rsidRPr="000577B2">
        <w:rPr>
          <w:i/>
        </w:rPr>
        <w:t>Source:</w:t>
      </w:r>
      <w:r w:rsidRPr="000577B2">
        <w:t xml:space="preserve"> Eurostat</w:t>
      </w:r>
      <w:proofErr w:type="gramStart"/>
      <w:r w:rsidRPr="000577B2">
        <w:t xml:space="preserve">,  </w:t>
      </w:r>
      <w:proofErr w:type="gramEnd"/>
      <w:r w:rsidR="00B948EA">
        <w:fldChar w:fldCharType="begin"/>
      </w:r>
      <w:r w:rsidR="00B948EA">
        <w:instrText xml:space="preserve"> HYPERLINK "http://ec.europa.eu/eurostat/statistics-explained/index.php/People_at_risk_of_poverty_or_social_exclusion" </w:instrText>
      </w:r>
      <w:r w:rsidR="00B948EA">
        <w:fldChar w:fldCharType="separate"/>
      </w:r>
      <w:r w:rsidRPr="000577B2">
        <w:rPr>
          <w:rStyle w:val="Hyperlink"/>
        </w:rPr>
        <w:t>http://ec.europa.eu/eurostat/statistics-explained/index.php/People_at_risk_of_poverty_or_social_exclusion</w:t>
      </w:r>
      <w:r w:rsidR="00B948EA">
        <w:rPr>
          <w:rStyle w:val="Hyperlink"/>
        </w:rPr>
        <w:fldChar w:fldCharType="end"/>
      </w:r>
    </w:p>
    <w:p w14:paraId="1FED2BB0" w14:textId="6FBF28AD" w:rsidR="008A286C" w:rsidRPr="000577B2" w:rsidRDefault="008A286C" w:rsidP="00CC645A">
      <w:pPr>
        <w:pStyle w:val="Jacobnormal"/>
        <w:spacing w:line="240" w:lineRule="auto"/>
        <w:rPr>
          <w:rStyle w:val="Hyperlink"/>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2520"/>
        <w:gridCol w:w="5386"/>
      </w:tblGrid>
      <w:tr w:rsidR="008A286C" w:rsidRPr="000577B2" w14:paraId="4E1A4E52" w14:textId="77777777" w:rsidTr="00AB0A76">
        <w:tc>
          <w:tcPr>
            <w:tcW w:w="9072" w:type="dxa"/>
            <w:gridSpan w:val="3"/>
            <w:tcBorders>
              <w:top w:val="nil"/>
              <w:bottom w:val="single" w:sz="4" w:space="0" w:color="auto"/>
            </w:tcBorders>
          </w:tcPr>
          <w:p w14:paraId="7DCA1F28" w14:textId="016D1B88" w:rsidR="008A286C" w:rsidRPr="000577B2" w:rsidRDefault="006E4391" w:rsidP="00CC645A">
            <w:pPr>
              <w:pStyle w:val="Jacobnormal"/>
              <w:spacing w:line="240" w:lineRule="auto"/>
            </w:pPr>
            <w:r>
              <w:rPr>
                <w:i/>
              </w:rPr>
              <w:t>Table 17</w:t>
            </w:r>
            <w:r w:rsidR="002816BC" w:rsidRPr="000577B2">
              <w:t>. Radical right support (</w:t>
            </w:r>
            <w:r w:rsidR="00E159A0">
              <w:t>median</w:t>
            </w:r>
            <w:r w:rsidR="002816BC" w:rsidRPr="000577B2">
              <w:t>)</w:t>
            </w:r>
          </w:p>
        </w:tc>
      </w:tr>
      <w:tr w:rsidR="008A286C" w:rsidRPr="000577B2" w14:paraId="06904361" w14:textId="77777777" w:rsidTr="00AB0A76">
        <w:tc>
          <w:tcPr>
            <w:tcW w:w="1166" w:type="dxa"/>
            <w:tcBorders>
              <w:top w:val="single" w:sz="4" w:space="0" w:color="auto"/>
              <w:bottom w:val="single" w:sz="4" w:space="0" w:color="auto"/>
            </w:tcBorders>
          </w:tcPr>
          <w:p w14:paraId="623B8551" w14:textId="77777777" w:rsidR="008A286C" w:rsidRPr="001E49F7" w:rsidRDefault="008A286C" w:rsidP="00CC645A">
            <w:pPr>
              <w:pStyle w:val="Jacobnormal"/>
              <w:spacing w:line="240" w:lineRule="auto"/>
            </w:pPr>
            <w:r w:rsidRPr="001E49F7">
              <w:t>Fuzzy score</w:t>
            </w:r>
          </w:p>
        </w:tc>
        <w:tc>
          <w:tcPr>
            <w:tcW w:w="2520" w:type="dxa"/>
            <w:tcBorders>
              <w:top w:val="single" w:sz="4" w:space="0" w:color="auto"/>
              <w:bottom w:val="single" w:sz="4" w:space="0" w:color="auto"/>
            </w:tcBorders>
          </w:tcPr>
          <w:p w14:paraId="207652FD" w14:textId="3E2EDA42" w:rsidR="008A286C" w:rsidRPr="001E49F7" w:rsidRDefault="008A286C" w:rsidP="00CC645A">
            <w:pPr>
              <w:pStyle w:val="Jacobnormal"/>
              <w:spacing w:line="240" w:lineRule="auto"/>
            </w:pPr>
            <w:r w:rsidRPr="001E49F7">
              <w:t>Average percentage of parliamentary votes for radical right parties 1990</w:t>
            </w:r>
            <w:r w:rsidR="00480814">
              <w:t>–</w:t>
            </w:r>
            <w:r w:rsidRPr="001E49F7">
              <w:t xml:space="preserve">2014 </w:t>
            </w:r>
          </w:p>
        </w:tc>
        <w:tc>
          <w:tcPr>
            <w:tcW w:w="5386" w:type="dxa"/>
            <w:tcBorders>
              <w:top w:val="single" w:sz="4" w:space="0" w:color="auto"/>
              <w:bottom w:val="single" w:sz="4" w:space="0" w:color="auto"/>
            </w:tcBorders>
          </w:tcPr>
          <w:p w14:paraId="765A7039" w14:textId="77777777" w:rsidR="008A286C" w:rsidRPr="001E49F7" w:rsidRDefault="008A286C" w:rsidP="00CC645A">
            <w:pPr>
              <w:pStyle w:val="Jacobnormal"/>
              <w:spacing w:line="240" w:lineRule="auto"/>
            </w:pPr>
            <w:r w:rsidRPr="001E49F7">
              <w:t>Case distribution</w:t>
            </w:r>
          </w:p>
        </w:tc>
      </w:tr>
      <w:tr w:rsidR="008A286C" w:rsidRPr="000577B2" w14:paraId="04A72325" w14:textId="77777777" w:rsidTr="00AB0A76">
        <w:tc>
          <w:tcPr>
            <w:tcW w:w="1166" w:type="dxa"/>
            <w:tcBorders>
              <w:top w:val="single" w:sz="4" w:space="0" w:color="auto"/>
            </w:tcBorders>
          </w:tcPr>
          <w:p w14:paraId="67759FB3" w14:textId="77777777" w:rsidR="008A286C" w:rsidRPr="000577B2" w:rsidRDefault="008A286C" w:rsidP="00CC645A">
            <w:pPr>
              <w:pStyle w:val="Jacobnormal"/>
              <w:spacing w:line="240" w:lineRule="auto"/>
            </w:pPr>
            <w:r w:rsidRPr="000577B2">
              <w:t>1.0</w:t>
            </w:r>
          </w:p>
        </w:tc>
        <w:tc>
          <w:tcPr>
            <w:tcW w:w="2520" w:type="dxa"/>
            <w:tcBorders>
              <w:top w:val="single" w:sz="4" w:space="0" w:color="auto"/>
            </w:tcBorders>
          </w:tcPr>
          <w:p w14:paraId="267C9076" w14:textId="4E351B37" w:rsidR="008A286C" w:rsidRPr="000577B2" w:rsidRDefault="00352363" w:rsidP="00CC645A">
            <w:pPr>
              <w:pStyle w:val="Jacobnormal"/>
              <w:spacing w:line="240" w:lineRule="auto"/>
            </w:pPr>
            <w:r w:rsidRPr="000577B2">
              <w:t>17</w:t>
            </w:r>
            <w:r w:rsidR="00480814">
              <w:t>.</w:t>
            </w:r>
            <w:r w:rsidRPr="000577B2">
              <w:t>2–22</w:t>
            </w:r>
            <w:r w:rsidR="00480814">
              <w:t>.</w:t>
            </w:r>
            <w:r w:rsidRPr="000577B2">
              <w:t>8</w:t>
            </w:r>
            <w:r w:rsidR="008A286C" w:rsidRPr="000577B2">
              <w:t xml:space="preserve"> %</w:t>
            </w:r>
          </w:p>
        </w:tc>
        <w:tc>
          <w:tcPr>
            <w:tcW w:w="5386" w:type="dxa"/>
            <w:tcBorders>
              <w:top w:val="single" w:sz="4" w:space="0" w:color="auto"/>
            </w:tcBorders>
          </w:tcPr>
          <w:p w14:paraId="13BED111" w14:textId="57E6152C" w:rsidR="008A286C" w:rsidRPr="000577B2" w:rsidRDefault="008A286C" w:rsidP="00CC645A">
            <w:pPr>
              <w:pStyle w:val="Jacobnormal"/>
              <w:spacing w:line="240" w:lineRule="auto"/>
            </w:pPr>
            <w:r w:rsidRPr="000577B2">
              <w:t>Switzerland (22</w:t>
            </w:r>
            <w:r w:rsidR="00480814">
              <w:t>.</w:t>
            </w:r>
            <w:r w:rsidRPr="000577B2">
              <w:t>8), Austria (21</w:t>
            </w:r>
            <w:r w:rsidR="00480814">
              <w:t>.</w:t>
            </w:r>
            <w:r w:rsidRPr="000577B2">
              <w:t>3)</w:t>
            </w:r>
          </w:p>
          <w:p w14:paraId="1A67369F" w14:textId="77777777" w:rsidR="008A286C" w:rsidRPr="000577B2" w:rsidRDefault="008A286C" w:rsidP="00CC645A">
            <w:pPr>
              <w:pStyle w:val="Jacobnormal"/>
              <w:spacing w:line="240" w:lineRule="auto"/>
            </w:pPr>
          </w:p>
        </w:tc>
      </w:tr>
      <w:tr w:rsidR="008A286C" w:rsidRPr="000577B2" w14:paraId="4CB8E919" w14:textId="77777777" w:rsidTr="00AB0A76">
        <w:tc>
          <w:tcPr>
            <w:tcW w:w="1166" w:type="dxa"/>
          </w:tcPr>
          <w:p w14:paraId="1AFBEA75" w14:textId="77777777" w:rsidR="008A286C" w:rsidRPr="000577B2" w:rsidRDefault="008A286C" w:rsidP="00CC645A">
            <w:pPr>
              <w:pStyle w:val="Jacobnormal"/>
              <w:spacing w:line="240" w:lineRule="auto"/>
            </w:pPr>
            <w:r w:rsidRPr="000577B2">
              <w:t>0.75</w:t>
            </w:r>
          </w:p>
        </w:tc>
        <w:tc>
          <w:tcPr>
            <w:tcW w:w="2520" w:type="dxa"/>
          </w:tcPr>
          <w:p w14:paraId="4D5E3DD4" w14:textId="53B12B40" w:rsidR="008A286C" w:rsidRPr="000577B2" w:rsidRDefault="00352363" w:rsidP="00CC645A">
            <w:pPr>
              <w:pStyle w:val="Jacobnormal"/>
              <w:spacing w:line="240" w:lineRule="auto"/>
            </w:pPr>
            <w:r w:rsidRPr="000577B2">
              <w:t>11</w:t>
            </w:r>
            <w:r w:rsidR="00480814">
              <w:t>.</w:t>
            </w:r>
            <w:r w:rsidRPr="000577B2">
              <w:t>4</w:t>
            </w:r>
            <w:r w:rsidR="008A286C" w:rsidRPr="000577B2">
              <w:t>–</w:t>
            </w:r>
            <w:r w:rsidRPr="000577B2">
              <w:t>17</w:t>
            </w:r>
            <w:r w:rsidR="00480814">
              <w:t>.</w:t>
            </w:r>
            <w:r w:rsidRPr="000577B2">
              <w:t>19</w:t>
            </w:r>
            <w:r w:rsidR="008A286C" w:rsidRPr="000577B2">
              <w:t xml:space="preserve"> %</w:t>
            </w:r>
          </w:p>
        </w:tc>
        <w:tc>
          <w:tcPr>
            <w:tcW w:w="5386" w:type="dxa"/>
          </w:tcPr>
          <w:p w14:paraId="3376D81D" w14:textId="4574951A" w:rsidR="008A286C" w:rsidRPr="000577B2" w:rsidRDefault="008A286C" w:rsidP="00CC645A">
            <w:pPr>
              <w:pStyle w:val="Jacobnormal"/>
              <w:spacing w:line="240" w:lineRule="auto"/>
            </w:pPr>
            <w:r w:rsidRPr="000577B2">
              <w:t>Norway (15</w:t>
            </w:r>
            <w:r w:rsidR="00480814">
              <w:t>.</w:t>
            </w:r>
            <w:r w:rsidRPr="000577B2">
              <w:t>0), Italy (12</w:t>
            </w:r>
            <w:r w:rsidR="00480814">
              <w:t>.</w:t>
            </w:r>
            <w:r w:rsidRPr="000577B2">
              <w:t>1), France (11</w:t>
            </w:r>
            <w:r w:rsidR="00480814">
              <w:t>.</w:t>
            </w:r>
            <w:r w:rsidRPr="000577B2">
              <w:t xml:space="preserve">7) </w:t>
            </w:r>
          </w:p>
          <w:p w14:paraId="714DB22A" w14:textId="77777777" w:rsidR="008A286C" w:rsidRPr="000577B2" w:rsidRDefault="008A286C" w:rsidP="00CC645A">
            <w:pPr>
              <w:pStyle w:val="Jacobnormal"/>
              <w:spacing w:line="240" w:lineRule="auto"/>
            </w:pPr>
          </w:p>
        </w:tc>
      </w:tr>
      <w:tr w:rsidR="008A286C" w:rsidRPr="000577B2" w14:paraId="44F61E13" w14:textId="77777777" w:rsidTr="00AB0A76">
        <w:tc>
          <w:tcPr>
            <w:tcW w:w="1166" w:type="dxa"/>
          </w:tcPr>
          <w:p w14:paraId="6CD33706" w14:textId="77777777" w:rsidR="008A286C" w:rsidRPr="000577B2" w:rsidRDefault="008A286C" w:rsidP="00CC645A">
            <w:pPr>
              <w:pStyle w:val="Jacobnormal"/>
              <w:spacing w:line="240" w:lineRule="auto"/>
            </w:pPr>
            <w:r w:rsidRPr="000577B2">
              <w:t>0.25</w:t>
            </w:r>
          </w:p>
        </w:tc>
        <w:tc>
          <w:tcPr>
            <w:tcW w:w="2520" w:type="dxa"/>
          </w:tcPr>
          <w:p w14:paraId="7DF2E44D" w14:textId="16DCB2C3" w:rsidR="008A286C" w:rsidRPr="000577B2" w:rsidRDefault="008A286C" w:rsidP="00CC645A">
            <w:pPr>
              <w:pStyle w:val="Jacobnormal"/>
              <w:spacing w:line="240" w:lineRule="auto"/>
            </w:pPr>
            <w:r w:rsidRPr="000577B2">
              <w:t>5</w:t>
            </w:r>
            <w:r w:rsidR="00480814">
              <w:t>.</w:t>
            </w:r>
            <w:r w:rsidR="00352363" w:rsidRPr="000577B2">
              <w:t>7</w:t>
            </w:r>
            <w:r w:rsidRPr="000577B2">
              <w:t>–</w:t>
            </w:r>
            <w:r w:rsidR="00CD74EF" w:rsidRPr="000577B2">
              <w:t>11</w:t>
            </w:r>
            <w:r w:rsidR="00480814">
              <w:t>.</w:t>
            </w:r>
            <w:r w:rsidR="00352363" w:rsidRPr="000577B2">
              <w:t>39</w:t>
            </w:r>
            <w:r w:rsidRPr="000577B2">
              <w:t xml:space="preserve"> %</w:t>
            </w:r>
          </w:p>
        </w:tc>
        <w:tc>
          <w:tcPr>
            <w:tcW w:w="5386" w:type="dxa"/>
          </w:tcPr>
          <w:p w14:paraId="6A2D5961" w14:textId="64A66545" w:rsidR="008A286C" w:rsidRPr="000577B2" w:rsidRDefault="00352363" w:rsidP="00CC645A">
            <w:pPr>
              <w:pStyle w:val="Jacobnormal"/>
              <w:spacing w:line="240" w:lineRule="auto"/>
            </w:pPr>
            <w:r w:rsidRPr="000577B2">
              <w:t>Denmark (11</w:t>
            </w:r>
            <w:r w:rsidR="00480814">
              <w:t>.</w:t>
            </w:r>
            <w:r w:rsidRPr="000577B2">
              <w:t>0) Belgium (10</w:t>
            </w:r>
            <w:r w:rsidR="00480814">
              <w:t>.</w:t>
            </w:r>
            <w:r w:rsidRPr="000577B2">
              <w:t xml:space="preserve">2), </w:t>
            </w:r>
            <w:r w:rsidR="008A286C" w:rsidRPr="000577B2">
              <w:t>Net</w:t>
            </w:r>
            <w:r w:rsidRPr="000577B2">
              <w:t>herlands (6</w:t>
            </w:r>
            <w:r w:rsidR="00480814">
              <w:t>.</w:t>
            </w:r>
            <w:r w:rsidRPr="000577B2">
              <w:t xml:space="preserve">7) </w:t>
            </w:r>
          </w:p>
          <w:p w14:paraId="68CABE5E" w14:textId="77777777" w:rsidR="008A286C" w:rsidRPr="000577B2" w:rsidRDefault="008A286C" w:rsidP="00CC645A">
            <w:pPr>
              <w:pStyle w:val="Jacobnormal"/>
              <w:spacing w:line="240" w:lineRule="auto"/>
            </w:pPr>
          </w:p>
        </w:tc>
      </w:tr>
      <w:tr w:rsidR="008A286C" w:rsidRPr="000577B2" w14:paraId="335D03BD" w14:textId="77777777" w:rsidTr="00AB0A76">
        <w:tc>
          <w:tcPr>
            <w:tcW w:w="1166" w:type="dxa"/>
          </w:tcPr>
          <w:p w14:paraId="30EC9765" w14:textId="77777777" w:rsidR="008A286C" w:rsidRPr="000577B2" w:rsidRDefault="008A286C" w:rsidP="00CC645A">
            <w:pPr>
              <w:pStyle w:val="Jacobnormal"/>
              <w:spacing w:line="240" w:lineRule="auto"/>
            </w:pPr>
            <w:r w:rsidRPr="000577B2">
              <w:t>0.0</w:t>
            </w:r>
          </w:p>
        </w:tc>
        <w:tc>
          <w:tcPr>
            <w:tcW w:w="2520" w:type="dxa"/>
          </w:tcPr>
          <w:p w14:paraId="7F78C505" w14:textId="38E833FA" w:rsidR="008A286C" w:rsidRPr="000577B2" w:rsidRDefault="00CD74EF" w:rsidP="00CC645A">
            <w:pPr>
              <w:pStyle w:val="Jacobnormal"/>
              <w:spacing w:line="240" w:lineRule="auto"/>
            </w:pPr>
            <w:r w:rsidRPr="000577B2">
              <w:t>0–</w:t>
            </w:r>
            <w:r w:rsidR="008A286C" w:rsidRPr="000577B2">
              <w:t>5</w:t>
            </w:r>
            <w:r w:rsidR="00480814">
              <w:t>.</w:t>
            </w:r>
            <w:r w:rsidR="00352363" w:rsidRPr="000577B2">
              <w:t xml:space="preserve">69 </w:t>
            </w:r>
            <w:r w:rsidR="008A286C" w:rsidRPr="000577B2">
              <w:t>%</w:t>
            </w:r>
          </w:p>
        </w:tc>
        <w:tc>
          <w:tcPr>
            <w:tcW w:w="5386" w:type="dxa"/>
          </w:tcPr>
          <w:p w14:paraId="572B4E05" w14:textId="199912DB" w:rsidR="008A286C" w:rsidRPr="000577B2" w:rsidRDefault="00352363" w:rsidP="00CC645A">
            <w:pPr>
              <w:pStyle w:val="Jacobnormal"/>
              <w:spacing w:line="240" w:lineRule="auto"/>
            </w:pPr>
            <w:r w:rsidRPr="000577B2">
              <w:t>Finland (5</w:t>
            </w:r>
            <w:r w:rsidR="00480814">
              <w:t>.</w:t>
            </w:r>
            <w:r w:rsidRPr="000577B2">
              <w:t xml:space="preserve">1), </w:t>
            </w:r>
            <w:r w:rsidR="008A286C" w:rsidRPr="000577B2">
              <w:t>Greece (3</w:t>
            </w:r>
            <w:r w:rsidR="00480814">
              <w:t>.</w:t>
            </w:r>
            <w:r w:rsidR="008A286C" w:rsidRPr="000577B2">
              <w:t>6), Sweden (3</w:t>
            </w:r>
            <w:r w:rsidR="00480814">
              <w:t>.</w:t>
            </w:r>
            <w:r w:rsidR="008A286C" w:rsidRPr="000577B2">
              <w:t>5), UK (2</w:t>
            </w:r>
            <w:r w:rsidR="00480814">
              <w:t>.</w:t>
            </w:r>
            <w:r w:rsidR="008A286C" w:rsidRPr="000577B2">
              <w:t>1), Germany (2</w:t>
            </w:r>
            <w:r w:rsidR="00480814">
              <w:t>.</w:t>
            </w:r>
            <w:r w:rsidR="008A286C" w:rsidRPr="000577B2">
              <w:t>0), Portugal (0</w:t>
            </w:r>
            <w:r w:rsidR="00480814">
              <w:t>.</w:t>
            </w:r>
            <w:r w:rsidR="008A286C" w:rsidRPr="000577B2">
              <w:t>1), Iceland (0), Ireland (0), Luxemburg (0), Spain (0)</w:t>
            </w:r>
          </w:p>
        </w:tc>
      </w:tr>
    </w:tbl>
    <w:p w14:paraId="3F9C8927" w14:textId="20751B8D" w:rsidR="009D1D3D" w:rsidRDefault="008A286C" w:rsidP="00CC645A">
      <w:pPr>
        <w:pStyle w:val="Jacobnormal"/>
        <w:spacing w:line="240" w:lineRule="auto"/>
      </w:pPr>
      <w:r w:rsidRPr="000577B2">
        <w:rPr>
          <w:i/>
        </w:rPr>
        <w:t>Sources:</w:t>
      </w:r>
      <w:r w:rsidRPr="000577B2">
        <w:t xml:space="preserve"> </w:t>
      </w:r>
      <w:proofErr w:type="spellStart"/>
      <w:r w:rsidRPr="000577B2">
        <w:t>Minkenberg</w:t>
      </w:r>
      <w:proofErr w:type="spellEnd"/>
      <w:r w:rsidRPr="000577B2">
        <w:t>, M. (2015). “Pattern, Process, Policies: Conceptualizing Radical Right Impact”</w:t>
      </w:r>
      <w:r w:rsidR="00480814">
        <w:t>.</w:t>
      </w:r>
      <w:r w:rsidRPr="000577B2">
        <w:t xml:space="preserve"> </w:t>
      </w:r>
      <w:r w:rsidR="00480814">
        <w:t>P</w:t>
      </w:r>
      <w:r w:rsidRPr="000577B2">
        <w:t xml:space="preserve">aper presented at the 2015 ECPR General Conference, Montreal. Retrieved from </w:t>
      </w:r>
      <w:hyperlink r:id="rId19" w:history="1">
        <w:r w:rsidRPr="000577B2">
          <w:rPr>
            <w:rStyle w:val="Hyperlink"/>
          </w:rPr>
          <w:t>http://ecpr.eu/Filestore/PaperProposal/37f31939-2ecb-4a71-9026-928ef890c1ed.pdf</w:t>
        </w:r>
      </w:hyperlink>
      <w:r w:rsidRPr="000577B2">
        <w:t xml:space="preserve">; The European Election and Referendum Database, available at </w:t>
      </w:r>
      <w:hyperlink r:id="rId20" w:history="1">
        <w:r w:rsidRPr="000577B2">
          <w:rPr>
            <w:rStyle w:val="Hyperlink"/>
          </w:rPr>
          <w:t>http://www.nsd.uib.no/european_election_database/about/about_data.html</w:t>
        </w:r>
      </w:hyperlink>
      <w:r w:rsidRPr="000577B2">
        <w:t xml:space="preserve">.   </w:t>
      </w:r>
    </w:p>
    <w:p w14:paraId="6FFEE044" w14:textId="77777777" w:rsidR="00E37D2B" w:rsidRPr="000577B2" w:rsidRDefault="00E37D2B" w:rsidP="00CC645A">
      <w:pPr>
        <w:pStyle w:val="Jacobnormal"/>
        <w:spacing w:line="24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1"/>
        <w:gridCol w:w="1096"/>
        <w:gridCol w:w="1131"/>
        <w:gridCol w:w="1414"/>
      </w:tblGrid>
      <w:tr w:rsidR="002816BC" w:rsidRPr="000577B2" w14:paraId="09FDFC86" w14:textId="77777777" w:rsidTr="002816BC">
        <w:tc>
          <w:tcPr>
            <w:tcW w:w="9072" w:type="dxa"/>
            <w:gridSpan w:val="4"/>
            <w:tcBorders>
              <w:top w:val="nil"/>
              <w:bottom w:val="single" w:sz="4" w:space="0" w:color="auto"/>
            </w:tcBorders>
            <w:vAlign w:val="bottom"/>
          </w:tcPr>
          <w:p w14:paraId="2FE547BD" w14:textId="20327F8C" w:rsidR="002816BC" w:rsidRPr="000577B2" w:rsidRDefault="006E4391" w:rsidP="00CC645A">
            <w:pPr>
              <w:pStyle w:val="Jacobnormal"/>
              <w:spacing w:line="240" w:lineRule="auto"/>
              <w:rPr>
                <w:i/>
              </w:rPr>
            </w:pPr>
            <w:r>
              <w:rPr>
                <w:i/>
              </w:rPr>
              <w:t>Table 18</w:t>
            </w:r>
            <w:r w:rsidR="002816BC" w:rsidRPr="000577B2">
              <w:rPr>
                <w:i/>
              </w:rPr>
              <w:t>.</w:t>
            </w:r>
            <w:r w:rsidR="002816BC" w:rsidRPr="000577B2">
              <w:t xml:space="preserve"> Solution terms from robustness test</w:t>
            </w:r>
          </w:p>
        </w:tc>
      </w:tr>
      <w:tr w:rsidR="009D1D3D" w:rsidRPr="000577B2" w14:paraId="77831557" w14:textId="77777777" w:rsidTr="007C5801">
        <w:tc>
          <w:tcPr>
            <w:tcW w:w="5529" w:type="dxa"/>
            <w:tcBorders>
              <w:top w:val="single" w:sz="4" w:space="0" w:color="auto"/>
              <w:bottom w:val="single" w:sz="4" w:space="0" w:color="auto"/>
            </w:tcBorders>
            <w:vAlign w:val="bottom"/>
          </w:tcPr>
          <w:p w14:paraId="50DDC859" w14:textId="77777777" w:rsidR="009D1D3D" w:rsidRPr="000577B2" w:rsidRDefault="009D1D3D" w:rsidP="00CC645A">
            <w:pPr>
              <w:pStyle w:val="Jacobnormal"/>
              <w:spacing w:line="240" w:lineRule="auto"/>
            </w:pPr>
            <w:r w:rsidRPr="000577B2">
              <w:rPr>
                <w:i/>
              </w:rPr>
              <w:t>Causal recipes</w:t>
            </w:r>
          </w:p>
        </w:tc>
        <w:tc>
          <w:tcPr>
            <w:tcW w:w="992" w:type="dxa"/>
            <w:tcBorders>
              <w:top w:val="single" w:sz="4" w:space="0" w:color="auto"/>
              <w:bottom w:val="single" w:sz="4" w:space="0" w:color="auto"/>
            </w:tcBorders>
          </w:tcPr>
          <w:p w14:paraId="675BF025" w14:textId="77777777" w:rsidR="009D1D3D" w:rsidRPr="000577B2" w:rsidRDefault="009D1D3D" w:rsidP="00CC645A">
            <w:pPr>
              <w:pStyle w:val="Jacobnormal"/>
              <w:spacing w:line="240" w:lineRule="auto"/>
              <w:rPr>
                <w:i/>
              </w:rPr>
            </w:pPr>
            <w:r w:rsidRPr="000577B2">
              <w:rPr>
                <w:i/>
              </w:rPr>
              <w:t>Raw coverage</w:t>
            </w:r>
          </w:p>
        </w:tc>
        <w:tc>
          <w:tcPr>
            <w:tcW w:w="1134" w:type="dxa"/>
            <w:tcBorders>
              <w:top w:val="single" w:sz="4" w:space="0" w:color="auto"/>
              <w:bottom w:val="single" w:sz="4" w:space="0" w:color="auto"/>
            </w:tcBorders>
          </w:tcPr>
          <w:p w14:paraId="4D18B845" w14:textId="77777777" w:rsidR="009D1D3D" w:rsidRPr="000577B2" w:rsidRDefault="009D1D3D" w:rsidP="00CC645A">
            <w:pPr>
              <w:pStyle w:val="Jacobnormal"/>
              <w:spacing w:line="240" w:lineRule="auto"/>
              <w:rPr>
                <w:i/>
              </w:rPr>
            </w:pPr>
            <w:r w:rsidRPr="000577B2">
              <w:rPr>
                <w:i/>
              </w:rPr>
              <w:t>Unique coverage</w:t>
            </w:r>
          </w:p>
        </w:tc>
        <w:tc>
          <w:tcPr>
            <w:tcW w:w="1417" w:type="dxa"/>
            <w:tcBorders>
              <w:top w:val="single" w:sz="4" w:space="0" w:color="auto"/>
              <w:bottom w:val="single" w:sz="4" w:space="0" w:color="auto"/>
            </w:tcBorders>
          </w:tcPr>
          <w:p w14:paraId="4862206F" w14:textId="77777777" w:rsidR="009D1D3D" w:rsidRPr="000577B2" w:rsidRDefault="009D1D3D" w:rsidP="00CC645A">
            <w:pPr>
              <w:pStyle w:val="Jacobnormal"/>
              <w:spacing w:line="240" w:lineRule="auto"/>
              <w:rPr>
                <w:i/>
              </w:rPr>
            </w:pPr>
            <w:r w:rsidRPr="000577B2">
              <w:rPr>
                <w:i/>
              </w:rPr>
              <w:t>Consistency</w:t>
            </w:r>
          </w:p>
        </w:tc>
      </w:tr>
      <w:tr w:rsidR="009D1D3D" w:rsidRPr="000577B2" w14:paraId="100FEE2C" w14:textId="77777777" w:rsidTr="002816BC">
        <w:tc>
          <w:tcPr>
            <w:tcW w:w="9072" w:type="dxa"/>
            <w:gridSpan w:val="4"/>
            <w:tcBorders>
              <w:top w:val="single" w:sz="4" w:space="0" w:color="auto"/>
              <w:bottom w:val="nil"/>
            </w:tcBorders>
          </w:tcPr>
          <w:p w14:paraId="7AD6B4B2" w14:textId="77777777" w:rsidR="009D1D3D" w:rsidRPr="000577B2" w:rsidRDefault="009D1D3D" w:rsidP="00CC645A">
            <w:pPr>
              <w:pStyle w:val="Jacobnormal"/>
              <w:spacing w:line="240" w:lineRule="auto"/>
            </w:pPr>
            <w:r w:rsidRPr="000577B2">
              <w:t>Frequency cut-off: 1.00</w:t>
            </w:r>
          </w:p>
          <w:p w14:paraId="19DF07E1" w14:textId="77777777" w:rsidR="009D1D3D" w:rsidRPr="000577B2" w:rsidRDefault="009D1D3D" w:rsidP="00CC645A">
            <w:pPr>
              <w:pStyle w:val="Jacobnormal"/>
              <w:spacing w:line="240" w:lineRule="auto"/>
            </w:pPr>
            <w:r w:rsidRPr="000577B2">
              <w:t>Consistency cut-off: 1.00</w:t>
            </w:r>
          </w:p>
          <w:p w14:paraId="1C3DF5EB" w14:textId="77777777" w:rsidR="009D1D3D" w:rsidRPr="000577B2" w:rsidRDefault="009D1D3D" w:rsidP="00CC645A">
            <w:pPr>
              <w:pStyle w:val="Jacobnormal"/>
              <w:spacing w:line="240" w:lineRule="auto"/>
            </w:pPr>
            <w:r w:rsidRPr="000577B2">
              <w:t xml:space="preserve">Assumptions: diversity*hardship*~support*legacies*repression*aggression → </w:t>
            </w:r>
            <w:proofErr w:type="spellStart"/>
            <w:r w:rsidRPr="000577B2">
              <w:t>rtv</w:t>
            </w:r>
            <w:proofErr w:type="spellEnd"/>
          </w:p>
        </w:tc>
      </w:tr>
      <w:tr w:rsidR="009D1D3D" w:rsidRPr="000577B2" w14:paraId="41E1C1DD" w14:textId="77777777" w:rsidTr="002816BC">
        <w:tc>
          <w:tcPr>
            <w:tcW w:w="9072" w:type="dxa"/>
            <w:gridSpan w:val="4"/>
            <w:tcBorders>
              <w:top w:val="nil"/>
            </w:tcBorders>
          </w:tcPr>
          <w:p w14:paraId="4E30D17F" w14:textId="77777777" w:rsidR="009D1D3D" w:rsidRPr="000577B2" w:rsidRDefault="009D1D3D" w:rsidP="00CC645A">
            <w:pPr>
              <w:pStyle w:val="Jacobnormal"/>
              <w:spacing w:line="240" w:lineRule="auto"/>
              <w:rPr>
                <w:i/>
              </w:rPr>
            </w:pPr>
          </w:p>
        </w:tc>
      </w:tr>
      <w:tr w:rsidR="009D1D3D" w:rsidRPr="000577B2" w14:paraId="596C6DD2" w14:textId="77777777" w:rsidTr="007C5801">
        <w:tc>
          <w:tcPr>
            <w:tcW w:w="5529" w:type="dxa"/>
          </w:tcPr>
          <w:p w14:paraId="0CD71521" w14:textId="3078434F" w:rsidR="009D1D3D" w:rsidRPr="000577B2" w:rsidRDefault="009D1D3D" w:rsidP="004146D6">
            <w:pPr>
              <w:pStyle w:val="Jacobnormal"/>
              <w:spacing w:line="240" w:lineRule="auto"/>
            </w:pPr>
            <w:r w:rsidRPr="000577B2">
              <w:t>aggression*</w:t>
            </w:r>
            <w:r w:rsidR="004146D6" w:rsidRPr="000577B2">
              <w:t>legacies*</w:t>
            </w:r>
            <w:r w:rsidRPr="000577B2">
              <w:t>hardship</w:t>
            </w:r>
          </w:p>
        </w:tc>
        <w:tc>
          <w:tcPr>
            <w:tcW w:w="992" w:type="dxa"/>
          </w:tcPr>
          <w:p w14:paraId="32523E4C" w14:textId="77777777" w:rsidR="009D1D3D" w:rsidRPr="000577B2" w:rsidRDefault="009D1D3D" w:rsidP="00CC645A">
            <w:pPr>
              <w:pStyle w:val="Jacobnormal"/>
              <w:spacing w:line="240" w:lineRule="auto"/>
            </w:pPr>
            <w:r w:rsidRPr="000577B2">
              <w:t>0.38</w:t>
            </w:r>
          </w:p>
        </w:tc>
        <w:tc>
          <w:tcPr>
            <w:tcW w:w="1134" w:type="dxa"/>
          </w:tcPr>
          <w:p w14:paraId="182CC300" w14:textId="77777777" w:rsidR="009D1D3D" w:rsidRPr="000577B2" w:rsidRDefault="009D1D3D" w:rsidP="00CC645A">
            <w:pPr>
              <w:pStyle w:val="Jacobnormal"/>
              <w:spacing w:line="240" w:lineRule="auto"/>
            </w:pPr>
            <w:r w:rsidRPr="000577B2">
              <w:t>0.31</w:t>
            </w:r>
          </w:p>
        </w:tc>
        <w:tc>
          <w:tcPr>
            <w:tcW w:w="1417" w:type="dxa"/>
          </w:tcPr>
          <w:p w14:paraId="0841A53B" w14:textId="77777777" w:rsidR="009D1D3D" w:rsidRPr="000577B2" w:rsidRDefault="009D1D3D" w:rsidP="00CC645A">
            <w:pPr>
              <w:pStyle w:val="Jacobnormal"/>
              <w:spacing w:line="240" w:lineRule="auto"/>
            </w:pPr>
            <w:r w:rsidRPr="000577B2">
              <w:t>0.92</w:t>
            </w:r>
          </w:p>
        </w:tc>
      </w:tr>
      <w:tr w:rsidR="009D1D3D" w:rsidRPr="000577B2" w14:paraId="080EA561" w14:textId="77777777" w:rsidTr="007C5801">
        <w:tc>
          <w:tcPr>
            <w:tcW w:w="5529" w:type="dxa"/>
          </w:tcPr>
          <w:p w14:paraId="2FBE03A2" w14:textId="77777777" w:rsidR="009D1D3D" w:rsidRPr="000577B2" w:rsidRDefault="009D1D3D" w:rsidP="00CC645A">
            <w:pPr>
              <w:pStyle w:val="Jacobnormal"/>
              <w:spacing w:line="240" w:lineRule="auto"/>
            </w:pPr>
            <w:r w:rsidRPr="000577B2">
              <w:t>repression*~support*hardship*diversity</w:t>
            </w:r>
          </w:p>
        </w:tc>
        <w:tc>
          <w:tcPr>
            <w:tcW w:w="992" w:type="dxa"/>
          </w:tcPr>
          <w:p w14:paraId="279E185F" w14:textId="77777777" w:rsidR="009D1D3D" w:rsidRPr="000577B2" w:rsidRDefault="009D1D3D" w:rsidP="00CC645A">
            <w:pPr>
              <w:pStyle w:val="Jacobnormal"/>
              <w:spacing w:line="240" w:lineRule="auto"/>
            </w:pPr>
            <w:r w:rsidRPr="000577B2">
              <w:t>0.21</w:t>
            </w:r>
          </w:p>
        </w:tc>
        <w:tc>
          <w:tcPr>
            <w:tcW w:w="1134" w:type="dxa"/>
          </w:tcPr>
          <w:p w14:paraId="7719C907" w14:textId="77777777" w:rsidR="009D1D3D" w:rsidRPr="000577B2" w:rsidRDefault="009D1D3D" w:rsidP="00CC645A">
            <w:pPr>
              <w:pStyle w:val="Jacobnormal"/>
              <w:spacing w:line="240" w:lineRule="auto"/>
            </w:pPr>
            <w:r w:rsidRPr="000577B2">
              <w:t>0.14</w:t>
            </w:r>
          </w:p>
        </w:tc>
        <w:tc>
          <w:tcPr>
            <w:tcW w:w="1417" w:type="dxa"/>
          </w:tcPr>
          <w:p w14:paraId="33420D8D" w14:textId="77777777" w:rsidR="009D1D3D" w:rsidRPr="000577B2" w:rsidRDefault="009D1D3D" w:rsidP="00CC645A">
            <w:pPr>
              <w:pStyle w:val="Jacobnormal"/>
              <w:spacing w:line="240" w:lineRule="auto"/>
            </w:pPr>
            <w:r w:rsidRPr="000577B2">
              <w:t>1.00</w:t>
            </w:r>
          </w:p>
        </w:tc>
      </w:tr>
      <w:tr w:rsidR="009D1D3D" w:rsidRPr="000577B2" w14:paraId="23C92E28" w14:textId="77777777" w:rsidTr="007C5801">
        <w:tc>
          <w:tcPr>
            <w:tcW w:w="5529" w:type="dxa"/>
            <w:tcBorders>
              <w:bottom w:val="single" w:sz="4" w:space="0" w:color="auto"/>
            </w:tcBorders>
          </w:tcPr>
          <w:p w14:paraId="34EB34D5" w14:textId="35C426AD" w:rsidR="009D1D3D" w:rsidRPr="000577B2" w:rsidRDefault="004146D6" w:rsidP="00CC645A">
            <w:pPr>
              <w:pStyle w:val="Jacobnormal"/>
              <w:spacing w:line="240" w:lineRule="auto"/>
            </w:pPr>
            <w:r>
              <w:t>aggression*repression*</w:t>
            </w:r>
            <w:r w:rsidR="009D1D3D" w:rsidRPr="000577B2">
              <w:t>legacies</w:t>
            </w:r>
            <w:r w:rsidR="007C5801" w:rsidRPr="000577B2">
              <w:t>*~support</w:t>
            </w:r>
            <w:r w:rsidR="007C5801" w:rsidRPr="000577B2">
              <w:t xml:space="preserve"> </w:t>
            </w:r>
            <w:r w:rsidR="009D1D3D" w:rsidRPr="000577B2">
              <w:t>*diversity</w:t>
            </w:r>
          </w:p>
        </w:tc>
        <w:tc>
          <w:tcPr>
            <w:tcW w:w="992" w:type="dxa"/>
            <w:tcBorders>
              <w:bottom w:val="single" w:sz="4" w:space="0" w:color="auto"/>
            </w:tcBorders>
          </w:tcPr>
          <w:p w14:paraId="3E56AADE" w14:textId="77777777" w:rsidR="009D1D3D" w:rsidRPr="000577B2" w:rsidRDefault="009D1D3D" w:rsidP="00CC645A">
            <w:pPr>
              <w:pStyle w:val="Jacobnormal"/>
              <w:spacing w:line="240" w:lineRule="auto"/>
            </w:pPr>
            <w:r w:rsidRPr="000577B2">
              <w:t>0.14</w:t>
            </w:r>
          </w:p>
        </w:tc>
        <w:tc>
          <w:tcPr>
            <w:tcW w:w="1134" w:type="dxa"/>
            <w:tcBorders>
              <w:bottom w:val="single" w:sz="4" w:space="0" w:color="auto"/>
            </w:tcBorders>
          </w:tcPr>
          <w:p w14:paraId="1DE5D82C" w14:textId="77777777" w:rsidR="009D1D3D" w:rsidRPr="000577B2" w:rsidRDefault="009D1D3D" w:rsidP="00CC645A">
            <w:pPr>
              <w:pStyle w:val="Jacobnormal"/>
              <w:spacing w:line="240" w:lineRule="auto"/>
            </w:pPr>
            <w:r w:rsidRPr="000577B2">
              <w:t>0.07</w:t>
            </w:r>
          </w:p>
        </w:tc>
        <w:tc>
          <w:tcPr>
            <w:tcW w:w="1417" w:type="dxa"/>
            <w:tcBorders>
              <w:bottom w:val="single" w:sz="4" w:space="0" w:color="auto"/>
            </w:tcBorders>
          </w:tcPr>
          <w:p w14:paraId="15A2DB71" w14:textId="77777777" w:rsidR="009D1D3D" w:rsidRPr="000577B2" w:rsidRDefault="009D1D3D" w:rsidP="00CC645A">
            <w:pPr>
              <w:pStyle w:val="Jacobnormal"/>
              <w:spacing w:line="240" w:lineRule="auto"/>
            </w:pPr>
            <w:r w:rsidRPr="000577B2">
              <w:t>1.00</w:t>
            </w:r>
          </w:p>
        </w:tc>
      </w:tr>
      <w:tr w:rsidR="009D1D3D" w:rsidRPr="000577B2" w14:paraId="75C63031" w14:textId="77777777" w:rsidTr="007C5801">
        <w:tc>
          <w:tcPr>
            <w:tcW w:w="5529" w:type="dxa"/>
            <w:tcBorders>
              <w:top w:val="single" w:sz="4" w:space="0" w:color="auto"/>
              <w:bottom w:val="nil"/>
            </w:tcBorders>
          </w:tcPr>
          <w:p w14:paraId="77FC7F88" w14:textId="77777777" w:rsidR="009D1D3D" w:rsidRPr="000577B2" w:rsidRDefault="009D1D3D" w:rsidP="00CC645A">
            <w:pPr>
              <w:pStyle w:val="Jacobnormal"/>
              <w:spacing w:line="240" w:lineRule="auto"/>
            </w:pPr>
            <w:r w:rsidRPr="000577B2">
              <w:t>Solution coverage: 0.59</w:t>
            </w:r>
          </w:p>
        </w:tc>
        <w:tc>
          <w:tcPr>
            <w:tcW w:w="992" w:type="dxa"/>
            <w:tcBorders>
              <w:top w:val="single" w:sz="4" w:space="0" w:color="auto"/>
              <w:bottom w:val="nil"/>
            </w:tcBorders>
          </w:tcPr>
          <w:p w14:paraId="2CB57DCB" w14:textId="77777777" w:rsidR="009D1D3D" w:rsidRPr="000577B2" w:rsidRDefault="009D1D3D" w:rsidP="00CC645A">
            <w:pPr>
              <w:pStyle w:val="Jacobnormal"/>
              <w:spacing w:line="240" w:lineRule="auto"/>
            </w:pPr>
          </w:p>
        </w:tc>
        <w:tc>
          <w:tcPr>
            <w:tcW w:w="1134" w:type="dxa"/>
            <w:tcBorders>
              <w:top w:val="single" w:sz="4" w:space="0" w:color="auto"/>
              <w:bottom w:val="nil"/>
            </w:tcBorders>
          </w:tcPr>
          <w:p w14:paraId="49A7921D" w14:textId="77777777" w:rsidR="009D1D3D" w:rsidRPr="000577B2" w:rsidRDefault="009D1D3D" w:rsidP="00CC645A">
            <w:pPr>
              <w:pStyle w:val="Jacobnormal"/>
              <w:spacing w:line="240" w:lineRule="auto"/>
            </w:pPr>
          </w:p>
        </w:tc>
        <w:tc>
          <w:tcPr>
            <w:tcW w:w="1417" w:type="dxa"/>
            <w:tcBorders>
              <w:top w:val="single" w:sz="4" w:space="0" w:color="auto"/>
              <w:bottom w:val="nil"/>
            </w:tcBorders>
          </w:tcPr>
          <w:p w14:paraId="3C9D334F" w14:textId="77777777" w:rsidR="009D1D3D" w:rsidRPr="000577B2" w:rsidRDefault="009D1D3D" w:rsidP="00CC645A">
            <w:pPr>
              <w:pStyle w:val="Jacobnormal"/>
              <w:spacing w:line="240" w:lineRule="auto"/>
            </w:pPr>
          </w:p>
        </w:tc>
      </w:tr>
      <w:tr w:rsidR="009D1D3D" w:rsidRPr="000577B2" w14:paraId="094D1B03" w14:textId="77777777" w:rsidTr="007C5801">
        <w:tc>
          <w:tcPr>
            <w:tcW w:w="5529" w:type="dxa"/>
            <w:tcBorders>
              <w:top w:val="nil"/>
            </w:tcBorders>
          </w:tcPr>
          <w:p w14:paraId="4F33C77A" w14:textId="77777777" w:rsidR="009D1D3D" w:rsidRPr="000577B2" w:rsidRDefault="009D1D3D" w:rsidP="00CC645A">
            <w:pPr>
              <w:pStyle w:val="Jacobnormal"/>
              <w:spacing w:line="240" w:lineRule="auto"/>
            </w:pPr>
            <w:r w:rsidRPr="000577B2">
              <w:t>Solution consistency: 0.94</w:t>
            </w:r>
          </w:p>
        </w:tc>
        <w:tc>
          <w:tcPr>
            <w:tcW w:w="992" w:type="dxa"/>
            <w:tcBorders>
              <w:top w:val="nil"/>
            </w:tcBorders>
          </w:tcPr>
          <w:p w14:paraId="107880F2" w14:textId="77777777" w:rsidR="009D1D3D" w:rsidRPr="000577B2" w:rsidRDefault="009D1D3D" w:rsidP="00CC645A">
            <w:pPr>
              <w:pStyle w:val="Jacobnormal"/>
              <w:spacing w:line="240" w:lineRule="auto"/>
            </w:pPr>
          </w:p>
        </w:tc>
        <w:tc>
          <w:tcPr>
            <w:tcW w:w="1134" w:type="dxa"/>
            <w:tcBorders>
              <w:top w:val="nil"/>
            </w:tcBorders>
          </w:tcPr>
          <w:p w14:paraId="79F76D6C" w14:textId="77777777" w:rsidR="009D1D3D" w:rsidRPr="000577B2" w:rsidRDefault="009D1D3D" w:rsidP="00CC645A">
            <w:pPr>
              <w:pStyle w:val="Jacobnormal"/>
              <w:spacing w:line="240" w:lineRule="auto"/>
            </w:pPr>
          </w:p>
        </w:tc>
        <w:tc>
          <w:tcPr>
            <w:tcW w:w="1417" w:type="dxa"/>
            <w:tcBorders>
              <w:top w:val="nil"/>
            </w:tcBorders>
          </w:tcPr>
          <w:p w14:paraId="242DBA34" w14:textId="77777777" w:rsidR="009D1D3D" w:rsidRPr="000577B2" w:rsidRDefault="009D1D3D" w:rsidP="00CC645A">
            <w:pPr>
              <w:pStyle w:val="Jacobnormal"/>
              <w:spacing w:line="240" w:lineRule="auto"/>
            </w:pPr>
          </w:p>
        </w:tc>
      </w:tr>
    </w:tbl>
    <w:p w14:paraId="50A20CE4" w14:textId="77777777" w:rsidR="009D1D3D" w:rsidRPr="000577B2" w:rsidRDefault="009D1D3D" w:rsidP="001D6FFF">
      <w:pPr>
        <w:pStyle w:val="Jacobnormal"/>
      </w:pPr>
    </w:p>
    <w:p w14:paraId="18561574" w14:textId="77777777" w:rsidR="001A2456" w:rsidRPr="000577B2" w:rsidRDefault="001A2456" w:rsidP="001D6FFF">
      <w:pPr>
        <w:pStyle w:val="Jacobnormal"/>
        <w:sectPr w:rsidR="001A2456" w:rsidRPr="000577B2" w:rsidSect="00CC645A">
          <w:pgSz w:w="11906" w:h="16838"/>
          <w:pgMar w:top="1417" w:right="1417" w:bottom="1417" w:left="1417" w:header="708" w:footer="708" w:gutter="0"/>
          <w:cols w:space="708"/>
          <w:docGrid w:linePitch="360"/>
        </w:sectPr>
      </w:pPr>
    </w:p>
    <w:p w14:paraId="001E9021" w14:textId="3D127B72" w:rsidR="001A2456" w:rsidRPr="000577B2" w:rsidRDefault="001A2456" w:rsidP="001E49F7">
      <w:pPr>
        <w:pStyle w:val="Jacoboverskrift1"/>
        <w:spacing w:before="240"/>
        <w:rPr>
          <w:sz w:val="24"/>
          <w:szCs w:val="24"/>
        </w:rPr>
      </w:pPr>
      <w:bookmarkStart w:id="7" w:name="_Toc496794576"/>
      <w:r w:rsidRPr="000577B2">
        <w:rPr>
          <w:sz w:val="24"/>
          <w:szCs w:val="24"/>
        </w:rPr>
        <w:lastRenderedPageBreak/>
        <w:t>Appendix II</w:t>
      </w:r>
      <w:r w:rsidR="00C91099" w:rsidRPr="000577B2">
        <w:rPr>
          <w:sz w:val="24"/>
          <w:szCs w:val="24"/>
        </w:rPr>
        <w:t xml:space="preserve"> – </w:t>
      </w:r>
      <w:r w:rsidR="00452E27">
        <w:rPr>
          <w:sz w:val="24"/>
          <w:szCs w:val="24"/>
        </w:rPr>
        <w:t>N</w:t>
      </w:r>
      <w:r w:rsidR="00C91099" w:rsidRPr="000577B2">
        <w:rPr>
          <w:sz w:val="24"/>
          <w:szCs w:val="24"/>
        </w:rPr>
        <w:t>ational hate crime statistics</w:t>
      </w:r>
      <w:bookmarkEnd w:id="7"/>
    </w:p>
    <w:tbl>
      <w:tblPr>
        <w:tblW w:w="13060" w:type="dxa"/>
        <w:tblCellMar>
          <w:left w:w="70" w:type="dxa"/>
          <w:right w:w="70" w:type="dxa"/>
        </w:tblCellMar>
        <w:tblLook w:val="04A0" w:firstRow="1" w:lastRow="0" w:firstColumn="1" w:lastColumn="0" w:noHBand="0" w:noVBand="1"/>
      </w:tblPr>
      <w:tblGrid>
        <w:gridCol w:w="580"/>
        <w:gridCol w:w="1245"/>
        <w:gridCol w:w="7"/>
        <w:gridCol w:w="1218"/>
        <w:gridCol w:w="1350"/>
        <w:gridCol w:w="1333"/>
        <w:gridCol w:w="1531"/>
        <w:gridCol w:w="1453"/>
        <w:gridCol w:w="1029"/>
        <w:gridCol w:w="809"/>
        <w:gridCol w:w="1135"/>
        <w:gridCol w:w="1407"/>
      </w:tblGrid>
      <w:tr w:rsidR="001A2456" w:rsidRPr="001E49F7" w14:paraId="47759493" w14:textId="77777777" w:rsidTr="00747FAC">
        <w:trPr>
          <w:trHeight w:val="20"/>
        </w:trPr>
        <w:tc>
          <w:tcPr>
            <w:tcW w:w="13060" w:type="dxa"/>
            <w:gridSpan w:val="12"/>
            <w:tcBorders>
              <w:left w:val="nil"/>
              <w:bottom w:val="single" w:sz="4" w:space="0" w:color="auto"/>
              <w:right w:val="nil"/>
            </w:tcBorders>
            <w:shd w:val="clear" w:color="auto" w:fill="auto"/>
          </w:tcPr>
          <w:p w14:paraId="7B38A742" w14:textId="5EB4D8AA" w:rsidR="001A2456" w:rsidRPr="001E49F7" w:rsidRDefault="001A2456" w:rsidP="00747FAC">
            <w:pPr>
              <w:spacing w:after="0" w:line="240" w:lineRule="auto"/>
              <w:rPr>
                <w:rFonts w:eastAsia="Times New Roman"/>
                <w:color w:val="000000"/>
                <w:sz w:val="22"/>
                <w:szCs w:val="22"/>
                <w:lang w:eastAsia="nb-NO"/>
              </w:rPr>
            </w:pPr>
            <w:r w:rsidRPr="001E49F7">
              <w:rPr>
                <w:rFonts w:eastAsia="Times New Roman"/>
                <w:i/>
                <w:color w:val="000000"/>
                <w:sz w:val="22"/>
                <w:szCs w:val="22"/>
                <w:lang w:eastAsia="nb-NO"/>
              </w:rPr>
              <w:t>Table 1</w:t>
            </w:r>
            <w:r w:rsidRPr="001E49F7">
              <w:rPr>
                <w:rFonts w:eastAsia="Times New Roman"/>
                <w:color w:val="000000"/>
                <w:sz w:val="22"/>
                <w:szCs w:val="22"/>
                <w:lang w:eastAsia="nb-NO"/>
              </w:rPr>
              <w:t>. Right-wing and racist violence in seven West European countries</w:t>
            </w:r>
          </w:p>
        </w:tc>
      </w:tr>
      <w:tr w:rsidR="001A2456" w:rsidRPr="001E49F7" w14:paraId="2D55BB89" w14:textId="77777777" w:rsidTr="001A2456">
        <w:trPr>
          <w:trHeight w:val="20"/>
        </w:trPr>
        <w:tc>
          <w:tcPr>
            <w:tcW w:w="0" w:type="auto"/>
            <w:tcBorders>
              <w:top w:val="single" w:sz="4" w:space="0" w:color="auto"/>
              <w:left w:val="nil"/>
              <w:bottom w:val="single" w:sz="4" w:space="0" w:color="auto"/>
              <w:right w:val="nil"/>
            </w:tcBorders>
            <w:shd w:val="clear" w:color="auto" w:fill="auto"/>
          </w:tcPr>
          <w:p w14:paraId="04D1A02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Year</w:t>
            </w:r>
          </w:p>
        </w:tc>
        <w:tc>
          <w:tcPr>
            <w:tcW w:w="1245" w:type="dxa"/>
            <w:tcBorders>
              <w:top w:val="single" w:sz="4" w:space="0" w:color="auto"/>
              <w:left w:val="nil"/>
              <w:bottom w:val="single" w:sz="4" w:space="0" w:color="auto"/>
              <w:right w:val="nil"/>
            </w:tcBorders>
            <w:shd w:val="clear" w:color="auto" w:fill="auto"/>
          </w:tcPr>
          <w:p w14:paraId="78F995FC"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Sweden 1</w:t>
            </w:r>
            <w:r w:rsidRPr="001E49F7">
              <w:rPr>
                <w:rStyle w:val="FootnoteReference"/>
                <w:sz w:val="22"/>
                <w:szCs w:val="22"/>
              </w:rPr>
              <w:footnoteReference w:id="1"/>
            </w:r>
          </w:p>
        </w:tc>
        <w:tc>
          <w:tcPr>
            <w:tcW w:w="1225" w:type="dxa"/>
            <w:gridSpan w:val="2"/>
            <w:tcBorders>
              <w:top w:val="single" w:sz="4" w:space="0" w:color="auto"/>
              <w:left w:val="nil"/>
              <w:bottom w:val="single" w:sz="4" w:space="0" w:color="auto"/>
              <w:right w:val="nil"/>
            </w:tcBorders>
            <w:shd w:val="clear" w:color="auto" w:fill="auto"/>
          </w:tcPr>
          <w:p w14:paraId="19FBEFFE"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Sweden 2</w:t>
            </w:r>
            <w:r w:rsidRPr="001E49F7">
              <w:rPr>
                <w:rStyle w:val="FootnoteReference"/>
                <w:sz w:val="22"/>
                <w:szCs w:val="22"/>
              </w:rPr>
              <w:footnoteReference w:id="2"/>
            </w:r>
          </w:p>
        </w:tc>
        <w:tc>
          <w:tcPr>
            <w:tcW w:w="1350" w:type="dxa"/>
            <w:tcBorders>
              <w:top w:val="single" w:sz="4" w:space="0" w:color="auto"/>
              <w:left w:val="nil"/>
              <w:bottom w:val="single" w:sz="4" w:space="0" w:color="auto"/>
              <w:right w:val="nil"/>
            </w:tcBorders>
            <w:shd w:val="clear" w:color="auto" w:fill="auto"/>
          </w:tcPr>
          <w:p w14:paraId="7132981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Denmark 1</w:t>
            </w:r>
            <w:r w:rsidRPr="001E49F7">
              <w:rPr>
                <w:rStyle w:val="FootnoteReference"/>
                <w:sz w:val="22"/>
                <w:szCs w:val="22"/>
              </w:rPr>
              <w:footnoteReference w:id="3"/>
            </w:r>
          </w:p>
        </w:tc>
        <w:tc>
          <w:tcPr>
            <w:tcW w:w="1333" w:type="dxa"/>
            <w:tcBorders>
              <w:top w:val="single" w:sz="4" w:space="0" w:color="auto"/>
              <w:left w:val="nil"/>
              <w:bottom w:val="single" w:sz="4" w:space="0" w:color="auto"/>
              <w:right w:val="nil"/>
            </w:tcBorders>
            <w:shd w:val="clear" w:color="auto" w:fill="auto"/>
          </w:tcPr>
          <w:p w14:paraId="3D01D31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Denmark 2</w:t>
            </w:r>
            <w:r w:rsidRPr="001E49F7">
              <w:rPr>
                <w:rStyle w:val="FootnoteReference"/>
                <w:sz w:val="22"/>
                <w:szCs w:val="22"/>
              </w:rPr>
              <w:footnoteReference w:id="4"/>
            </w:r>
          </w:p>
        </w:tc>
        <w:tc>
          <w:tcPr>
            <w:tcW w:w="1531" w:type="dxa"/>
            <w:tcBorders>
              <w:top w:val="single" w:sz="4" w:space="0" w:color="auto"/>
              <w:left w:val="nil"/>
              <w:bottom w:val="single" w:sz="4" w:space="0" w:color="auto"/>
              <w:right w:val="nil"/>
            </w:tcBorders>
            <w:shd w:val="clear" w:color="auto" w:fill="auto"/>
          </w:tcPr>
          <w:p w14:paraId="0A0C1BA9"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Netherlands 1</w:t>
            </w:r>
            <w:r w:rsidRPr="001E49F7">
              <w:rPr>
                <w:rStyle w:val="FootnoteReference"/>
                <w:sz w:val="22"/>
                <w:szCs w:val="22"/>
              </w:rPr>
              <w:footnoteReference w:id="5"/>
            </w:r>
          </w:p>
        </w:tc>
        <w:tc>
          <w:tcPr>
            <w:tcW w:w="1453" w:type="dxa"/>
            <w:tcBorders>
              <w:top w:val="single" w:sz="4" w:space="0" w:color="auto"/>
              <w:left w:val="nil"/>
              <w:bottom w:val="single" w:sz="4" w:space="0" w:color="auto"/>
              <w:right w:val="nil"/>
            </w:tcBorders>
            <w:shd w:val="clear" w:color="auto" w:fill="auto"/>
          </w:tcPr>
          <w:p w14:paraId="0D8DD101"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Netherlands 2</w:t>
            </w:r>
            <w:r w:rsidRPr="001E49F7">
              <w:rPr>
                <w:rStyle w:val="FootnoteReference"/>
                <w:sz w:val="22"/>
                <w:szCs w:val="22"/>
              </w:rPr>
              <w:footnoteReference w:id="6"/>
            </w:r>
          </w:p>
        </w:tc>
        <w:tc>
          <w:tcPr>
            <w:tcW w:w="1030" w:type="dxa"/>
            <w:tcBorders>
              <w:top w:val="single" w:sz="4" w:space="0" w:color="auto"/>
              <w:left w:val="nil"/>
              <w:bottom w:val="single" w:sz="4" w:space="0" w:color="auto"/>
              <w:right w:val="nil"/>
            </w:tcBorders>
          </w:tcPr>
          <w:p w14:paraId="1497C61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Germany</w:t>
            </w:r>
            <w:r w:rsidRPr="001E49F7">
              <w:rPr>
                <w:rStyle w:val="FootnoteReference"/>
                <w:sz w:val="22"/>
                <w:szCs w:val="22"/>
              </w:rPr>
              <w:footnoteReference w:id="7"/>
            </w:r>
          </w:p>
        </w:tc>
        <w:tc>
          <w:tcPr>
            <w:tcW w:w="810" w:type="dxa"/>
            <w:tcBorders>
              <w:top w:val="single" w:sz="4" w:space="0" w:color="auto"/>
              <w:left w:val="nil"/>
              <w:bottom w:val="single" w:sz="4" w:space="0" w:color="auto"/>
              <w:right w:val="nil"/>
            </w:tcBorders>
          </w:tcPr>
          <w:p w14:paraId="1D97391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France</w:t>
            </w:r>
            <w:r w:rsidRPr="001E49F7">
              <w:rPr>
                <w:rStyle w:val="FootnoteReference"/>
                <w:sz w:val="22"/>
                <w:szCs w:val="22"/>
              </w:rPr>
              <w:footnoteReference w:id="8"/>
            </w:r>
          </w:p>
        </w:tc>
        <w:tc>
          <w:tcPr>
            <w:tcW w:w="1135" w:type="dxa"/>
            <w:tcBorders>
              <w:top w:val="single" w:sz="4" w:space="0" w:color="auto"/>
              <w:left w:val="nil"/>
              <w:bottom w:val="single" w:sz="4" w:space="0" w:color="auto"/>
              <w:right w:val="nil"/>
            </w:tcBorders>
            <w:shd w:val="clear" w:color="auto" w:fill="auto"/>
          </w:tcPr>
          <w:p w14:paraId="4D7543C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Austria 1</w:t>
            </w:r>
            <w:r w:rsidRPr="001E49F7">
              <w:rPr>
                <w:rStyle w:val="FootnoteReference"/>
                <w:sz w:val="22"/>
                <w:szCs w:val="22"/>
              </w:rPr>
              <w:footnoteReference w:id="9"/>
            </w:r>
          </w:p>
        </w:tc>
        <w:tc>
          <w:tcPr>
            <w:tcW w:w="1407" w:type="dxa"/>
            <w:tcBorders>
              <w:top w:val="single" w:sz="4" w:space="0" w:color="auto"/>
              <w:left w:val="nil"/>
              <w:bottom w:val="single" w:sz="4" w:space="0" w:color="auto"/>
              <w:right w:val="nil"/>
            </w:tcBorders>
            <w:shd w:val="clear" w:color="auto" w:fill="auto"/>
          </w:tcPr>
          <w:p w14:paraId="26B5F3C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Switzerland</w:t>
            </w:r>
            <w:r w:rsidRPr="001E49F7">
              <w:rPr>
                <w:rStyle w:val="FootnoteReference"/>
                <w:sz w:val="22"/>
                <w:szCs w:val="22"/>
              </w:rPr>
              <w:footnoteReference w:id="10"/>
            </w:r>
          </w:p>
        </w:tc>
      </w:tr>
      <w:tr w:rsidR="001A2456" w:rsidRPr="001E49F7" w14:paraId="7618D147" w14:textId="77777777" w:rsidTr="001A2456">
        <w:trPr>
          <w:trHeight w:val="20"/>
        </w:trPr>
        <w:tc>
          <w:tcPr>
            <w:tcW w:w="0" w:type="auto"/>
            <w:tcBorders>
              <w:top w:val="single" w:sz="4" w:space="0" w:color="auto"/>
              <w:left w:val="nil"/>
              <w:bottom w:val="nil"/>
              <w:right w:val="nil"/>
            </w:tcBorders>
            <w:shd w:val="clear" w:color="auto" w:fill="auto"/>
            <w:noWrap/>
            <w:vAlign w:val="bottom"/>
            <w:hideMark/>
          </w:tcPr>
          <w:p w14:paraId="4D0850FC"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2000</w:t>
            </w:r>
          </w:p>
        </w:tc>
        <w:tc>
          <w:tcPr>
            <w:tcW w:w="1245" w:type="dxa"/>
            <w:tcBorders>
              <w:top w:val="single" w:sz="4" w:space="0" w:color="auto"/>
              <w:left w:val="nil"/>
              <w:bottom w:val="nil"/>
              <w:right w:val="nil"/>
            </w:tcBorders>
            <w:shd w:val="clear" w:color="auto" w:fill="auto"/>
            <w:noWrap/>
            <w:vAlign w:val="center"/>
            <w:hideMark/>
          </w:tcPr>
          <w:p w14:paraId="5317A1B2"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29</w:t>
            </w:r>
          </w:p>
        </w:tc>
        <w:tc>
          <w:tcPr>
            <w:tcW w:w="1225" w:type="dxa"/>
            <w:gridSpan w:val="2"/>
            <w:tcBorders>
              <w:top w:val="single" w:sz="4" w:space="0" w:color="auto"/>
              <w:left w:val="nil"/>
              <w:bottom w:val="nil"/>
              <w:right w:val="nil"/>
            </w:tcBorders>
            <w:shd w:val="clear" w:color="auto" w:fill="auto"/>
            <w:noWrap/>
            <w:vAlign w:val="center"/>
            <w:hideMark/>
          </w:tcPr>
          <w:p w14:paraId="4CA314D0"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350" w:type="dxa"/>
            <w:tcBorders>
              <w:top w:val="single" w:sz="4" w:space="0" w:color="auto"/>
              <w:left w:val="nil"/>
              <w:bottom w:val="nil"/>
              <w:right w:val="nil"/>
            </w:tcBorders>
            <w:shd w:val="clear" w:color="auto" w:fill="auto"/>
            <w:noWrap/>
            <w:vAlign w:val="center"/>
            <w:hideMark/>
          </w:tcPr>
          <w:p w14:paraId="27623FAA"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333" w:type="dxa"/>
            <w:tcBorders>
              <w:top w:val="single" w:sz="4" w:space="0" w:color="auto"/>
              <w:left w:val="nil"/>
              <w:bottom w:val="nil"/>
              <w:right w:val="nil"/>
            </w:tcBorders>
            <w:shd w:val="clear" w:color="auto" w:fill="auto"/>
            <w:noWrap/>
            <w:vAlign w:val="center"/>
            <w:hideMark/>
          </w:tcPr>
          <w:p w14:paraId="7F3116E6"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single" w:sz="4" w:space="0" w:color="auto"/>
              <w:left w:val="nil"/>
              <w:bottom w:val="nil"/>
              <w:right w:val="nil"/>
            </w:tcBorders>
            <w:shd w:val="clear" w:color="auto" w:fill="auto"/>
            <w:noWrap/>
            <w:vAlign w:val="center"/>
            <w:hideMark/>
          </w:tcPr>
          <w:p w14:paraId="194873F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83</w:t>
            </w:r>
          </w:p>
        </w:tc>
        <w:tc>
          <w:tcPr>
            <w:tcW w:w="1453" w:type="dxa"/>
            <w:tcBorders>
              <w:top w:val="single" w:sz="4" w:space="0" w:color="auto"/>
              <w:left w:val="nil"/>
              <w:bottom w:val="nil"/>
              <w:right w:val="nil"/>
            </w:tcBorders>
            <w:shd w:val="clear" w:color="auto" w:fill="auto"/>
            <w:noWrap/>
            <w:vAlign w:val="center"/>
            <w:hideMark/>
          </w:tcPr>
          <w:p w14:paraId="0B956855"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single" w:sz="4" w:space="0" w:color="auto"/>
              <w:left w:val="nil"/>
              <w:bottom w:val="nil"/>
              <w:right w:val="nil"/>
            </w:tcBorders>
            <w:vAlign w:val="center"/>
          </w:tcPr>
          <w:p w14:paraId="7DD02EA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998</w:t>
            </w:r>
          </w:p>
        </w:tc>
        <w:tc>
          <w:tcPr>
            <w:tcW w:w="810" w:type="dxa"/>
            <w:tcBorders>
              <w:top w:val="single" w:sz="4" w:space="0" w:color="auto"/>
              <w:left w:val="nil"/>
              <w:bottom w:val="nil"/>
              <w:right w:val="nil"/>
            </w:tcBorders>
            <w:vAlign w:val="center"/>
          </w:tcPr>
          <w:p w14:paraId="369BFD6A"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10</w:t>
            </w:r>
          </w:p>
        </w:tc>
        <w:tc>
          <w:tcPr>
            <w:tcW w:w="1135" w:type="dxa"/>
            <w:tcBorders>
              <w:top w:val="single" w:sz="4" w:space="0" w:color="auto"/>
              <w:left w:val="nil"/>
              <w:bottom w:val="nil"/>
              <w:right w:val="nil"/>
            </w:tcBorders>
            <w:shd w:val="clear" w:color="auto" w:fill="auto"/>
            <w:noWrap/>
            <w:vAlign w:val="center"/>
            <w:hideMark/>
          </w:tcPr>
          <w:p w14:paraId="19559F8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07" w:type="dxa"/>
            <w:tcBorders>
              <w:top w:val="single" w:sz="4" w:space="0" w:color="auto"/>
              <w:left w:val="nil"/>
              <w:bottom w:val="nil"/>
              <w:right w:val="nil"/>
            </w:tcBorders>
            <w:shd w:val="clear" w:color="auto" w:fill="auto"/>
            <w:vAlign w:val="center"/>
            <w:hideMark/>
          </w:tcPr>
          <w:p w14:paraId="04D4E318" w14:textId="77777777" w:rsidR="001A2456" w:rsidRPr="001E49F7" w:rsidRDefault="001A2456" w:rsidP="00747FAC">
            <w:pPr>
              <w:spacing w:after="0" w:line="240" w:lineRule="auto"/>
              <w:jc w:val="center"/>
              <w:rPr>
                <w:rFonts w:eastAsia="Times New Roman"/>
                <w:color w:val="000000"/>
                <w:sz w:val="22"/>
                <w:szCs w:val="22"/>
                <w:lang w:eastAsia="nb-NO"/>
              </w:rPr>
            </w:pPr>
          </w:p>
        </w:tc>
      </w:tr>
      <w:tr w:rsidR="001A2456" w:rsidRPr="001E49F7" w14:paraId="6345B5A4" w14:textId="77777777" w:rsidTr="001A2456">
        <w:trPr>
          <w:trHeight w:val="20"/>
        </w:trPr>
        <w:tc>
          <w:tcPr>
            <w:tcW w:w="0" w:type="auto"/>
            <w:tcBorders>
              <w:top w:val="nil"/>
              <w:left w:val="nil"/>
              <w:bottom w:val="nil"/>
              <w:right w:val="nil"/>
            </w:tcBorders>
            <w:shd w:val="clear" w:color="auto" w:fill="auto"/>
            <w:noWrap/>
            <w:vAlign w:val="bottom"/>
            <w:hideMark/>
          </w:tcPr>
          <w:p w14:paraId="31218E8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2001</w:t>
            </w:r>
          </w:p>
        </w:tc>
        <w:tc>
          <w:tcPr>
            <w:tcW w:w="1245" w:type="dxa"/>
            <w:tcBorders>
              <w:top w:val="nil"/>
              <w:left w:val="nil"/>
              <w:bottom w:val="nil"/>
              <w:right w:val="nil"/>
            </w:tcBorders>
            <w:shd w:val="clear" w:color="auto" w:fill="auto"/>
            <w:noWrap/>
            <w:vAlign w:val="center"/>
            <w:hideMark/>
          </w:tcPr>
          <w:p w14:paraId="6F657CB9"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15</w:t>
            </w:r>
          </w:p>
        </w:tc>
        <w:tc>
          <w:tcPr>
            <w:tcW w:w="1225" w:type="dxa"/>
            <w:gridSpan w:val="2"/>
            <w:tcBorders>
              <w:top w:val="nil"/>
              <w:left w:val="nil"/>
              <w:bottom w:val="nil"/>
              <w:right w:val="nil"/>
            </w:tcBorders>
            <w:shd w:val="clear" w:color="auto" w:fill="auto"/>
            <w:noWrap/>
            <w:vAlign w:val="center"/>
            <w:hideMark/>
          </w:tcPr>
          <w:p w14:paraId="236EC17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350" w:type="dxa"/>
            <w:tcBorders>
              <w:top w:val="nil"/>
              <w:left w:val="nil"/>
              <w:bottom w:val="nil"/>
              <w:right w:val="nil"/>
            </w:tcBorders>
            <w:shd w:val="clear" w:color="auto" w:fill="auto"/>
            <w:noWrap/>
            <w:vAlign w:val="center"/>
            <w:hideMark/>
          </w:tcPr>
          <w:p w14:paraId="6AFFC5D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333" w:type="dxa"/>
            <w:tcBorders>
              <w:top w:val="nil"/>
              <w:left w:val="nil"/>
              <w:bottom w:val="nil"/>
              <w:right w:val="nil"/>
            </w:tcBorders>
            <w:shd w:val="clear" w:color="auto" w:fill="auto"/>
            <w:noWrap/>
            <w:vAlign w:val="center"/>
            <w:hideMark/>
          </w:tcPr>
          <w:p w14:paraId="7154E4D9"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60DC57D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46</w:t>
            </w:r>
          </w:p>
        </w:tc>
        <w:tc>
          <w:tcPr>
            <w:tcW w:w="1453" w:type="dxa"/>
            <w:tcBorders>
              <w:top w:val="nil"/>
              <w:left w:val="nil"/>
              <w:bottom w:val="nil"/>
              <w:right w:val="nil"/>
            </w:tcBorders>
            <w:shd w:val="clear" w:color="auto" w:fill="auto"/>
            <w:noWrap/>
            <w:vAlign w:val="center"/>
            <w:hideMark/>
          </w:tcPr>
          <w:p w14:paraId="00228217"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46E55B8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709</w:t>
            </w:r>
          </w:p>
        </w:tc>
        <w:tc>
          <w:tcPr>
            <w:tcW w:w="810" w:type="dxa"/>
            <w:tcBorders>
              <w:top w:val="nil"/>
              <w:left w:val="nil"/>
              <w:bottom w:val="nil"/>
              <w:right w:val="nil"/>
            </w:tcBorders>
            <w:vAlign w:val="center"/>
          </w:tcPr>
          <w:p w14:paraId="67F6676C"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w:t>
            </w:r>
          </w:p>
        </w:tc>
        <w:tc>
          <w:tcPr>
            <w:tcW w:w="1135" w:type="dxa"/>
            <w:tcBorders>
              <w:top w:val="nil"/>
              <w:left w:val="nil"/>
              <w:bottom w:val="nil"/>
              <w:right w:val="nil"/>
            </w:tcBorders>
            <w:shd w:val="clear" w:color="auto" w:fill="auto"/>
            <w:noWrap/>
            <w:vAlign w:val="center"/>
            <w:hideMark/>
          </w:tcPr>
          <w:p w14:paraId="72EA86BA"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07" w:type="dxa"/>
            <w:tcBorders>
              <w:top w:val="nil"/>
              <w:left w:val="nil"/>
              <w:bottom w:val="nil"/>
              <w:right w:val="nil"/>
            </w:tcBorders>
            <w:shd w:val="clear" w:color="auto" w:fill="auto"/>
            <w:vAlign w:val="center"/>
            <w:hideMark/>
          </w:tcPr>
          <w:p w14:paraId="2A3F8E60" w14:textId="77777777" w:rsidR="001A2456" w:rsidRPr="001E49F7" w:rsidRDefault="001A2456" w:rsidP="00747FAC">
            <w:pPr>
              <w:spacing w:after="0" w:line="240" w:lineRule="auto"/>
              <w:jc w:val="center"/>
              <w:rPr>
                <w:rFonts w:eastAsia="Times New Roman"/>
                <w:color w:val="000000"/>
                <w:sz w:val="22"/>
                <w:szCs w:val="22"/>
                <w:lang w:eastAsia="nb-NO"/>
              </w:rPr>
            </w:pPr>
          </w:p>
        </w:tc>
      </w:tr>
      <w:tr w:rsidR="001A2456" w:rsidRPr="001E49F7" w14:paraId="346BE250" w14:textId="77777777" w:rsidTr="001A2456">
        <w:trPr>
          <w:trHeight w:val="20"/>
        </w:trPr>
        <w:tc>
          <w:tcPr>
            <w:tcW w:w="0" w:type="auto"/>
            <w:tcBorders>
              <w:top w:val="nil"/>
              <w:left w:val="nil"/>
              <w:bottom w:val="nil"/>
              <w:right w:val="nil"/>
            </w:tcBorders>
            <w:shd w:val="clear" w:color="auto" w:fill="auto"/>
            <w:noWrap/>
            <w:vAlign w:val="bottom"/>
            <w:hideMark/>
          </w:tcPr>
          <w:p w14:paraId="04563A5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2002</w:t>
            </w:r>
          </w:p>
        </w:tc>
        <w:tc>
          <w:tcPr>
            <w:tcW w:w="1245" w:type="dxa"/>
            <w:tcBorders>
              <w:top w:val="nil"/>
              <w:left w:val="nil"/>
              <w:bottom w:val="nil"/>
              <w:right w:val="nil"/>
            </w:tcBorders>
            <w:shd w:val="clear" w:color="auto" w:fill="auto"/>
            <w:noWrap/>
            <w:vAlign w:val="center"/>
            <w:hideMark/>
          </w:tcPr>
          <w:p w14:paraId="7B089BFA"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13</w:t>
            </w:r>
          </w:p>
        </w:tc>
        <w:tc>
          <w:tcPr>
            <w:tcW w:w="1225" w:type="dxa"/>
            <w:gridSpan w:val="2"/>
            <w:tcBorders>
              <w:top w:val="nil"/>
              <w:left w:val="nil"/>
              <w:bottom w:val="nil"/>
              <w:right w:val="nil"/>
            </w:tcBorders>
            <w:shd w:val="clear" w:color="auto" w:fill="auto"/>
            <w:noWrap/>
            <w:vAlign w:val="center"/>
            <w:hideMark/>
          </w:tcPr>
          <w:p w14:paraId="1454C28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350" w:type="dxa"/>
            <w:tcBorders>
              <w:top w:val="nil"/>
              <w:left w:val="nil"/>
              <w:bottom w:val="nil"/>
              <w:right w:val="nil"/>
            </w:tcBorders>
            <w:shd w:val="clear" w:color="auto" w:fill="auto"/>
            <w:noWrap/>
            <w:vAlign w:val="center"/>
            <w:hideMark/>
          </w:tcPr>
          <w:p w14:paraId="12B68BEF"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333" w:type="dxa"/>
            <w:tcBorders>
              <w:top w:val="nil"/>
              <w:left w:val="nil"/>
              <w:bottom w:val="nil"/>
              <w:right w:val="nil"/>
            </w:tcBorders>
            <w:shd w:val="clear" w:color="auto" w:fill="auto"/>
            <w:noWrap/>
            <w:vAlign w:val="center"/>
            <w:hideMark/>
          </w:tcPr>
          <w:p w14:paraId="002304BA"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5A791030"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75</w:t>
            </w:r>
          </w:p>
        </w:tc>
        <w:tc>
          <w:tcPr>
            <w:tcW w:w="1453" w:type="dxa"/>
            <w:tcBorders>
              <w:top w:val="nil"/>
              <w:left w:val="nil"/>
              <w:bottom w:val="nil"/>
              <w:right w:val="nil"/>
            </w:tcBorders>
            <w:shd w:val="clear" w:color="auto" w:fill="auto"/>
            <w:noWrap/>
            <w:vAlign w:val="center"/>
            <w:hideMark/>
          </w:tcPr>
          <w:p w14:paraId="716ED94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4491765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772</w:t>
            </w:r>
          </w:p>
        </w:tc>
        <w:tc>
          <w:tcPr>
            <w:tcW w:w="810" w:type="dxa"/>
            <w:tcBorders>
              <w:top w:val="nil"/>
              <w:left w:val="nil"/>
              <w:bottom w:val="nil"/>
              <w:right w:val="nil"/>
            </w:tcBorders>
            <w:vAlign w:val="center"/>
          </w:tcPr>
          <w:p w14:paraId="1B75DED2"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25</w:t>
            </w:r>
          </w:p>
        </w:tc>
        <w:tc>
          <w:tcPr>
            <w:tcW w:w="1135" w:type="dxa"/>
            <w:tcBorders>
              <w:top w:val="nil"/>
              <w:left w:val="nil"/>
              <w:bottom w:val="nil"/>
              <w:right w:val="nil"/>
            </w:tcBorders>
            <w:shd w:val="clear" w:color="auto" w:fill="auto"/>
            <w:noWrap/>
            <w:vAlign w:val="center"/>
            <w:hideMark/>
          </w:tcPr>
          <w:p w14:paraId="13F1D165"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07" w:type="dxa"/>
            <w:tcBorders>
              <w:top w:val="nil"/>
              <w:left w:val="nil"/>
              <w:bottom w:val="nil"/>
              <w:right w:val="nil"/>
            </w:tcBorders>
            <w:shd w:val="clear" w:color="auto" w:fill="auto"/>
            <w:vAlign w:val="center"/>
            <w:hideMark/>
          </w:tcPr>
          <w:p w14:paraId="3EFABE86" w14:textId="77777777" w:rsidR="001A2456" w:rsidRPr="001E49F7" w:rsidRDefault="001A2456" w:rsidP="00747FAC">
            <w:pPr>
              <w:spacing w:after="0" w:line="240" w:lineRule="auto"/>
              <w:jc w:val="center"/>
              <w:rPr>
                <w:rFonts w:eastAsia="Times New Roman"/>
                <w:color w:val="000000"/>
                <w:sz w:val="22"/>
                <w:szCs w:val="22"/>
                <w:lang w:eastAsia="nb-NO"/>
              </w:rPr>
            </w:pPr>
          </w:p>
        </w:tc>
      </w:tr>
      <w:tr w:rsidR="001A2456" w:rsidRPr="001E49F7" w14:paraId="4B201C55" w14:textId="77777777" w:rsidTr="001A2456">
        <w:trPr>
          <w:trHeight w:val="20"/>
        </w:trPr>
        <w:tc>
          <w:tcPr>
            <w:tcW w:w="0" w:type="auto"/>
            <w:tcBorders>
              <w:top w:val="nil"/>
              <w:left w:val="nil"/>
              <w:bottom w:val="nil"/>
              <w:right w:val="nil"/>
            </w:tcBorders>
            <w:shd w:val="clear" w:color="auto" w:fill="auto"/>
            <w:noWrap/>
            <w:vAlign w:val="bottom"/>
            <w:hideMark/>
          </w:tcPr>
          <w:p w14:paraId="29D5E36B"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2003</w:t>
            </w:r>
          </w:p>
        </w:tc>
        <w:tc>
          <w:tcPr>
            <w:tcW w:w="1245" w:type="dxa"/>
            <w:tcBorders>
              <w:top w:val="nil"/>
              <w:left w:val="nil"/>
              <w:bottom w:val="nil"/>
              <w:right w:val="nil"/>
            </w:tcBorders>
            <w:shd w:val="clear" w:color="auto" w:fill="auto"/>
            <w:noWrap/>
            <w:vAlign w:val="center"/>
            <w:hideMark/>
          </w:tcPr>
          <w:p w14:paraId="0D8236D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28</w:t>
            </w:r>
          </w:p>
        </w:tc>
        <w:tc>
          <w:tcPr>
            <w:tcW w:w="1225" w:type="dxa"/>
            <w:gridSpan w:val="2"/>
            <w:tcBorders>
              <w:top w:val="nil"/>
              <w:left w:val="nil"/>
              <w:bottom w:val="nil"/>
              <w:right w:val="nil"/>
            </w:tcBorders>
            <w:shd w:val="clear" w:color="auto" w:fill="auto"/>
            <w:noWrap/>
            <w:vAlign w:val="center"/>
            <w:hideMark/>
          </w:tcPr>
          <w:p w14:paraId="577FC8ED"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350" w:type="dxa"/>
            <w:tcBorders>
              <w:top w:val="nil"/>
              <w:left w:val="nil"/>
              <w:bottom w:val="nil"/>
              <w:right w:val="nil"/>
            </w:tcBorders>
            <w:shd w:val="clear" w:color="auto" w:fill="auto"/>
            <w:noWrap/>
            <w:vAlign w:val="center"/>
            <w:hideMark/>
          </w:tcPr>
          <w:p w14:paraId="5C4C039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w:t>
            </w:r>
          </w:p>
        </w:tc>
        <w:tc>
          <w:tcPr>
            <w:tcW w:w="1333" w:type="dxa"/>
            <w:tcBorders>
              <w:top w:val="nil"/>
              <w:left w:val="nil"/>
              <w:bottom w:val="nil"/>
              <w:right w:val="nil"/>
            </w:tcBorders>
            <w:shd w:val="clear" w:color="auto" w:fill="auto"/>
            <w:noWrap/>
            <w:vAlign w:val="center"/>
            <w:hideMark/>
          </w:tcPr>
          <w:p w14:paraId="6B337DDE"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317093B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60</w:t>
            </w:r>
          </w:p>
        </w:tc>
        <w:tc>
          <w:tcPr>
            <w:tcW w:w="1453" w:type="dxa"/>
            <w:tcBorders>
              <w:top w:val="nil"/>
              <w:left w:val="nil"/>
              <w:bottom w:val="nil"/>
              <w:right w:val="nil"/>
            </w:tcBorders>
            <w:shd w:val="clear" w:color="auto" w:fill="auto"/>
            <w:noWrap/>
            <w:vAlign w:val="center"/>
            <w:hideMark/>
          </w:tcPr>
          <w:p w14:paraId="46DF2327"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795462E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759</w:t>
            </w:r>
          </w:p>
        </w:tc>
        <w:tc>
          <w:tcPr>
            <w:tcW w:w="810" w:type="dxa"/>
            <w:tcBorders>
              <w:top w:val="nil"/>
              <w:left w:val="nil"/>
              <w:bottom w:val="nil"/>
              <w:right w:val="nil"/>
            </w:tcBorders>
            <w:vAlign w:val="center"/>
          </w:tcPr>
          <w:p w14:paraId="35646DE0"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13</w:t>
            </w:r>
          </w:p>
        </w:tc>
        <w:tc>
          <w:tcPr>
            <w:tcW w:w="1135" w:type="dxa"/>
            <w:tcBorders>
              <w:top w:val="nil"/>
              <w:left w:val="nil"/>
              <w:bottom w:val="nil"/>
              <w:right w:val="nil"/>
            </w:tcBorders>
            <w:shd w:val="clear" w:color="auto" w:fill="auto"/>
            <w:noWrap/>
            <w:vAlign w:val="center"/>
            <w:hideMark/>
          </w:tcPr>
          <w:p w14:paraId="68D7F860"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07" w:type="dxa"/>
            <w:tcBorders>
              <w:top w:val="nil"/>
              <w:left w:val="nil"/>
              <w:bottom w:val="nil"/>
              <w:right w:val="nil"/>
            </w:tcBorders>
            <w:shd w:val="clear" w:color="auto" w:fill="auto"/>
            <w:vAlign w:val="center"/>
            <w:hideMark/>
          </w:tcPr>
          <w:p w14:paraId="40605816" w14:textId="77777777" w:rsidR="001A2456" w:rsidRPr="001E49F7" w:rsidRDefault="001A2456" w:rsidP="00747FAC">
            <w:pPr>
              <w:spacing w:after="0" w:line="240" w:lineRule="auto"/>
              <w:jc w:val="center"/>
              <w:rPr>
                <w:rFonts w:eastAsia="Times New Roman"/>
                <w:color w:val="000000"/>
                <w:sz w:val="22"/>
                <w:szCs w:val="22"/>
                <w:lang w:eastAsia="nb-NO"/>
              </w:rPr>
            </w:pPr>
          </w:p>
        </w:tc>
      </w:tr>
      <w:tr w:rsidR="001A2456" w:rsidRPr="001E49F7" w14:paraId="244F7852" w14:textId="77777777" w:rsidTr="001A2456">
        <w:trPr>
          <w:trHeight w:val="20"/>
        </w:trPr>
        <w:tc>
          <w:tcPr>
            <w:tcW w:w="0" w:type="auto"/>
            <w:tcBorders>
              <w:top w:val="nil"/>
              <w:left w:val="nil"/>
              <w:bottom w:val="nil"/>
              <w:right w:val="nil"/>
            </w:tcBorders>
            <w:shd w:val="clear" w:color="auto" w:fill="auto"/>
            <w:noWrap/>
            <w:vAlign w:val="bottom"/>
            <w:hideMark/>
          </w:tcPr>
          <w:p w14:paraId="29EBC8A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2004</w:t>
            </w:r>
          </w:p>
        </w:tc>
        <w:tc>
          <w:tcPr>
            <w:tcW w:w="1245" w:type="dxa"/>
            <w:tcBorders>
              <w:top w:val="nil"/>
              <w:left w:val="nil"/>
              <w:bottom w:val="nil"/>
              <w:right w:val="nil"/>
            </w:tcBorders>
            <w:shd w:val="clear" w:color="auto" w:fill="auto"/>
            <w:noWrap/>
            <w:vAlign w:val="center"/>
            <w:hideMark/>
          </w:tcPr>
          <w:p w14:paraId="557CF44C"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8</w:t>
            </w:r>
          </w:p>
        </w:tc>
        <w:tc>
          <w:tcPr>
            <w:tcW w:w="1225" w:type="dxa"/>
            <w:gridSpan w:val="2"/>
            <w:tcBorders>
              <w:top w:val="nil"/>
              <w:left w:val="nil"/>
              <w:bottom w:val="nil"/>
              <w:right w:val="nil"/>
            </w:tcBorders>
            <w:shd w:val="clear" w:color="auto" w:fill="auto"/>
            <w:noWrap/>
            <w:vAlign w:val="center"/>
            <w:hideMark/>
          </w:tcPr>
          <w:p w14:paraId="35B4F4B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41</w:t>
            </w:r>
          </w:p>
        </w:tc>
        <w:tc>
          <w:tcPr>
            <w:tcW w:w="1350" w:type="dxa"/>
            <w:tcBorders>
              <w:top w:val="nil"/>
              <w:left w:val="nil"/>
              <w:bottom w:val="nil"/>
              <w:right w:val="nil"/>
            </w:tcBorders>
            <w:shd w:val="clear" w:color="auto" w:fill="auto"/>
            <w:noWrap/>
            <w:vAlign w:val="center"/>
            <w:hideMark/>
          </w:tcPr>
          <w:p w14:paraId="7A1C893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w:t>
            </w:r>
          </w:p>
        </w:tc>
        <w:tc>
          <w:tcPr>
            <w:tcW w:w="1333" w:type="dxa"/>
            <w:tcBorders>
              <w:top w:val="nil"/>
              <w:left w:val="nil"/>
              <w:bottom w:val="nil"/>
              <w:right w:val="nil"/>
            </w:tcBorders>
            <w:shd w:val="clear" w:color="auto" w:fill="auto"/>
            <w:noWrap/>
            <w:vAlign w:val="center"/>
            <w:hideMark/>
          </w:tcPr>
          <w:p w14:paraId="33C8C51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383CFF1C"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53" w:type="dxa"/>
            <w:tcBorders>
              <w:top w:val="nil"/>
              <w:left w:val="nil"/>
              <w:bottom w:val="nil"/>
              <w:right w:val="nil"/>
            </w:tcBorders>
            <w:shd w:val="clear" w:color="auto" w:fill="auto"/>
            <w:noWrap/>
            <w:vAlign w:val="center"/>
            <w:hideMark/>
          </w:tcPr>
          <w:p w14:paraId="17139829"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65C11F3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776</w:t>
            </w:r>
          </w:p>
        </w:tc>
        <w:tc>
          <w:tcPr>
            <w:tcW w:w="810" w:type="dxa"/>
            <w:tcBorders>
              <w:top w:val="nil"/>
              <w:left w:val="nil"/>
              <w:bottom w:val="nil"/>
              <w:right w:val="nil"/>
            </w:tcBorders>
            <w:vAlign w:val="center"/>
          </w:tcPr>
          <w:p w14:paraId="3CD7049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39</w:t>
            </w:r>
          </w:p>
        </w:tc>
        <w:tc>
          <w:tcPr>
            <w:tcW w:w="1135" w:type="dxa"/>
            <w:tcBorders>
              <w:top w:val="nil"/>
              <w:left w:val="nil"/>
              <w:bottom w:val="nil"/>
              <w:right w:val="nil"/>
            </w:tcBorders>
            <w:shd w:val="clear" w:color="auto" w:fill="auto"/>
            <w:noWrap/>
            <w:vAlign w:val="center"/>
            <w:hideMark/>
          </w:tcPr>
          <w:p w14:paraId="1FD770D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07" w:type="dxa"/>
            <w:tcBorders>
              <w:top w:val="nil"/>
              <w:left w:val="nil"/>
              <w:bottom w:val="nil"/>
              <w:right w:val="nil"/>
            </w:tcBorders>
            <w:shd w:val="clear" w:color="auto" w:fill="auto"/>
            <w:vAlign w:val="center"/>
            <w:hideMark/>
          </w:tcPr>
          <w:p w14:paraId="270FCD9B"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53</w:t>
            </w:r>
          </w:p>
        </w:tc>
      </w:tr>
      <w:tr w:rsidR="001A2456" w:rsidRPr="001E49F7" w14:paraId="3450C674" w14:textId="77777777" w:rsidTr="001A2456">
        <w:trPr>
          <w:trHeight w:val="20"/>
        </w:trPr>
        <w:tc>
          <w:tcPr>
            <w:tcW w:w="0" w:type="auto"/>
            <w:tcBorders>
              <w:top w:val="nil"/>
              <w:left w:val="nil"/>
              <w:bottom w:val="nil"/>
              <w:right w:val="nil"/>
            </w:tcBorders>
            <w:shd w:val="clear" w:color="auto" w:fill="auto"/>
            <w:noWrap/>
            <w:vAlign w:val="bottom"/>
            <w:hideMark/>
          </w:tcPr>
          <w:p w14:paraId="17C7A06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2005</w:t>
            </w:r>
          </w:p>
        </w:tc>
        <w:tc>
          <w:tcPr>
            <w:tcW w:w="1245" w:type="dxa"/>
            <w:tcBorders>
              <w:top w:val="nil"/>
              <w:left w:val="nil"/>
              <w:bottom w:val="nil"/>
              <w:right w:val="nil"/>
            </w:tcBorders>
            <w:shd w:val="clear" w:color="auto" w:fill="auto"/>
            <w:noWrap/>
            <w:vAlign w:val="center"/>
            <w:hideMark/>
          </w:tcPr>
          <w:p w14:paraId="6062701B"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bottom w:val="nil"/>
              <w:right w:val="nil"/>
            </w:tcBorders>
            <w:shd w:val="clear" w:color="auto" w:fill="auto"/>
            <w:noWrap/>
            <w:vAlign w:val="center"/>
            <w:hideMark/>
          </w:tcPr>
          <w:p w14:paraId="3B7394F9"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27</w:t>
            </w:r>
          </w:p>
        </w:tc>
        <w:tc>
          <w:tcPr>
            <w:tcW w:w="1350" w:type="dxa"/>
            <w:tcBorders>
              <w:top w:val="nil"/>
              <w:left w:val="nil"/>
              <w:bottom w:val="nil"/>
              <w:right w:val="nil"/>
            </w:tcBorders>
            <w:shd w:val="clear" w:color="auto" w:fill="auto"/>
            <w:noWrap/>
            <w:vAlign w:val="center"/>
            <w:hideMark/>
          </w:tcPr>
          <w:p w14:paraId="5C26F42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6</w:t>
            </w:r>
          </w:p>
        </w:tc>
        <w:tc>
          <w:tcPr>
            <w:tcW w:w="1333" w:type="dxa"/>
            <w:tcBorders>
              <w:top w:val="nil"/>
              <w:left w:val="nil"/>
              <w:bottom w:val="nil"/>
              <w:right w:val="nil"/>
            </w:tcBorders>
            <w:shd w:val="clear" w:color="auto" w:fill="auto"/>
            <w:noWrap/>
            <w:vAlign w:val="center"/>
            <w:hideMark/>
          </w:tcPr>
          <w:p w14:paraId="5D70E13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4E7C060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70</w:t>
            </w:r>
          </w:p>
        </w:tc>
        <w:tc>
          <w:tcPr>
            <w:tcW w:w="1453" w:type="dxa"/>
            <w:tcBorders>
              <w:top w:val="nil"/>
              <w:left w:val="nil"/>
              <w:bottom w:val="nil"/>
              <w:right w:val="nil"/>
            </w:tcBorders>
            <w:shd w:val="clear" w:color="auto" w:fill="auto"/>
            <w:noWrap/>
            <w:vAlign w:val="center"/>
            <w:hideMark/>
          </w:tcPr>
          <w:p w14:paraId="06FFB2E7"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1A7F0D87"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958</w:t>
            </w:r>
          </w:p>
        </w:tc>
        <w:tc>
          <w:tcPr>
            <w:tcW w:w="810" w:type="dxa"/>
            <w:tcBorders>
              <w:top w:val="nil"/>
              <w:left w:val="nil"/>
              <w:bottom w:val="nil"/>
              <w:right w:val="nil"/>
            </w:tcBorders>
            <w:vAlign w:val="center"/>
          </w:tcPr>
          <w:p w14:paraId="1736C412"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23</w:t>
            </w:r>
          </w:p>
        </w:tc>
        <w:tc>
          <w:tcPr>
            <w:tcW w:w="1135" w:type="dxa"/>
            <w:tcBorders>
              <w:top w:val="nil"/>
              <w:left w:val="nil"/>
              <w:bottom w:val="nil"/>
              <w:right w:val="nil"/>
            </w:tcBorders>
            <w:shd w:val="clear" w:color="auto" w:fill="auto"/>
            <w:noWrap/>
            <w:vAlign w:val="center"/>
            <w:hideMark/>
          </w:tcPr>
          <w:p w14:paraId="2B0C99B7"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07" w:type="dxa"/>
            <w:tcBorders>
              <w:top w:val="nil"/>
              <w:left w:val="nil"/>
              <w:bottom w:val="nil"/>
              <w:right w:val="nil"/>
            </w:tcBorders>
            <w:shd w:val="clear" w:color="auto" w:fill="auto"/>
            <w:vAlign w:val="center"/>
            <w:hideMark/>
          </w:tcPr>
          <w:p w14:paraId="1D71DDA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52</w:t>
            </w:r>
          </w:p>
        </w:tc>
      </w:tr>
      <w:tr w:rsidR="001A2456" w:rsidRPr="001E49F7" w14:paraId="01907F1D" w14:textId="77777777" w:rsidTr="001A2456">
        <w:trPr>
          <w:trHeight w:val="20"/>
        </w:trPr>
        <w:tc>
          <w:tcPr>
            <w:tcW w:w="0" w:type="auto"/>
            <w:tcBorders>
              <w:top w:val="nil"/>
              <w:left w:val="nil"/>
              <w:bottom w:val="nil"/>
              <w:right w:val="nil"/>
            </w:tcBorders>
            <w:shd w:val="clear" w:color="auto" w:fill="auto"/>
            <w:noWrap/>
            <w:vAlign w:val="bottom"/>
            <w:hideMark/>
          </w:tcPr>
          <w:p w14:paraId="19DA1CD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2006</w:t>
            </w:r>
          </w:p>
        </w:tc>
        <w:tc>
          <w:tcPr>
            <w:tcW w:w="1245" w:type="dxa"/>
            <w:tcBorders>
              <w:top w:val="nil"/>
              <w:left w:val="nil"/>
              <w:bottom w:val="nil"/>
              <w:right w:val="nil"/>
            </w:tcBorders>
            <w:shd w:val="clear" w:color="auto" w:fill="auto"/>
            <w:noWrap/>
            <w:vAlign w:val="center"/>
            <w:hideMark/>
          </w:tcPr>
          <w:p w14:paraId="5F924A7C"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bottom w:val="nil"/>
              <w:right w:val="nil"/>
            </w:tcBorders>
            <w:shd w:val="clear" w:color="auto" w:fill="auto"/>
            <w:noWrap/>
            <w:vAlign w:val="center"/>
            <w:hideMark/>
          </w:tcPr>
          <w:p w14:paraId="0A406F1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27</w:t>
            </w:r>
          </w:p>
        </w:tc>
        <w:tc>
          <w:tcPr>
            <w:tcW w:w="1350" w:type="dxa"/>
            <w:tcBorders>
              <w:top w:val="nil"/>
              <w:left w:val="nil"/>
              <w:bottom w:val="nil"/>
              <w:right w:val="nil"/>
            </w:tcBorders>
            <w:shd w:val="clear" w:color="auto" w:fill="auto"/>
            <w:noWrap/>
            <w:vAlign w:val="center"/>
            <w:hideMark/>
          </w:tcPr>
          <w:p w14:paraId="64F2520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w:t>
            </w:r>
          </w:p>
        </w:tc>
        <w:tc>
          <w:tcPr>
            <w:tcW w:w="1333" w:type="dxa"/>
            <w:tcBorders>
              <w:top w:val="nil"/>
              <w:left w:val="nil"/>
              <w:bottom w:val="nil"/>
              <w:right w:val="nil"/>
            </w:tcBorders>
            <w:shd w:val="clear" w:color="auto" w:fill="auto"/>
            <w:noWrap/>
            <w:vAlign w:val="center"/>
            <w:hideMark/>
          </w:tcPr>
          <w:p w14:paraId="3F41580B"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48DB69C0"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60</w:t>
            </w:r>
          </w:p>
        </w:tc>
        <w:tc>
          <w:tcPr>
            <w:tcW w:w="1453" w:type="dxa"/>
            <w:tcBorders>
              <w:top w:val="nil"/>
              <w:left w:val="nil"/>
              <w:bottom w:val="nil"/>
              <w:right w:val="nil"/>
            </w:tcBorders>
            <w:shd w:val="clear" w:color="auto" w:fill="auto"/>
            <w:noWrap/>
            <w:vAlign w:val="center"/>
            <w:hideMark/>
          </w:tcPr>
          <w:p w14:paraId="2474B6BB"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2C92DE7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1047</w:t>
            </w:r>
          </w:p>
        </w:tc>
        <w:tc>
          <w:tcPr>
            <w:tcW w:w="810" w:type="dxa"/>
            <w:tcBorders>
              <w:top w:val="nil"/>
              <w:left w:val="nil"/>
              <w:bottom w:val="nil"/>
              <w:right w:val="nil"/>
            </w:tcBorders>
            <w:vAlign w:val="center"/>
          </w:tcPr>
          <w:p w14:paraId="196CDCAA"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26</w:t>
            </w:r>
          </w:p>
        </w:tc>
        <w:tc>
          <w:tcPr>
            <w:tcW w:w="1135" w:type="dxa"/>
            <w:tcBorders>
              <w:top w:val="nil"/>
              <w:left w:val="nil"/>
              <w:bottom w:val="nil"/>
              <w:right w:val="nil"/>
            </w:tcBorders>
            <w:shd w:val="clear" w:color="auto" w:fill="auto"/>
            <w:noWrap/>
            <w:vAlign w:val="center"/>
            <w:hideMark/>
          </w:tcPr>
          <w:p w14:paraId="005A150B"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07" w:type="dxa"/>
            <w:tcBorders>
              <w:top w:val="nil"/>
              <w:left w:val="nil"/>
              <w:bottom w:val="nil"/>
              <w:right w:val="nil"/>
            </w:tcBorders>
            <w:shd w:val="clear" w:color="auto" w:fill="auto"/>
            <w:vAlign w:val="center"/>
            <w:hideMark/>
          </w:tcPr>
          <w:p w14:paraId="1AE5EBB7"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64</w:t>
            </w:r>
          </w:p>
        </w:tc>
      </w:tr>
      <w:tr w:rsidR="001A2456" w:rsidRPr="001E49F7" w14:paraId="03C17297" w14:textId="77777777" w:rsidTr="001A2456">
        <w:trPr>
          <w:trHeight w:val="20"/>
        </w:trPr>
        <w:tc>
          <w:tcPr>
            <w:tcW w:w="0" w:type="auto"/>
            <w:tcBorders>
              <w:top w:val="nil"/>
              <w:left w:val="nil"/>
              <w:bottom w:val="nil"/>
              <w:right w:val="nil"/>
            </w:tcBorders>
            <w:shd w:val="clear" w:color="auto" w:fill="auto"/>
            <w:noWrap/>
            <w:vAlign w:val="bottom"/>
            <w:hideMark/>
          </w:tcPr>
          <w:p w14:paraId="1F691CCE"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2007</w:t>
            </w:r>
          </w:p>
        </w:tc>
        <w:tc>
          <w:tcPr>
            <w:tcW w:w="1245" w:type="dxa"/>
            <w:tcBorders>
              <w:top w:val="nil"/>
              <w:left w:val="nil"/>
              <w:bottom w:val="nil"/>
              <w:right w:val="nil"/>
            </w:tcBorders>
            <w:shd w:val="clear" w:color="auto" w:fill="auto"/>
            <w:noWrap/>
            <w:vAlign w:val="center"/>
            <w:hideMark/>
          </w:tcPr>
          <w:p w14:paraId="1E82D731"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bottom w:val="nil"/>
              <w:right w:val="nil"/>
            </w:tcBorders>
            <w:shd w:val="clear" w:color="auto" w:fill="auto"/>
            <w:noWrap/>
            <w:vAlign w:val="center"/>
            <w:hideMark/>
          </w:tcPr>
          <w:p w14:paraId="1C86354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26</w:t>
            </w:r>
          </w:p>
        </w:tc>
        <w:tc>
          <w:tcPr>
            <w:tcW w:w="1350" w:type="dxa"/>
            <w:tcBorders>
              <w:top w:val="nil"/>
              <w:left w:val="nil"/>
              <w:bottom w:val="nil"/>
              <w:right w:val="nil"/>
            </w:tcBorders>
            <w:shd w:val="clear" w:color="auto" w:fill="auto"/>
            <w:noWrap/>
            <w:vAlign w:val="center"/>
            <w:hideMark/>
          </w:tcPr>
          <w:p w14:paraId="63B7998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w:t>
            </w:r>
          </w:p>
        </w:tc>
        <w:tc>
          <w:tcPr>
            <w:tcW w:w="1333" w:type="dxa"/>
            <w:tcBorders>
              <w:top w:val="nil"/>
              <w:left w:val="nil"/>
              <w:bottom w:val="nil"/>
              <w:right w:val="nil"/>
            </w:tcBorders>
            <w:shd w:val="clear" w:color="auto" w:fill="auto"/>
            <w:noWrap/>
            <w:vAlign w:val="center"/>
            <w:hideMark/>
          </w:tcPr>
          <w:p w14:paraId="1589F4B3"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687D439A"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57</w:t>
            </w:r>
          </w:p>
        </w:tc>
        <w:tc>
          <w:tcPr>
            <w:tcW w:w="1453" w:type="dxa"/>
            <w:tcBorders>
              <w:top w:val="nil"/>
              <w:left w:val="nil"/>
              <w:bottom w:val="nil"/>
              <w:right w:val="nil"/>
            </w:tcBorders>
            <w:shd w:val="clear" w:color="auto" w:fill="auto"/>
            <w:noWrap/>
            <w:vAlign w:val="center"/>
            <w:hideMark/>
          </w:tcPr>
          <w:p w14:paraId="28975D36"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51DFBA8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980</w:t>
            </w:r>
          </w:p>
        </w:tc>
        <w:tc>
          <w:tcPr>
            <w:tcW w:w="810" w:type="dxa"/>
            <w:tcBorders>
              <w:top w:val="nil"/>
              <w:left w:val="nil"/>
              <w:bottom w:val="nil"/>
              <w:right w:val="nil"/>
            </w:tcBorders>
            <w:vAlign w:val="center"/>
          </w:tcPr>
          <w:p w14:paraId="0F03CC0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26</w:t>
            </w:r>
          </w:p>
        </w:tc>
        <w:tc>
          <w:tcPr>
            <w:tcW w:w="1135" w:type="dxa"/>
            <w:tcBorders>
              <w:top w:val="nil"/>
              <w:left w:val="nil"/>
              <w:bottom w:val="nil"/>
              <w:right w:val="nil"/>
            </w:tcBorders>
            <w:shd w:val="clear" w:color="auto" w:fill="auto"/>
            <w:noWrap/>
            <w:vAlign w:val="center"/>
            <w:hideMark/>
          </w:tcPr>
          <w:p w14:paraId="1FB7BDA1"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37</w:t>
            </w:r>
          </w:p>
        </w:tc>
        <w:tc>
          <w:tcPr>
            <w:tcW w:w="1407" w:type="dxa"/>
            <w:tcBorders>
              <w:top w:val="nil"/>
              <w:left w:val="nil"/>
              <w:bottom w:val="nil"/>
              <w:right w:val="nil"/>
            </w:tcBorders>
            <w:shd w:val="clear" w:color="auto" w:fill="auto"/>
            <w:noWrap/>
            <w:vAlign w:val="center"/>
            <w:hideMark/>
          </w:tcPr>
          <w:p w14:paraId="66F2981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58</w:t>
            </w:r>
          </w:p>
        </w:tc>
      </w:tr>
      <w:tr w:rsidR="001A2456" w:rsidRPr="001E49F7" w14:paraId="6A3B98DF" w14:textId="77777777" w:rsidTr="001A2456">
        <w:trPr>
          <w:trHeight w:val="20"/>
        </w:trPr>
        <w:tc>
          <w:tcPr>
            <w:tcW w:w="0" w:type="auto"/>
            <w:tcBorders>
              <w:top w:val="nil"/>
              <w:left w:val="nil"/>
              <w:bottom w:val="nil"/>
              <w:right w:val="nil"/>
            </w:tcBorders>
            <w:shd w:val="clear" w:color="auto" w:fill="auto"/>
            <w:noWrap/>
            <w:vAlign w:val="bottom"/>
            <w:hideMark/>
          </w:tcPr>
          <w:p w14:paraId="2F55C23B"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2008</w:t>
            </w:r>
          </w:p>
        </w:tc>
        <w:tc>
          <w:tcPr>
            <w:tcW w:w="1245" w:type="dxa"/>
            <w:tcBorders>
              <w:top w:val="nil"/>
              <w:left w:val="nil"/>
              <w:bottom w:val="nil"/>
              <w:right w:val="nil"/>
            </w:tcBorders>
            <w:shd w:val="clear" w:color="auto" w:fill="auto"/>
            <w:noWrap/>
            <w:vAlign w:val="center"/>
            <w:hideMark/>
          </w:tcPr>
          <w:p w14:paraId="08090DD4"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bottom w:val="nil"/>
              <w:right w:val="nil"/>
            </w:tcBorders>
            <w:shd w:val="clear" w:color="auto" w:fill="auto"/>
            <w:noWrap/>
            <w:vAlign w:val="center"/>
            <w:hideMark/>
          </w:tcPr>
          <w:p w14:paraId="5E6440E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50</w:t>
            </w:r>
          </w:p>
        </w:tc>
        <w:tc>
          <w:tcPr>
            <w:tcW w:w="1350" w:type="dxa"/>
            <w:tcBorders>
              <w:top w:val="nil"/>
              <w:left w:val="nil"/>
              <w:bottom w:val="nil"/>
              <w:right w:val="nil"/>
            </w:tcBorders>
            <w:shd w:val="clear" w:color="auto" w:fill="auto"/>
            <w:noWrap/>
            <w:vAlign w:val="center"/>
            <w:hideMark/>
          </w:tcPr>
          <w:p w14:paraId="471BA5CE"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13</w:t>
            </w:r>
          </w:p>
        </w:tc>
        <w:tc>
          <w:tcPr>
            <w:tcW w:w="1333" w:type="dxa"/>
            <w:tcBorders>
              <w:top w:val="nil"/>
              <w:left w:val="nil"/>
              <w:bottom w:val="nil"/>
              <w:right w:val="nil"/>
            </w:tcBorders>
            <w:shd w:val="clear" w:color="auto" w:fill="auto"/>
            <w:noWrap/>
            <w:vAlign w:val="center"/>
            <w:hideMark/>
          </w:tcPr>
          <w:p w14:paraId="0AB4A449"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nil"/>
              <w:right w:val="nil"/>
            </w:tcBorders>
            <w:shd w:val="clear" w:color="auto" w:fill="auto"/>
            <w:noWrap/>
            <w:vAlign w:val="center"/>
            <w:hideMark/>
          </w:tcPr>
          <w:p w14:paraId="4F0F2CD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64</w:t>
            </w:r>
          </w:p>
        </w:tc>
        <w:tc>
          <w:tcPr>
            <w:tcW w:w="1453" w:type="dxa"/>
            <w:tcBorders>
              <w:top w:val="nil"/>
              <w:left w:val="nil"/>
              <w:bottom w:val="nil"/>
              <w:right w:val="nil"/>
            </w:tcBorders>
            <w:shd w:val="clear" w:color="auto" w:fill="auto"/>
            <w:noWrap/>
            <w:vAlign w:val="center"/>
            <w:hideMark/>
          </w:tcPr>
          <w:p w14:paraId="1437B695"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38642561"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1042</w:t>
            </w:r>
          </w:p>
        </w:tc>
        <w:tc>
          <w:tcPr>
            <w:tcW w:w="810" w:type="dxa"/>
            <w:tcBorders>
              <w:top w:val="nil"/>
              <w:left w:val="nil"/>
              <w:bottom w:val="nil"/>
              <w:right w:val="nil"/>
            </w:tcBorders>
            <w:vAlign w:val="center"/>
          </w:tcPr>
          <w:p w14:paraId="74FADD5E"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18</w:t>
            </w:r>
          </w:p>
        </w:tc>
        <w:tc>
          <w:tcPr>
            <w:tcW w:w="1135" w:type="dxa"/>
            <w:tcBorders>
              <w:top w:val="nil"/>
              <w:left w:val="nil"/>
              <w:bottom w:val="nil"/>
              <w:right w:val="nil"/>
            </w:tcBorders>
            <w:shd w:val="clear" w:color="auto" w:fill="auto"/>
            <w:noWrap/>
            <w:vAlign w:val="center"/>
            <w:hideMark/>
          </w:tcPr>
          <w:p w14:paraId="570B44E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8</w:t>
            </w:r>
          </w:p>
        </w:tc>
        <w:tc>
          <w:tcPr>
            <w:tcW w:w="1407" w:type="dxa"/>
            <w:tcBorders>
              <w:top w:val="nil"/>
              <w:left w:val="nil"/>
              <w:bottom w:val="nil"/>
              <w:right w:val="nil"/>
            </w:tcBorders>
            <w:shd w:val="clear" w:color="auto" w:fill="auto"/>
            <w:noWrap/>
            <w:vAlign w:val="center"/>
            <w:hideMark/>
          </w:tcPr>
          <w:p w14:paraId="665F1F2B"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24</w:t>
            </w:r>
          </w:p>
        </w:tc>
      </w:tr>
      <w:tr w:rsidR="001A2456" w:rsidRPr="001E49F7" w14:paraId="40C24703" w14:textId="77777777" w:rsidTr="001A2456">
        <w:trPr>
          <w:trHeight w:val="20"/>
        </w:trPr>
        <w:tc>
          <w:tcPr>
            <w:tcW w:w="0" w:type="auto"/>
            <w:tcBorders>
              <w:top w:val="nil"/>
              <w:left w:val="nil"/>
              <w:bottom w:val="nil"/>
              <w:right w:val="nil"/>
            </w:tcBorders>
            <w:shd w:val="clear" w:color="auto" w:fill="auto"/>
            <w:noWrap/>
            <w:vAlign w:val="bottom"/>
            <w:hideMark/>
          </w:tcPr>
          <w:p w14:paraId="0B64A491"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2009</w:t>
            </w:r>
          </w:p>
        </w:tc>
        <w:tc>
          <w:tcPr>
            <w:tcW w:w="1245" w:type="dxa"/>
            <w:tcBorders>
              <w:top w:val="nil"/>
              <w:left w:val="nil"/>
              <w:bottom w:val="nil"/>
              <w:right w:val="nil"/>
            </w:tcBorders>
            <w:shd w:val="clear" w:color="auto" w:fill="auto"/>
            <w:noWrap/>
            <w:vAlign w:val="center"/>
            <w:hideMark/>
          </w:tcPr>
          <w:p w14:paraId="2F0A0453"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bottom w:val="nil"/>
              <w:right w:val="nil"/>
            </w:tcBorders>
            <w:shd w:val="clear" w:color="auto" w:fill="auto"/>
            <w:noWrap/>
            <w:vAlign w:val="center"/>
            <w:hideMark/>
          </w:tcPr>
          <w:p w14:paraId="2E54C017"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31</w:t>
            </w:r>
          </w:p>
        </w:tc>
        <w:tc>
          <w:tcPr>
            <w:tcW w:w="1350" w:type="dxa"/>
            <w:tcBorders>
              <w:top w:val="nil"/>
              <w:left w:val="nil"/>
              <w:bottom w:val="nil"/>
              <w:right w:val="nil"/>
            </w:tcBorders>
            <w:shd w:val="clear" w:color="auto" w:fill="auto"/>
            <w:noWrap/>
            <w:vAlign w:val="center"/>
            <w:hideMark/>
          </w:tcPr>
          <w:p w14:paraId="045A075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w:t>
            </w:r>
          </w:p>
        </w:tc>
        <w:tc>
          <w:tcPr>
            <w:tcW w:w="1333" w:type="dxa"/>
            <w:tcBorders>
              <w:top w:val="nil"/>
              <w:left w:val="nil"/>
              <w:bottom w:val="nil"/>
              <w:right w:val="nil"/>
            </w:tcBorders>
            <w:shd w:val="clear" w:color="auto" w:fill="auto"/>
            <w:noWrap/>
            <w:vAlign w:val="center"/>
            <w:hideMark/>
          </w:tcPr>
          <w:p w14:paraId="0CD7D43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w:t>
            </w:r>
          </w:p>
        </w:tc>
        <w:tc>
          <w:tcPr>
            <w:tcW w:w="1531" w:type="dxa"/>
            <w:tcBorders>
              <w:top w:val="nil"/>
              <w:left w:val="nil"/>
              <w:bottom w:val="nil"/>
              <w:right w:val="nil"/>
            </w:tcBorders>
            <w:shd w:val="clear" w:color="auto" w:fill="auto"/>
            <w:noWrap/>
            <w:vAlign w:val="center"/>
            <w:hideMark/>
          </w:tcPr>
          <w:p w14:paraId="4EF6273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25</w:t>
            </w:r>
          </w:p>
        </w:tc>
        <w:tc>
          <w:tcPr>
            <w:tcW w:w="1453" w:type="dxa"/>
            <w:tcBorders>
              <w:top w:val="nil"/>
              <w:left w:val="nil"/>
              <w:bottom w:val="nil"/>
              <w:right w:val="nil"/>
            </w:tcBorders>
            <w:shd w:val="clear" w:color="auto" w:fill="auto"/>
            <w:noWrap/>
            <w:vAlign w:val="center"/>
            <w:hideMark/>
          </w:tcPr>
          <w:p w14:paraId="544C2B65"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0929B289"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891</w:t>
            </w:r>
          </w:p>
        </w:tc>
        <w:tc>
          <w:tcPr>
            <w:tcW w:w="810" w:type="dxa"/>
            <w:tcBorders>
              <w:top w:val="nil"/>
              <w:left w:val="nil"/>
              <w:bottom w:val="nil"/>
              <w:right w:val="nil"/>
            </w:tcBorders>
            <w:vAlign w:val="center"/>
          </w:tcPr>
          <w:p w14:paraId="1FB2FA61"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25</w:t>
            </w:r>
          </w:p>
        </w:tc>
        <w:tc>
          <w:tcPr>
            <w:tcW w:w="1135" w:type="dxa"/>
            <w:tcBorders>
              <w:top w:val="nil"/>
              <w:left w:val="nil"/>
              <w:bottom w:val="nil"/>
              <w:right w:val="nil"/>
            </w:tcBorders>
            <w:shd w:val="clear" w:color="auto" w:fill="auto"/>
            <w:noWrap/>
            <w:vAlign w:val="center"/>
            <w:hideMark/>
          </w:tcPr>
          <w:p w14:paraId="303C0F17"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14</w:t>
            </w:r>
          </w:p>
        </w:tc>
        <w:tc>
          <w:tcPr>
            <w:tcW w:w="1407" w:type="dxa"/>
            <w:tcBorders>
              <w:top w:val="nil"/>
              <w:left w:val="nil"/>
              <w:bottom w:val="nil"/>
              <w:right w:val="nil"/>
            </w:tcBorders>
            <w:shd w:val="clear" w:color="auto" w:fill="auto"/>
            <w:noWrap/>
            <w:vAlign w:val="center"/>
            <w:hideMark/>
          </w:tcPr>
          <w:p w14:paraId="0B1BB382"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32</w:t>
            </w:r>
          </w:p>
        </w:tc>
      </w:tr>
      <w:tr w:rsidR="001A2456" w:rsidRPr="001E49F7" w14:paraId="5D8A9D40" w14:textId="77777777" w:rsidTr="001A2456">
        <w:trPr>
          <w:trHeight w:val="20"/>
        </w:trPr>
        <w:tc>
          <w:tcPr>
            <w:tcW w:w="0" w:type="auto"/>
            <w:tcBorders>
              <w:top w:val="nil"/>
              <w:left w:val="nil"/>
              <w:bottom w:val="nil"/>
              <w:right w:val="nil"/>
            </w:tcBorders>
            <w:shd w:val="clear" w:color="auto" w:fill="auto"/>
            <w:noWrap/>
            <w:vAlign w:val="bottom"/>
            <w:hideMark/>
          </w:tcPr>
          <w:p w14:paraId="782B0E2F"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2010</w:t>
            </w:r>
          </w:p>
        </w:tc>
        <w:tc>
          <w:tcPr>
            <w:tcW w:w="1245" w:type="dxa"/>
            <w:tcBorders>
              <w:top w:val="nil"/>
              <w:left w:val="nil"/>
              <w:bottom w:val="nil"/>
              <w:right w:val="nil"/>
            </w:tcBorders>
            <w:shd w:val="clear" w:color="auto" w:fill="auto"/>
            <w:noWrap/>
            <w:vAlign w:val="center"/>
            <w:hideMark/>
          </w:tcPr>
          <w:p w14:paraId="26CC27F2"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bottom w:val="nil"/>
              <w:right w:val="nil"/>
            </w:tcBorders>
            <w:shd w:val="clear" w:color="auto" w:fill="auto"/>
            <w:noWrap/>
            <w:vAlign w:val="center"/>
            <w:hideMark/>
          </w:tcPr>
          <w:p w14:paraId="012546F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25</w:t>
            </w:r>
          </w:p>
        </w:tc>
        <w:tc>
          <w:tcPr>
            <w:tcW w:w="1350" w:type="dxa"/>
            <w:tcBorders>
              <w:top w:val="nil"/>
              <w:left w:val="nil"/>
              <w:bottom w:val="nil"/>
              <w:right w:val="nil"/>
            </w:tcBorders>
            <w:shd w:val="clear" w:color="auto" w:fill="auto"/>
            <w:noWrap/>
            <w:vAlign w:val="center"/>
            <w:hideMark/>
          </w:tcPr>
          <w:p w14:paraId="0E1FE8E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w:t>
            </w:r>
          </w:p>
        </w:tc>
        <w:tc>
          <w:tcPr>
            <w:tcW w:w="1333" w:type="dxa"/>
            <w:tcBorders>
              <w:top w:val="nil"/>
              <w:left w:val="nil"/>
              <w:bottom w:val="nil"/>
              <w:right w:val="nil"/>
            </w:tcBorders>
            <w:shd w:val="clear" w:color="auto" w:fill="auto"/>
            <w:noWrap/>
            <w:vAlign w:val="center"/>
            <w:hideMark/>
          </w:tcPr>
          <w:p w14:paraId="79363C0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6</w:t>
            </w:r>
          </w:p>
        </w:tc>
        <w:tc>
          <w:tcPr>
            <w:tcW w:w="1531" w:type="dxa"/>
            <w:tcBorders>
              <w:top w:val="nil"/>
              <w:left w:val="nil"/>
              <w:bottom w:val="nil"/>
              <w:right w:val="nil"/>
            </w:tcBorders>
            <w:shd w:val="clear" w:color="auto" w:fill="auto"/>
            <w:noWrap/>
            <w:vAlign w:val="center"/>
            <w:hideMark/>
          </w:tcPr>
          <w:p w14:paraId="30A9F602"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53" w:type="dxa"/>
            <w:tcBorders>
              <w:top w:val="nil"/>
              <w:left w:val="nil"/>
              <w:bottom w:val="nil"/>
              <w:right w:val="nil"/>
            </w:tcBorders>
            <w:shd w:val="clear" w:color="auto" w:fill="auto"/>
            <w:noWrap/>
            <w:vAlign w:val="center"/>
            <w:hideMark/>
          </w:tcPr>
          <w:p w14:paraId="034F6699"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w:t>
            </w:r>
          </w:p>
        </w:tc>
        <w:tc>
          <w:tcPr>
            <w:tcW w:w="1030" w:type="dxa"/>
            <w:tcBorders>
              <w:top w:val="nil"/>
              <w:left w:val="nil"/>
              <w:bottom w:val="nil"/>
              <w:right w:val="nil"/>
            </w:tcBorders>
            <w:vAlign w:val="center"/>
          </w:tcPr>
          <w:p w14:paraId="181FB41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762</w:t>
            </w:r>
          </w:p>
        </w:tc>
        <w:tc>
          <w:tcPr>
            <w:tcW w:w="810" w:type="dxa"/>
            <w:tcBorders>
              <w:top w:val="nil"/>
              <w:left w:val="nil"/>
              <w:bottom w:val="nil"/>
              <w:right w:val="nil"/>
            </w:tcBorders>
            <w:vAlign w:val="center"/>
          </w:tcPr>
          <w:p w14:paraId="134C3B7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w:t>
            </w:r>
          </w:p>
        </w:tc>
        <w:tc>
          <w:tcPr>
            <w:tcW w:w="1135" w:type="dxa"/>
            <w:tcBorders>
              <w:top w:val="nil"/>
              <w:left w:val="nil"/>
              <w:bottom w:val="nil"/>
              <w:right w:val="nil"/>
            </w:tcBorders>
            <w:shd w:val="clear" w:color="auto" w:fill="auto"/>
            <w:noWrap/>
            <w:vAlign w:val="center"/>
            <w:hideMark/>
          </w:tcPr>
          <w:p w14:paraId="6E91E05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32</w:t>
            </w:r>
          </w:p>
        </w:tc>
        <w:tc>
          <w:tcPr>
            <w:tcW w:w="1407" w:type="dxa"/>
            <w:tcBorders>
              <w:top w:val="nil"/>
              <w:left w:val="nil"/>
              <w:bottom w:val="nil"/>
              <w:right w:val="nil"/>
            </w:tcBorders>
            <w:shd w:val="clear" w:color="auto" w:fill="auto"/>
            <w:noWrap/>
            <w:vAlign w:val="center"/>
            <w:hideMark/>
          </w:tcPr>
          <w:p w14:paraId="6D57D4C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13</w:t>
            </w:r>
          </w:p>
        </w:tc>
      </w:tr>
      <w:tr w:rsidR="001A2456" w:rsidRPr="001E49F7" w14:paraId="412BD853" w14:textId="77777777" w:rsidTr="001A2456">
        <w:trPr>
          <w:trHeight w:val="20"/>
        </w:trPr>
        <w:tc>
          <w:tcPr>
            <w:tcW w:w="0" w:type="auto"/>
            <w:tcBorders>
              <w:top w:val="nil"/>
              <w:left w:val="nil"/>
              <w:bottom w:val="nil"/>
              <w:right w:val="nil"/>
            </w:tcBorders>
            <w:shd w:val="clear" w:color="auto" w:fill="auto"/>
            <w:noWrap/>
            <w:vAlign w:val="bottom"/>
            <w:hideMark/>
          </w:tcPr>
          <w:p w14:paraId="29BF7AB1"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2011</w:t>
            </w:r>
          </w:p>
        </w:tc>
        <w:tc>
          <w:tcPr>
            <w:tcW w:w="1245" w:type="dxa"/>
            <w:tcBorders>
              <w:top w:val="nil"/>
              <w:left w:val="nil"/>
              <w:bottom w:val="nil"/>
              <w:right w:val="nil"/>
            </w:tcBorders>
            <w:shd w:val="clear" w:color="auto" w:fill="auto"/>
            <w:noWrap/>
            <w:vAlign w:val="center"/>
            <w:hideMark/>
          </w:tcPr>
          <w:p w14:paraId="31D294FE"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bottom w:val="nil"/>
              <w:right w:val="nil"/>
            </w:tcBorders>
            <w:shd w:val="clear" w:color="auto" w:fill="auto"/>
            <w:noWrap/>
            <w:vAlign w:val="center"/>
            <w:hideMark/>
          </w:tcPr>
          <w:p w14:paraId="76AAB30E"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14</w:t>
            </w:r>
          </w:p>
        </w:tc>
        <w:tc>
          <w:tcPr>
            <w:tcW w:w="1350" w:type="dxa"/>
            <w:tcBorders>
              <w:top w:val="nil"/>
              <w:left w:val="nil"/>
              <w:bottom w:val="nil"/>
              <w:right w:val="nil"/>
            </w:tcBorders>
            <w:shd w:val="clear" w:color="auto" w:fill="auto"/>
            <w:noWrap/>
            <w:vAlign w:val="center"/>
            <w:hideMark/>
          </w:tcPr>
          <w:p w14:paraId="0DA417A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5</w:t>
            </w:r>
          </w:p>
        </w:tc>
        <w:tc>
          <w:tcPr>
            <w:tcW w:w="1333" w:type="dxa"/>
            <w:tcBorders>
              <w:top w:val="nil"/>
              <w:left w:val="nil"/>
              <w:bottom w:val="nil"/>
              <w:right w:val="nil"/>
            </w:tcBorders>
            <w:shd w:val="clear" w:color="auto" w:fill="auto"/>
            <w:noWrap/>
            <w:vAlign w:val="center"/>
            <w:hideMark/>
          </w:tcPr>
          <w:p w14:paraId="6B2CF76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4</w:t>
            </w:r>
          </w:p>
        </w:tc>
        <w:tc>
          <w:tcPr>
            <w:tcW w:w="1531" w:type="dxa"/>
            <w:tcBorders>
              <w:top w:val="nil"/>
              <w:left w:val="nil"/>
              <w:bottom w:val="nil"/>
              <w:right w:val="nil"/>
            </w:tcBorders>
            <w:shd w:val="clear" w:color="auto" w:fill="auto"/>
            <w:noWrap/>
            <w:vAlign w:val="center"/>
            <w:hideMark/>
          </w:tcPr>
          <w:p w14:paraId="371CF78D"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53" w:type="dxa"/>
            <w:tcBorders>
              <w:top w:val="nil"/>
              <w:left w:val="nil"/>
              <w:bottom w:val="nil"/>
              <w:right w:val="nil"/>
            </w:tcBorders>
            <w:shd w:val="clear" w:color="auto" w:fill="auto"/>
            <w:noWrap/>
            <w:vAlign w:val="center"/>
            <w:hideMark/>
          </w:tcPr>
          <w:p w14:paraId="6D51A5E0"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3</w:t>
            </w:r>
          </w:p>
        </w:tc>
        <w:tc>
          <w:tcPr>
            <w:tcW w:w="1030" w:type="dxa"/>
            <w:tcBorders>
              <w:top w:val="nil"/>
              <w:left w:val="nil"/>
              <w:bottom w:val="nil"/>
              <w:right w:val="nil"/>
            </w:tcBorders>
            <w:vAlign w:val="center"/>
          </w:tcPr>
          <w:p w14:paraId="7055716B"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755</w:t>
            </w:r>
          </w:p>
        </w:tc>
        <w:tc>
          <w:tcPr>
            <w:tcW w:w="810" w:type="dxa"/>
            <w:tcBorders>
              <w:top w:val="nil"/>
              <w:left w:val="nil"/>
              <w:bottom w:val="nil"/>
              <w:right w:val="nil"/>
            </w:tcBorders>
            <w:vAlign w:val="center"/>
          </w:tcPr>
          <w:p w14:paraId="18ECF73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4</w:t>
            </w:r>
          </w:p>
        </w:tc>
        <w:tc>
          <w:tcPr>
            <w:tcW w:w="1135" w:type="dxa"/>
            <w:tcBorders>
              <w:top w:val="nil"/>
              <w:left w:val="nil"/>
              <w:bottom w:val="nil"/>
              <w:right w:val="nil"/>
            </w:tcBorders>
            <w:shd w:val="clear" w:color="auto" w:fill="auto"/>
            <w:noWrap/>
            <w:vAlign w:val="center"/>
            <w:hideMark/>
          </w:tcPr>
          <w:p w14:paraId="55D45DEE"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41</w:t>
            </w:r>
          </w:p>
        </w:tc>
        <w:tc>
          <w:tcPr>
            <w:tcW w:w="1407" w:type="dxa"/>
            <w:tcBorders>
              <w:top w:val="nil"/>
              <w:left w:val="nil"/>
              <w:bottom w:val="nil"/>
              <w:right w:val="nil"/>
            </w:tcBorders>
            <w:shd w:val="clear" w:color="auto" w:fill="auto"/>
            <w:noWrap/>
            <w:vAlign w:val="center"/>
            <w:hideMark/>
          </w:tcPr>
          <w:p w14:paraId="4F245DB5"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18</w:t>
            </w:r>
          </w:p>
        </w:tc>
      </w:tr>
      <w:tr w:rsidR="001A2456" w:rsidRPr="001E49F7" w14:paraId="4DA3BCD0" w14:textId="77777777" w:rsidTr="001A2456">
        <w:trPr>
          <w:trHeight w:val="20"/>
        </w:trPr>
        <w:tc>
          <w:tcPr>
            <w:tcW w:w="0" w:type="auto"/>
            <w:tcBorders>
              <w:top w:val="nil"/>
              <w:left w:val="nil"/>
              <w:right w:val="nil"/>
            </w:tcBorders>
            <w:shd w:val="clear" w:color="auto" w:fill="auto"/>
            <w:noWrap/>
            <w:vAlign w:val="bottom"/>
            <w:hideMark/>
          </w:tcPr>
          <w:p w14:paraId="4A16AD6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2012</w:t>
            </w:r>
          </w:p>
        </w:tc>
        <w:tc>
          <w:tcPr>
            <w:tcW w:w="1245" w:type="dxa"/>
            <w:tcBorders>
              <w:top w:val="nil"/>
              <w:left w:val="nil"/>
              <w:right w:val="nil"/>
            </w:tcBorders>
            <w:shd w:val="clear" w:color="auto" w:fill="auto"/>
            <w:noWrap/>
            <w:vAlign w:val="center"/>
            <w:hideMark/>
          </w:tcPr>
          <w:p w14:paraId="63068282"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25" w:type="dxa"/>
            <w:gridSpan w:val="2"/>
            <w:tcBorders>
              <w:top w:val="nil"/>
              <w:left w:val="nil"/>
              <w:right w:val="nil"/>
            </w:tcBorders>
            <w:shd w:val="clear" w:color="auto" w:fill="auto"/>
            <w:noWrap/>
            <w:vAlign w:val="center"/>
            <w:hideMark/>
          </w:tcPr>
          <w:p w14:paraId="0BC9A360"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19</w:t>
            </w:r>
          </w:p>
        </w:tc>
        <w:tc>
          <w:tcPr>
            <w:tcW w:w="1350" w:type="dxa"/>
            <w:tcBorders>
              <w:top w:val="nil"/>
              <w:left w:val="nil"/>
              <w:right w:val="nil"/>
            </w:tcBorders>
            <w:shd w:val="clear" w:color="auto" w:fill="auto"/>
            <w:noWrap/>
            <w:vAlign w:val="center"/>
            <w:hideMark/>
          </w:tcPr>
          <w:p w14:paraId="518D4DC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14</w:t>
            </w:r>
          </w:p>
        </w:tc>
        <w:tc>
          <w:tcPr>
            <w:tcW w:w="1333" w:type="dxa"/>
            <w:tcBorders>
              <w:top w:val="nil"/>
              <w:left w:val="nil"/>
              <w:right w:val="nil"/>
            </w:tcBorders>
            <w:shd w:val="clear" w:color="auto" w:fill="auto"/>
            <w:noWrap/>
            <w:vAlign w:val="center"/>
            <w:hideMark/>
          </w:tcPr>
          <w:p w14:paraId="34EE8698"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w:t>
            </w:r>
          </w:p>
        </w:tc>
        <w:tc>
          <w:tcPr>
            <w:tcW w:w="1531" w:type="dxa"/>
            <w:tcBorders>
              <w:top w:val="nil"/>
              <w:left w:val="nil"/>
              <w:right w:val="nil"/>
            </w:tcBorders>
            <w:shd w:val="clear" w:color="auto" w:fill="auto"/>
            <w:noWrap/>
            <w:vAlign w:val="center"/>
            <w:hideMark/>
          </w:tcPr>
          <w:p w14:paraId="3DAE35E2"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53" w:type="dxa"/>
            <w:tcBorders>
              <w:top w:val="nil"/>
              <w:left w:val="nil"/>
              <w:right w:val="nil"/>
            </w:tcBorders>
            <w:shd w:val="clear" w:color="auto" w:fill="auto"/>
            <w:noWrap/>
            <w:vAlign w:val="center"/>
            <w:hideMark/>
          </w:tcPr>
          <w:p w14:paraId="5F55EF9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w:t>
            </w:r>
          </w:p>
        </w:tc>
        <w:tc>
          <w:tcPr>
            <w:tcW w:w="1030" w:type="dxa"/>
            <w:tcBorders>
              <w:top w:val="nil"/>
              <w:left w:val="nil"/>
              <w:right w:val="nil"/>
            </w:tcBorders>
            <w:vAlign w:val="center"/>
          </w:tcPr>
          <w:p w14:paraId="7ED4B76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802</w:t>
            </w:r>
          </w:p>
        </w:tc>
        <w:tc>
          <w:tcPr>
            <w:tcW w:w="810" w:type="dxa"/>
            <w:tcBorders>
              <w:top w:val="nil"/>
              <w:left w:val="nil"/>
              <w:right w:val="nil"/>
            </w:tcBorders>
            <w:vAlign w:val="center"/>
          </w:tcPr>
          <w:p w14:paraId="418C3AC4"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w:t>
            </w:r>
          </w:p>
        </w:tc>
        <w:tc>
          <w:tcPr>
            <w:tcW w:w="1135" w:type="dxa"/>
            <w:tcBorders>
              <w:top w:val="nil"/>
              <w:left w:val="nil"/>
              <w:right w:val="nil"/>
            </w:tcBorders>
            <w:shd w:val="clear" w:color="auto" w:fill="auto"/>
            <w:noWrap/>
            <w:vAlign w:val="center"/>
            <w:hideMark/>
          </w:tcPr>
          <w:p w14:paraId="3BB736F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39</w:t>
            </w:r>
          </w:p>
        </w:tc>
        <w:tc>
          <w:tcPr>
            <w:tcW w:w="1407" w:type="dxa"/>
            <w:tcBorders>
              <w:top w:val="nil"/>
              <w:left w:val="nil"/>
              <w:right w:val="nil"/>
            </w:tcBorders>
            <w:shd w:val="clear" w:color="auto" w:fill="auto"/>
            <w:noWrap/>
            <w:vAlign w:val="center"/>
            <w:hideMark/>
          </w:tcPr>
          <w:p w14:paraId="7EC4595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25</w:t>
            </w:r>
          </w:p>
        </w:tc>
      </w:tr>
      <w:tr w:rsidR="001A2456" w:rsidRPr="001E49F7" w14:paraId="531DA390" w14:textId="77777777" w:rsidTr="001A2456">
        <w:trPr>
          <w:trHeight w:val="20"/>
        </w:trPr>
        <w:tc>
          <w:tcPr>
            <w:tcW w:w="0" w:type="auto"/>
            <w:tcBorders>
              <w:top w:val="nil"/>
              <w:left w:val="nil"/>
              <w:bottom w:val="nil"/>
              <w:right w:val="nil"/>
            </w:tcBorders>
            <w:shd w:val="clear" w:color="auto" w:fill="auto"/>
            <w:noWrap/>
            <w:vAlign w:val="bottom"/>
            <w:hideMark/>
          </w:tcPr>
          <w:p w14:paraId="1D8F548D"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2013</w:t>
            </w:r>
          </w:p>
        </w:tc>
        <w:tc>
          <w:tcPr>
            <w:tcW w:w="1252" w:type="dxa"/>
            <w:gridSpan w:val="2"/>
            <w:tcBorders>
              <w:top w:val="nil"/>
              <w:left w:val="nil"/>
              <w:bottom w:val="nil"/>
              <w:right w:val="nil"/>
            </w:tcBorders>
            <w:shd w:val="clear" w:color="auto" w:fill="auto"/>
            <w:noWrap/>
            <w:vAlign w:val="center"/>
          </w:tcPr>
          <w:p w14:paraId="1EAB68A9"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18" w:type="dxa"/>
            <w:tcBorders>
              <w:top w:val="nil"/>
              <w:left w:val="nil"/>
              <w:bottom w:val="nil"/>
              <w:right w:val="nil"/>
            </w:tcBorders>
            <w:shd w:val="clear" w:color="auto" w:fill="auto"/>
            <w:noWrap/>
            <w:vAlign w:val="center"/>
            <w:hideMark/>
          </w:tcPr>
          <w:p w14:paraId="30DAE127"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22</w:t>
            </w:r>
          </w:p>
        </w:tc>
        <w:tc>
          <w:tcPr>
            <w:tcW w:w="1350" w:type="dxa"/>
            <w:tcBorders>
              <w:top w:val="nil"/>
              <w:left w:val="nil"/>
              <w:bottom w:val="nil"/>
              <w:right w:val="nil"/>
            </w:tcBorders>
            <w:shd w:val="clear" w:color="auto" w:fill="auto"/>
            <w:noWrap/>
            <w:vAlign w:val="center"/>
            <w:hideMark/>
          </w:tcPr>
          <w:p w14:paraId="57FC7320"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17</w:t>
            </w:r>
          </w:p>
        </w:tc>
        <w:tc>
          <w:tcPr>
            <w:tcW w:w="1333" w:type="dxa"/>
            <w:tcBorders>
              <w:top w:val="nil"/>
              <w:left w:val="nil"/>
              <w:bottom w:val="nil"/>
              <w:right w:val="nil"/>
            </w:tcBorders>
            <w:shd w:val="clear" w:color="auto" w:fill="auto"/>
            <w:noWrap/>
            <w:vAlign w:val="center"/>
            <w:hideMark/>
          </w:tcPr>
          <w:p w14:paraId="0AD98A4A"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w:t>
            </w:r>
          </w:p>
        </w:tc>
        <w:tc>
          <w:tcPr>
            <w:tcW w:w="1531" w:type="dxa"/>
            <w:tcBorders>
              <w:top w:val="nil"/>
              <w:left w:val="nil"/>
              <w:bottom w:val="nil"/>
              <w:right w:val="nil"/>
            </w:tcBorders>
            <w:shd w:val="clear" w:color="auto" w:fill="auto"/>
            <w:noWrap/>
            <w:vAlign w:val="center"/>
            <w:hideMark/>
          </w:tcPr>
          <w:p w14:paraId="569AEF6E"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53" w:type="dxa"/>
            <w:tcBorders>
              <w:top w:val="nil"/>
              <w:left w:val="nil"/>
              <w:bottom w:val="nil"/>
              <w:right w:val="nil"/>
            </w:tcBorders>
            <w:shd w:val="clear" w:color="auto" w:fill="auto"/>
            <w:noWrap/>
            <w:vAlign w:val="center"/>
            <w:hideMark/>
          </w:tcPr>
          <w:p w14:paraId="10E031CB"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nil"/>
              <w:right w:val="nil"/>
            </w:tcBorders>
            <w:vAlign w:val="center"/>
          </w:tcPr>
          <w:p w14:paraId="03E302A1"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801</w:t>
            </w:r>
          </w:p>
        </w:tc>
        <w:tc>
          <w:tcPr>
            <w:tcW w:w="810" w:type="dxa"/>
            <w:tcBorders>
              <w:top w:val="nil"/>
              <w:left w:val="nil"/>
              <w:bottom w:val="nil"/>
              <w:right w:val="nil"/>
            </w:tcBorders>
            <w:vAlign w:val="center"/>
          </w:tcPr>
          <w:p w14:paraId="36E891B6"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7</w:t>
            </w:r>
          </w:p>
        </w:tc>
        <w:tc>
          <w:tcPr>
            <w:tcW w:w="1135" w:type="dxa"/>
            <w:tcBorders>
              <w:top w:val="nil"/>
              <w:left w:val="nil"/>
              <w:bottom w:val="nil"/>
              <w:right w:val="nil"/>
            </w:tcBorders>
            <w:shd w:val="clear" w:color="auto" w:fill="auto"/>
            <w:noWrap/>
            <w:vAlign w:val="center"/>
            <w:hideMark/>
          </w:tcPr>
          <w:p w14:paraId="132AC7F0"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11</w:t>
            </w:r>
          </w:p>
        </w:tc>
        <w:tc>
          <w:tcPr>
            <w:tcW w:w="1407" w:type="dxa"/>
            <w:tcBorders>
              <w:top w:val="nil"/>
              <w:left w:val="nil"/>
              <w:bottom w:val="nil"/>
              <w:right w:val="nil"/>
            </w:tcBorders>
            <w:shd w:val="clear" w:color="auto" w:fill="auto"/>
            <w:noWrap/>
            <w:vAlign w:val="center"/>
            <w:hideMark/>
          </w:tcPr>
          <w:p w14:paraId="6B450D57"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13</w:t>
            </w:r>
          </w:p>
        </w:tc>
      </w:tr>
      <w:tr w:rsidR="001A2456" w:rsidRPr="001E49F7" w14:paraId="43503EE6" w14:textId="77777777" w:rsidTr="001A2456">
        <w:trPr>
          <w:trHeight w:val="20"/>
        </w:trPr>
        <w:tc>
          <w:tcPr>
            <w:tcW w:w="0" w:type="auto"/>
            <w:tcBorders>
              <w:top w:val="nil"/>
              <w:left w:val="nil"/>
              <w:bottom w:val="single" w:sz="4" w:space="0" w:color="auto"/>
              <w:right w:val="nil"/>
            </w:tcBorders>
            <w:shd w:val="clear" w:color="auto" w:fill="auto"/>
            <w:noWrap/>
            <w:vAlign w:val="bottom"/>
          </w:tcPr>
          <w:p w14:paraId="3318A6F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2014</w:t>
            </w:r>
          </w:p>
        </w:tc>
        <w:tc>
          <w:tcPr>
            <w:tcW w:w="1252" w:type="dxa"/>
            <w:gridSpan w:val="2"/>
            <w:tcBorders>
              <w:top w:val="nil"/>
              <w:left w:val="nil"/>
              <w:bottom w:val="single" w:sz="4" w:space="0" w:color="auto"/>
              <w:right w:val="nil"/>
            </w:tcBorders>
            <w:shd w:val="clear" w:color="auto" w:fill="auto"/>
            <w:noWrap/>
            <w:vAlign w:val="center"/>
          </w:tcPr>
          <w:p w14:paraId="53C997BC"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218" w:type="dxa"/>
            <w:tcBorders>
              <w:top w:val="nil"/>
              <w:left w:val="nil"/>
              <w:bottom w:val="single" w:sz="4" w:space="0" w:color="auto"/>
              <w:right w:val="nil"/>
            </w:tcBorders>
            <w:shd w:val="clear" w:color="auto" w:fill="auto"/>
            <w:noWrap/>
            <w:vAlign w:val="center"/>
          </w:tcPr>
          <w:p w14:paraId="77CEF0DE"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w:t>
            </w:r>
          </w:p>
        </w:tc>
        <w:tc>
          <w:tcPr>
            <w:tcW w:w="1350" w:type="dxa"/>
            <w:tcBorders>
              <w:top w:val="nil"/>
              <w:left w:val="nil"/>
              <w:bottom w:val="single" w:sz="4" w:space="0" w:color="auto"/>
              <w:right w:val="nil"/>
            </w:tcBorders>
            <w:shd w:val="clear" w:color="auto" w:fill="auto"/>
            <w:noWrap/>
            <w:vAlign w:val="center"/>
          </w:tcPr>
          <w:p w14:paraId="58FB723A"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w:t>
            </w:r>
          </w:p>
        </w:tc>
        <w:tc>
          <w:tcPr>
            <w:tcW w:w="1333" w:type="dxa"/>
            <w:tcBorders>
              <w:top w:val="nil"/>
              <w:left w:val="nil"/>
              <w:bottom w:val="single" w:sz="4" w:space="0" w:color="auto"/>
              <w:right w:val="nil"/>
            </w:tcBorders>
            <w:shd w:val="clear" w:color="auto" w:fill="auto"/>
            <w:noWrap/>
            <w:vAlign w:val="center"/>
          </w:tcPr>
          <w:p w14:paraId="415A0565"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531" w:type="dxa"/>
            <w:tcBorders>
              <w:top w:val="nil"/>
              <w:left w:val="nil"/>
              <w:bottom w:val="single" w:sz="4" w:space="0" w:color="auto"/>
              <w:right w:val="nil"/>
            </w:tcBorders>
            <w:shd w:val="clear" w:color="auto" w:fill="auto"/>
            <w:noWrap/>
            <w:vAlign w:val="center"/>
          </w:tcPr>
          <w:p w14:paraId="358DC3DE"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453" w:type="dxa"/>
            <w:tcBorders>
              <w:top w:val="nil"/>
              <w:left w:val="nil"/>
              <w:bottom w:val="single" w:sz="4" w:space="0" w:color="auto"/>
              <w:right w:val="nil"/>
            </w:tcBorders>
            <w:shd w:val="clear" w:color="auto" w:fill="auto"/>
            <w:noWrap/>
            <w:vAlign w:val="center"/>
          </w:tcPr>
          <w:p w14:paraId="1A9FDCC4" w14:textId="77777777" w:rsidR="001A2456" w:rsidRPr="001E49F7" w:rsidRDefault="001A2456" w:rsidP="00747FAC">
            <w:pPr>
              <w:spacing w:after="0" w:line="240" w:lineRule="auto"/>
              <w:jc w:val="center"/>
              <w:rPr>
                <w:rFonts w:eastAsia="Times New Roman"/>
                <w:color w:val="000000"/>
                <w:sz w:val="22"/>
                <w:szCs w:val="22"/>
                <w:lang w:eastAsia="nb-NO"/>
              </w:rPr>
            </w:pPr>
          </w:p>
        </w:tc>
        <w:tc>
          <w:tcPr>
            <w:tcW w:w="1030" w:type="dxa"/>
            <w:tcBorders>
              <w:top w:val="nil"/>
              <w:left w:val="nil"/>
              <w:bottom w:val="single" w:sz="4" w:space="0" w:color="auto"/>
              <w:right w:val="nil"/>
            </w:tcBorders>
            <w:vAlign w:val="center"/>
          </w:tcPr>
          <w:p w14:paraId="01E4F8C3"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990</w:t>
            </w:r>
          </w:p>
        </w:tc>
        <w:tc>
          <w:tcPr>
            <w:tcW w:w="810" w:type="dxa"/>
            <w:tcBorders>
              <w:top w:val="nil"/>
              <w:left w:val="nil"/>
              <w:bottom w:val="single" w:sz="4" w:space="0" w:color="auto"/>
              <w:right w:val="nil"/>
            </w:tcBorders>
            <w:vAlign w:val="center"/>
          </w:tcPr>
          <w:p w14:paraId="48281519"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w:t>
            </w:r>
          </w:p>
        </w:tc>
        <w:tc>
          <w:tcPr>
            <w:tcW w:w="1135" w:type="dxa"/>
            <w:tcBorders>
              <w:top w:val="nil"/>
              <w:left w:val="nil"/>
              <w:bottom w:val="single" w:sz="4" w:space="0" w:color="auto"/>
              <w:right w:val="nil"/>
            </w:tcBorders>
            <w:shd w:val="clear" w:color="auto" w:fill="auto"/>
            <w:noWrap/>
            <w:vAlign w:val="center"/>
          </w:tcPr>
          <w:p w14:paraId="44BE4C22"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14</w:t>
            </w:r>
          </w:p>
        </w:tc>
        <w:tc>
          <w:tcPr>
            <w:tcW w:w="1407" w:type="dxa"/>
            <w:tcBorders>
              <w:top w:val="nil"/>
              <w:left w:val="nil"/>
              <w:bottom w:val="single" w:sz="4" w:space="0" w:color="auto"/>
              <w:right w:val="nil"/>
            </w:tcBorders>
            <w:shd w:val="clear" w:color="auto" w:fill="auto"/>
            <w:noWrap/>
            <w:vAlign w:val="center"/>
          </w:tcPr>
          <w:p w14:paraId="537B7BFB" w14:textId="77777777" w:rsidR="001A2456" w:rsidRPr="001E49F7" w:rsidRDefault="001A2456" w:rsidP="00747FAC">
            <w:pPr>
              <w:spacing w:after="0" w:line="240" w:lineRule="auto"/>
              <w:jc w:val="center"/>
              <w:rPr>
                <w:rFonts w:eastAsia="Times New Roman"/>
                <w:color w:val="000000"/>
                <w:sz w:val="22"/>
                <w:szCs w:val="22"/>
                <w:lang w:eastAsia="nb-NO"/>
              </w:rPr>
            </w:pPr>
            <w:r w:rsidRPr="001E49F7">
              <w:rPr>
                <w:rFonts w:eastAsia="Times New Roman"/>
                <w:color w:val="000000"/>
                <w:sz w:val="22"/>
                <w:szCs w:val="22"/>
                <w:lang w:eastAsia="nb-NO"/>
              </w:rPr>
              <w:t>10</w:t>
            </w:r>
          </w:p>
        </w:tc>
      </w:tr>
    </w:tbl>
    <w:p w14:paraId="3AF771E2" w14:textId="77777777" w:rsidR="001A2456" w:rsidRPr="000577B2" w:rsidRDefault="001A2456" w:rsidP="001D6FFF">
      <w:pPr>
        <w:pStyle w:val="Jacobnormal"/>
        <w:sectPr w:rsidR="001A2456" w:rsidRPr="000577B2" w:rsidSect="001A2456">
          <w:pgSz w:w="16838" w:h="11906" w:orient="landscape"/>
          <w:pgMar w:top="1417" w:right="1417" w:bottom="1417" w:left="1417" w:header="708" w:footer="708" w:gutter="0"/>
          <w:cols w:space="708"/>
          <w:docGrid w:linePitch="360"/>
        </w:sectPr>
      </w:pPr>
    </w:p>
    <w:p w14:paraId="38C72877" w14:textId="32AFDF2F" w:rsidR="001D6FFF" w:rsidRPr="000577B2" w:rsidRDefault="00C91099" w:rsidP="00C91099">
      <w:pPr>
        <w:pStyle w:val="Jacoboverskrift1"/>
      </w:pPr>
      <w:bookmarkStart w:id="8" w:name="_Toc496794577"/>
      <w:r w:rsidRPr="000577B2">
        <w:lastRenderedPageBreak/>
        <w:t xml:space="preserve">Appendix III – </w:t>
      </w:r>
      <w:r w:rsidR="00A74B6A">
        <w:t>A selection of c</w:t>
      </w:r>
      <w:r w:rsidRPr="000577B2">
        <w:t xml:space="preserve">ountry-specific </w:t>
      </w:r>
      <w:r w:rsidR="00747FAC" w:rsidRPr="000577B2">
        <w:t>sources</w:t>
      </w:r>
      <w:r w:rsidRPr="000577B2">
        <w:t xml:space="preserve"> on RTV in Western Europe</w:t>
      </w:r>
      <w:bookmarkEnd w:id="8"/>
      <w:r w:rsidRPr="000577B2">
        <w:t xml:space="preserve"> </w:t>
      </w:r>
    </w:p>
    <w:p w14:paraId="54D5FF10" w14:textId="77777777" w:rsidR="00DD613A" w:rsidRDefault="00DD613A" w:rsidP="00747FAC">
      <w:pPr>
        <w:pStyle w:val="Jacobnormal"/>
        <w:spacing w:line="240" w:lineRule="auto"/>
        <w:rPr>
          <w:b/>
        </w:rPr>
      </w:pPr>
    </w:p>
    <w:p w14:paraId="004F2A9A" w14:textId="7788C40C" w:rsidR="00747FAC" w:rsidRPr="000577B2" w:rsidRDefault="00747FAC" w:rsidP="00747FAC">
      <w:pPr>
        <w:pStyle w:val="Jacobnormal"/>
        <w:spacing w:line="240" w:lineRule="auto"/>
        <w:rPr>
          <w:b/>
        </w:rPr>
      </w:pPr>
      <w:r w:rsidRPr="000577B2">
        <w:rPr>
          <w:b/>
        </w:rPr>
        <w:t>Austria</w:t>
      </w:r>
    </w:p>
    <w:p w14:paraId="49F1A0DD" w14:textId="64084DC0" w:rsidR="00747FAC" w:rsidRPr="000577B2" w:rsidRDefault="00747FAC" w:rsidP="00747FAC">
      <w:pPr>
        <w:pStyle w:val="Jacobnormal"/>
        <w:spacing w:line="240" w:lineRule="auto"/>
        <w:ind w:left="567" w:hanging="567"/>
        <w:rPr>
          <w:rStyle w:val="Hyperlink"/>
        </w:rPr>
      </w:pPr>
      <w:r w:rsidRPr="000577B2">
        <w:t xml:space="preserve">Austrian Security Service, annual hate crime reports, available at: </w:t>
      </w:r>
      <w:hyperlink r:id="rId21" w:history="1">
        <w:r w:rsidRPr="000577B2">
          <w:rPr>
            <w:rStyle w:val="Hyperlink"/>
          </w:rPr>
          <w:t>http://www.bmi.gv.at/cms/bmi_verfassungsschutz/</w:t>
        </w:r>
      </w:hyperlink>
      <w:r w:rsidR="00C82201" w:rsidRPr="000577B2">
        <w:rPr>
          <w:rStyle w:val="Hyperlink"/>
        </w:rPr>
        <w:t>.</w:t>
      </w:r>
    </w:p>
    <w:p w14:paraId="7E07502B" w14:textId="423C6C2B" w:rsidR="000465EA" w:rsidRPr="000577B2" w:rsidRDefault="000465EA" w:rsidP="000465EA">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Austria”, available at: </w:t>
      </w:r>
      <w:hyperlink r:id="rId22" w:history="1">
        <w:r w:rsidRPr="000577B2">
          <w:rPr>
            <w:rStyle w:val="Hyperlink"/>
          </w:rPr>
          <w:t>http://cms.horus.be/files/99935/MediaArchive/publications/Racist%20Violence%20Report%20Austria%20-%20online.pdf</w:t>
        </w:r>
      </w:hyperlink>
      <w:r w:rsidRPr="000577B2">
        <w:t>.</w:t>
      </w:r>
    </w:p>
    <w:p w14:paraId="230E787A" w14:textId="5E7146F5"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23" w:history="1">
        <w:r w:rsidRPr="000577B2">
          <w:rPr>
            <w:rStyle w:val="Hyperlink"/>
          </w:rPr>
          <w:t>http://fra.europa.eu/en/country-data/2012/racist-violence-15-eu-member-states</w:t>
        </w:r>
      </w:hyperlink>
      <w:r w:rsidRPr="000577B2">
        <w:t xml:space="preserve">. </w:t>
      </w:r>
    </w:p>
    <w:p w14:paraId="400D5499" w14:textId="761636DE" w:rsidR="00747FAC" w:rsidRPr="000577B2" w:rsidRDefault="00747FAC" w:rsidP="00747FAC">
      <w:pPr>
        <w:pStyle w:val="Jacobnormal"/>
        <w:spacing w:line="240" w:lineRule="auto"/>
        <w:ind w:left="567" w:hanging="567"/>
        <w:rPr>
          <w:color w:val="0000FF" w:themeColor="hyperlink"/>
          <w:u w:val="single"/>
        </w:rPr>
      </w:pPr>
      <w:r w:rsidRPr="000577B2">
        <w:t xml:space="preserve">European Commission against Racism and Intolerance (ECRI), country monitoring reports, available at: </w:t>
      </w:r>
      <w:hyperlink r:id="rId24" w:history="1">
        <w:r w:rsidRPr="000577B2">
          <w:rPr>
            <w:rStyle w:val="Hyperlink"/>
          </w:rPr>
          <w:t>http://www.coe.int/t/dghl/monitoring/ecri/library/publications.asp</w:t>
        </w:r>
      </w:hyperlink>
      <w:r w:rsidR="00C82201" w:rsidRPr="000577B2">
        <w:rPr>
          <w:rStyle w:val="Hyperlink"/>
        </w:rPr>
        <w:t>.</w:t>
      </w:r>
    </w:p>
    <w:p w14:paraId="5B4C4F41" w14:textId="1A62E200" w:rsidR="00935AA1" w:rsidRPr="000577B2" w:rsidRDefault="00747FAC" w:rsidP="00935AA1">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shadow reports on racism in Europe, available at: </w:t>
      </w:r>
      <w:hyperlink r:id="rId25" w:history="1">
        <w:r w:rsidRPr="000577B2">
          <w:rPr>
            <w:rStyle w:val="Hyperlink"/>
          </w:rPr>
          <w:t>http://www.enar-eu.org/Shadow-Reports-on-racism-in-Europe-203</w:t>
        </w:r>
      </w:hyperlink>
      <w:r w:rsidR="00C82201" w:rsidRPr="000577B2">
        <w:rPr>
          <w:rStyle w:val="Hyperlink"/>
        </w:rPr>
        <w:t>.</w:t>
      </w:r>
    </w:p>
    <w:p w14:paraId="3004E9A7" w14:textId="77777777" w:rsidR="00DD613A" w:rsidRDefault="00DD613A" w:rsidP="00935AA1">
      <w:pPr>
        <w:pStyle w:val="Jacobnormal"/>
        <w:spacing w:line="240" w:lineRule="auto"/>
        <w:ind w:left="567" w:hanging="567"/>
        <w:rPr>
          <w:b/>
        </w:rPr>
      </w:pPr>
    </w:p>
    <w:p w14:paraId="67715E0D" w14:textId="40D7C09C" w:rsidR="00935AA1" w:rsidRPr="000577B2" w:rsidRDefault="00747FAC" w:rsidP="00935AA1">
      <w:pPr>
        <w:pStyle w:val="Jacobnormal"/>
        <w:spacing w:line="240" w:lineRule="auto"/>
        <w:ind w:left="567" w:hanging="567"/>
        <w:rPr>
          <w:color w:val="0000FF" w:themeColor="hyperlink"/>
          <w:u w:val="single"/>
        </w:rPr>
      </w:pPr>
      <w:r w:rsidRPr="000577B2">
        <w:rPr>
          <w:b/>
        </w:rPr>
        <w:t>Belgium</w:t>
      </w:r>
    </w:p>
    <w:p w14:paraId="0919C9A3" w14:textId="797C9D28" w:rsidR="00C2321A" w:rsidRPr="000577B2" w:rsidRDefault="00935AA1" w:rsidP="00935AA1">
      <w:pPr>
        <w:pStyle w:val="Jacobnormal"/>
        <w:spacing w:line="240" w:lineRule="auto"/>
        <w:ind w:left="567" w:hanging="567"/>
      </w:pPr>
      <w:proofErr w:type="spellStart"/>
      <w:r w:rsidRPr="000577B2">
        <w:t>Interfederal</w:t>
      </w:r>
      <w:proofErr w:type="spellEnd"/>
      <w:r w:rsidRPr="000577B2">
        <w:t xml:space="preserve"> </w:t>
      </w:r>
      <w:proofErr w:type="spellStart"/>
      <w:r w:rsidRPr="000577B2">
        <w:t>Center</w:t>
      </w:r>
      <w:proofErr w:type="spellEnd"/>
      <w:r w:rsidRPr="000577B2">
        <w:t xml:space="preserve"> for Equal Opportunities</w:t>
      </w:r>
      <w:r w:rsidR="00C2321A" w:rsidRPr="000577B2">
        <w:t xml:space="preserve">, “Discrimination, </w:t>
      </w:r>
      <w:proofErr w:type="spellStart"/>
      <w:r w:rsidR="00C2321A" w:rsidRPr="000577B2">
        <w:t>Diversité</w:t>
      </w:r>
      <w:proofErr w:type="spellEnd"/>
      <w:r w:rsidR="00C2321A" w:rsidRPr="000577B2">
        <w:t xml:space="preserve">, Rapport </w:t>
      </w:r>
      <w:proofErr w:type="spellStart"/>
      <w:r w:rsidR="00C2321A" w:rsidRPr="000577B2">
        <w:t>Annuel</w:t>
      </w:r>
      <w:proofErr w:type="spellEnd"/>
      <w:r w:rsidR="00C2321A" w:rsidRPr="000577B2">
        <w:t xml:space="preserve"> 2011”, available at</w:t>
      </w:r>
      <w:r w:rsidR="00747FAC" w:rsidRPr="000577B2">
        <w:t>:</w:t>
      </w:r>
      <w:r w:rsidRPr="000577B2">
        <w:t xml:space="preserve"> </w:t>
      </w:r>
      <w:hyperlink r:id="rId26" w:history="1">
        <w:r w:rsidR="00C2321A" w:rsidRPr="000577B2">
          <w:rPr>
            <w:rStyle w:val="Hyperlink"/>
          </w:rPr>
          <w:t>http://unia.be/fr/publications-et-statistiques/publications/rapport-annuel-2011-discrimination-diversite</w:t>
        </w:r>
      </w:hyperlink>
      <w:proofErr w:type="gramStart"/>
      <w:r w:rsidR="00C2321A" w:rsidRPr="000577B2">
        <w:t xml:space="preserve"> </w:t>
      </w:r>
      <w:proofErr w:type="gramEnd"/>
      <w:r w:rsidR="00C2321A" w:rsidRPr="000577B2">
        <w:t xml:space="preserve"> </w:t>
      </w:r>
      <w:r w:rsidR="00C82201" w:rsidRPr="000577B2">
        <w:t>.</w:t>
      </w:r>
    </w:p>
    <w:p w14:paraId="536F4FFB" w14:textId="00F2FA77" w:rsidR="00747FAC" w:rsidRPr="000577B2" w:rsidRDefault="00747FAC" w:rsidP="00935AA1">
      <w:pPr>
        <w:pStyle w:val="Jacobnormal"/>
        <w:spacing w:line="240" w:lineRule="auto"/>
        <w:ind w:left="567" w:hanging="567"/>
        <w:rPr>
          <w:rStyle w:val="Hyperlink"/>
        </w:rPr>
      </w:pPr>
      <w:r w:rsidRPr="000577B2">
        <w:t>Anti-</w:t>
      </w:r>
      <w:proofErr w:type="spellStart"/>
      <w:r w:rsidRPr="000577B2">
        <w:t>Fascistisch</w:t>
      </w:r>
      <w:proofErr w:type="spellEnd"/>
      <w:r w:rsidRPr="000577B2">
        <w:t xml:space="preserve"> Front (AFF): </w:t>
      </w:r>
      <w:hyperlink r:id="rId27" w:history="1">
        <w:r w:rsidRPr="000577B2">
          <w:rPr>
            <w:rStyle w:val="Hyperlink"/>
          </w:rPr>
          <w:t>http://aff.skynetblogs.be/</w:t>
        </w:r>
      </w:hyperlink>
      <w:r w:rsidR="00C82201" w:rsidRPr="000577B2">
        <w:rPr>
          <w:rStyle w:val="Hyperlink"/>
        </w:rPr>
        <w:t>.</w:t>
      </w:r>
    </w:p>
    <w:p w14:paraId="047F6919" w14:textId="5C9D9664"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28" w:history="1">
        <w:r w:rsidRPr="000577B2">
          <w:rPr>
            <w:rStyle w:val="Hyperlink"/>
          </w:rPr>
          <w:t>http://fra.europa.eu/en/country-data/2012/racist-violence-15-eu-member-states</w:t>
        </w:r>
      </w:hyperlink>
      <w:r w:rsidRPr="000577B2">
        <w:t xml:space="preserve">. </w:t>
      </w:r>
    </w:p>
    <w:p w14:paraId="7C7BC2E2" w14:textId="48D9A5A7" w:rsidR="00935AA1" w:rsidRPr="000577B2" w:rsidRDefault="00935AA1" w:rsidP="00935AA1">
      <w:pPr>
        <w:pStyle w:val="Jacobnormal"/>
        <w:spacing w:line="240" w:lineRule="auto"/>
        <w:ind w:left="567" w:hanging="567"/>
        <w:rPr>
          <w:color w:val="0000FF" w:themeColor="hyperlink"/>
          <w:u w:val="single"/>
        </w:rPr>
      </w:pPr>
      <w:r w:rsidRPr="000577B2">
        <w:t xml:space="preserve">European Commission against Racism and Intolerance (ECRI), country monitoring reports, available at: </w:t>
      </w:r>
      <w:hyperlink r:id="rId29" w:history="1">
        <w:r w:rsidRPr="000577B2">
          <w:rPr>
            <w:rStyle w:val="Hyperlink"/>
          </w:rPr>
          <w:t>http://www.coe.int/t/dghl/monitoring/ecri/library/publications.asp</w:t>
        </w:r>
      </w:hyperlink>
      <w:r w:rsidR="00C82201" w:rsidRPr="000577B2">
        <w:rPr>
          <w:rStyle w:val="Hyperlink"/>
        </w:rPr>
        <w:t>.</w:t>
      </w:r>
    </w:p>
    <w:p w14:paraId="2D5B576D" w14:textId="55B3211F" w:rsidR="00C2321A" w:rsidRPr="000577B2" w:rsidRDefault="00935AA1" w:rsidP="00C2321A">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shadow reports on racism in Europe, available at: </w:t>
      </w:r>
      <w:hyperlink r:id="rId30" w:history="1">
        <w:r w:rsidRPr="000577B2">
          <w:rPr>
            <w:rStyle w:val="Hyperlink"/>
          </w:rPr>
          <w:t>http://www.enar-eu.org/Shadow-Reports-on-racism-in-Europe-203</w:t>
        </w:r>
      </w:hyperlink>
      <w:r w:rsidR="00C82201" w:rsidRPr="000577B2">
        <w:rPr>
          <w:rStyle w:val="Hyperlink"/>
        </w:rPr>
        <w:t>.</w:t>
      </w:r>
    </w:p>
    <w:p w14:paraId="3244C955" w14:textId="77777777" w:rsidR="00DD613A" w:rsidRDefault="00DD613A" w:rsidP="00C2321A">
      <w:pPr>
        <w:pStyle w:val="Jacobnormal"/>
        <w:spacing w:line="240" w:lineRule="auto"/>
        <w:ind w:left="567" w:hanging="567"/>
        <w:rPr>
          <w:b/>
        </w:rPr>
      </w:pPr>
    </w:p>
    <w:p w14:paraId="6454BFCF" w14:textId="202B255B" w:rsidR="00C2321A" w:rsidRPr="000577B2" w:rsidRDefault="00C2321A" w:rsidP="00C2321A">
      <w:pPr>
        <w:pStyle w:val="Jacobnormal"/>
        <w:spacing w:line="240" w:lineRule="auto"/>
        <w:ind w:left="567" w:hanging="567"/>
      </w:pPr>
      <w:r w:rsidRPr="000577B2">
        <w:rPr>
          <w:b/>
        </w:rPr>
        <w:t>Denmark</w:t>
      </w:r>
    </w:p>
    <w:p w14:paraId="3C635ED0" w14:textId="68BFF653" w:rsidR="00747FAC" w:rsidRPr="000577B2" w:rsidRDefault="00747FAC" w:rsidP="00C2321A">
      <w:pPr>
        <w:pStyle w:val="Jacobnormal"/>
        <w:spacing w:line="240" w:lineRule="auto"/>
        <w:ind w:left="567" w:hanging="567"/>
      </w:pPr>
      <w:r w:rsidRPr="000577B2">
        <w:t>Danish Secret Servi</w:t>
      </w:r>
      <w:r w:rsidR="00C2321A" w:rsidRPr="000577B2">
        <w:t>ce (PET), annual hate crime reports, available at:</w:t>
      </w:r>
      <w:r w:rsidRPr="000577B2">
        <w:t xml:space="preserve"> </w:t>
      </w:r>
      <w:hyperlink r:id="rId31" w:history="1">
        <w:r w:rsidRPr="000577B2">
          <w:rPr>
            <w:rStyle w:val="Hyperlink"/>
          </w:rPr>
          <w:t>https://www.pet.dk/Publikationer/RACI-indberetning.aspx</w:t>
        </w:r>
      </w:hyperlink>
      <w:r w:rsidR="00C82201" w:rsidRPr="000577B2">
        <w:t>.</w:t>
      </w:r>
    </w:p>
    <w:p w14:paraId="2759AB11" w14:textId="6E4946CC" w:rsidR="000465EA" w:rsidRPr="000577B2" w:rsidRDefault="000465EA" w:rsidP="000465EA">
      <w:pPr>
        <w:pStyle w:val="Jacobnormal"/>
        <w:spacing w:line="240" w:lineRule="auto"/>
        <w:ind w:left="567" w:hanging="567"/>
      </w:pPr>
      <w:r w:rsidRPr="000577B2">
        <w:lastRenderedPageBreak/>
        <w:t xml:space="preserve">European Monitoring Centre on Racism and Xenophobia (2005). “National Analytical Study on Racist Violence and Crime”, available at: </w:t>
      </w:r>
      <w:hyperlink r:id="rId32" w:history="1">
        <w:r w:rsidRPr="000577B2">
          <w:rPr>
            <w:rStyle w:val="Hyperlink"/>
          </w:rPr>
          <w:t>http://fra.europa.eu/en/country-data/2012/racist-violence-15-eu-member-states</w:t>
        </w:r>
      </w:hyperlink>
      <w:r w:rsidRPr="000577B2">
        <w:t xml:space="preserve">. </w:t>
      </w:r>
    </w:p>
    <w:p w14:paraId="0E18C40B" w14:textId="38480FC1" w:rsidR="00C2321A" w:rsidRPr="000577B2" w:rsidRDefault="00C2321A" w:rsidP="00C2321A">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Denmark”, available at: </w:t>
      </w:r>
      <w:hyperlink r:id="rId33" w:history="1">
        <w:r w:rsidRPr="000577B2">
          <w:rPr>
            <w:rStyle w:val="Hyperlink"/>
          </w:rPr>
          <w:t>http://cms.horus.be/files/99935/MediaArchive/Racist%20Violence%20Denmark%20-%20online.pdf</w:t>
        </w:r>
      </w:hyperlink>
      <w:r w:rsidR="00C82201" w:rsidRPr="000577B2">
        <w:t>.</w:t>
      </w:r>
    </w:p>
    <w:p w14:paraId="633E2A34" w14:textId="78A3A382" w:rsidR="00C2321A" w:rsidRPr="000577B2" w:rsidRDefault="00C2321A" w:rsidP="00C2321A">
      <w:pPr>
        <w:pStyle w:val="Jacobnormal"/>
        <w:spacing w:line="240" w:lineRule="auto"/>
        <w:ind w:left="567" w:hanging="567"/>
        <w:rPr>
          <w:rStyle w:val="Hyperlink"/>
        </w:rPr>
      </w:pPr>
      <w:r w:rsidRPr="000577B2">
        <w:t xml:space="preserve">European Commission against Racism and Intolerance (ECRI), country monitoring reports, available at: </w:t>
      </w:r>
      <w:hyperlink r:id="rId34" w:history="1">
        <w:r w:rsidRPr="000577B2">
          <w:rPr>
            <w:rStyle w:val="Hyperlink"/>
          </w:rPr>
          <w:t>http://www.coe.int/t/dghl/monitoring/ecri/library/publications.asp</w:t>
        </w:r>
      </w:hyperlink>
      <w:r w:rsidR="00C82201" w:rsidRPr="000577B2">
        <w:rPr>
          <w:rStyle w:val="Hyperlink"/>
        </w:rPr>
        <w:t>.</w:t>
      </w:r>
    </w:p>
    <w:p w14:paraId="3A049879" w14:textId="2D7BA67D" w:rsidR="00C2321A" w:rsidRPr="000577B2" w:rsidRDefault="00C2321A" w:rsidP="00C2321A">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shadow reports on racism in Europe, available at: </w:t>
      </w:r>
      <w:hyperlink r:id="rId35" w:history="1">
        <w:r w:rsidRPr="000577B2">
          <w:rPr>
            <w:rStyle w:val="Hyperlink"/>
          </w:rPr>
          <w:t>http://www.enar-eu.org/Shadow-Reports-on-racism-in-Europe-203</w:t>
        </w:r>
      </w:hyperlink>
      <w:r w:rsidR="00C82201" w:rsidRPr="000577B2">
        <w:rPr>
          <w:rStyle w:val="Hyperlink"/>
        </w:rPr>
        <w:t>.</w:t>
      </w:r>
    </w:p>
    <w:p w14:paraId="5ED89462" w14:textId="0E51A4AE" w:rsidR="00D51869" w:rsidRPr="000544C7" w:rsidRDefault="00C2321A" w:rsidP="00D51869">
      <w:pPr>
        <w:pStyle w:val="Jacobnormal"/>
        <w:spacing w:line="240" w:lineRule="auto"/>
        <w:ind w:left="567" w:hanging="567"/>
        <w:rPr>
          <w:rStyle w:val="Hyperlink"/>
          <w:lang w:val="nb-NO"/>
        </w:rPr>
      </w:pPr>
      <w:r w:rsidRPr="000544C7">
        <w:rPr>
          <w:lang w:val="nb-NO"/>
        </w:rPr>
        <w:t xml:space="preserve">Larsen, Chris </w:t>
      </w:r>
      <w:proofErr w:type="spellStart"/>
      <w:r w:rsidRPr="000544C7">
        <w:rPr>
          <w:lang w:val="nb-NO"/>
        </w:rPr>
        <w:t>Holmsted</w:t>
      </w:r>
      <w:proofErr w:type="spellEnd"/>
      <w:r w:rsidRPr="000544C7">
        <w:rPr>
          <w:lang w:val="nb-NO"/>
        </w:rPr>
        <w:t xml:space="preserve"> (2012). “Politisk ekstremisme i Danmark”, </w:t>
      </w:r>
      <w:proofErr w:type="spellStart"/>
      <w:r w:rsidRPr="000544C7">
        <w:rPr>
          <w:lang w:val="nb-NO"/>
        </w:rPr>
        <w:t>University</w:t>
      </w:r>
      <w:proofErr w:type="spellEnd"/>
      <w:r w:rsidRPr="000544C7">
        <w:rPr>
          <w:lang w:val="nb-NO"/>
        </w:rPr>
        <w:t xml:space="preserve"> </w:t>
      </w:r>
      <w:proofErr w:type="spellStart"/>
      <w:r w:rsidRPr="000544C7">
        <w:rPr>
          <w:lang w:val="nb-NO"/>
        </w:rPr>
        <w:t>of</w:t>
      </w:r>
      <w:proofErr w:type="spellEnd"/>
      <w:r w:rsidRPr="000544C7">
        <w:rPr>
          <w:lang w:val="nb-NO"/>
        </w:rPr>
        <w:t xml:space="preserve"> Roskilde, </w:t>
      </w:r>
      <w:proofErr w:type="spellStart"/>
      <w:r w:rsidRPr="000544C7">
        <w:rPr>
          <w:lang w:val="nb-NO"/>
        </w:rPr>
        <w:t>avialable</w:t>
      </w:r>
      <w:proofErr w:type="spellEnd"/>
      <w:r w:rsidRPr="000544C7">
        <w:rPr>
          <w:lang w:val="nb-NO"/>
        </w:rPr>
        <w:t xml:space="preserve"> at: </w:t>
      </w:r>
      <w:hyperlink r:id="rId36" w:history="1">
        <w:r w:rsidRPr="000544C7">
          <w:rPr>
            <w:rStyle w:val="Hyperlink"/>
            <w:lang w:val="nb-NO"/>
          </w:rPr>
          <w:t>http://libsoc.dk/wp-content/uploads/2014/09/Politisk-ekstremisme-i-Danmark-april-2012.pdf</w:t>
        </w:r>
      </w:hyperlink>
      <w:r w:rsidR="00C82201" w:rsidRPr="000544C7">
        <w:rPr>
          <w:rStyle w:val="Hyperlink"/>
          <w:lang w:val="nb-NO"/>
        </w:rPr>
        <w:t>.</w:t>
      </w:r>
    </w:p>
    <w:p w14:paraId="438F141F" w14:textId="58F2D696" w:rsidR="00D51869" w:rsidRPr="000577B2" w:rsidRDefault="00D51869" w:rsidP="00D51869">
      <w:pPr>
        <w:pStyle w:val="Jacobnormal"/>
        <w:spacing w:line="240" w:lineRule="auto"/>
        <w:ind w:left="567" w:hanging="567"/>
      </w:pPr>
      <w:proofErr w:type="spellStart"/>
      <w:r w:rsidRPr="000577B2">
        <w:t>Karpantschof</w:t>
      </w:r>
      <w:proofErr w:type="spellEnd"/>
      <w:r w:rsidRPr="000577B2">
        <w:t xml:space="preserve">, R. &amp; </w:t>
      </w:r>
      <w:proofErr w:type="spellStart"/>
      <w:r w:rsidRPr="000577B2">
        <w:t>Mikkelsen</w:t>
      </w:r>
      <w:proofErr w:type="spellEnd"/>
      <w:r w:rsidRPr="000577B2">
        <w:t xml:space="preserve">, F. (2016). </w:t>
      </w:r>
      <w:r w:rsidR="00773143">
        <w:t>“</w:t>
      </w:r>
      <w:r w:rsidRPr="000577B2">
        <w:t>The Rise and Transformation of the Radical Right Movement in Denmark, 1980–2015</w:t>
      </w:r>
      <w:r w:rsidR="00773143">
        <w:t>”</w:t>
      </w:r>
      <w:r w:rsidRPr="000577B2">
        <w:t xml:space="preserve">. </w:t>
      </w:r>
      <w:r w:rsidRPr="000577B2">
        <w:rPr>
          <w:i/>
        </w:rPr>
        <w:t>Studies in Conflict &amp; Terrorism</w:t>
      </w:r>
      <w:r w:rsidRPr="000577B2">
        <w:t xml:space="preserve">, advance online publication, available at: </w:t>
      </w:r>
      <w:hyperlink r:id="rId37" w:history="1">
        <w:r w:rsidRPr="000577B2">
          <w:rPr>
            <w:rStyle w:val="Hyperlink"/>
          </w:rPr>
          <w:t>http://www.tandfonline.com/doi/full/10.1080/1057610X.2016.1234313</w:t>
        </w:r>
      </w:hyperlink>
      <w:r w:rsidR="00C82201" w:rsidRPr="000577B2">
        <w:t>.</w:t>
      </w:r>
    </w:p>
    <w:p w14:paraId="64E50170" w14:textId="77777777" w:rsidR="00256B37" w:rsidRPr="007B0E49" w:rsidRDefault="00256B37" w:rsidP="00256B37">
      <w:pPr>
        <w:pStyle w:val="Jacobnormal"/>
        <w:spacing w:line="240" w:lineRule="auto"/>
        <w:ind w:left="567" w:hanging="567"/>
        <w:rPr>
          <w:lang w:val="nb-NO"/>
        </w:rPr>
      </w:pPr>
      <w:r w:rsidRPr="007B0E49">
        <w:rPr>
          <w:lang w:val="nb-NO"/>
        </w:rPr>
        <w:t>Demos (2012), “</w:t>
      </w:r>
      <w:proofErr w:type="spellStart"/>
      <w:r w:rsidRPr="007B0E49">
        <w:rPr>
          <w:lang w:val="nb-NO"/>
        </w:rPr>
        <w:t>Højreesktremisme</w:t>
      </w:r>
      <w:proofErr w:type="spellEnd"/>
      <w:r w:rsidRPr="007B0E49">
        <w:rPr>
          <w:lang w:val="nb-NO"/>
        </w:rPr>
        <w:t xml:space="preserve">: Blodig Alvor,” Demos </w:t>
      </w:r>
      <w:proofErr w:type="spellStart"/>
      <w:r w:rsidRPr="007B0E49">
        <w:rPr>
          <w:lang w:val="nb-NO"/>
        </w:rPr>
        <w:t>Nyhedsbrev</w:t>
      </w:r>
      <w:proofErr w:type="spellEnd"/>
      <w:r w:rsidRPr="007B0E49">
        <w:rPr>
          <w:lang w:val="nb-NO"/>
        </w:rPr>
        <w:t xml:space="preserve"> No. 106, </w:t>
      </w:r>
      <w:proofErr w:type="spellStart"/>
      <w:r w:rsidRPr="007B0E49">
        <w:rPr>
          <w:lang w:val="nb-NO"/>
        </w:rPr>
        <w:t>available</w:t>
      </w:r>
      <w:proofErr w:type="spellEnd"/>
      <w:r w:rsidRPr="007B0E49">
        <w:rPr>
          <w:lang w:val="nb-NO"/>
        </w:rPr>
        <w:t xml:space="preserve"> at: </w:t>
      </w:r>
      <w:hyperlink r:id="rId38" w:history="1">
        <w:r w:rsidRPr="007B0E49">
          <w:rPr>
            <w:rStyle w:val="Hyperlink"/>
            <w:lang w:val="nb-NO"/>
          </w:rPr>
          <w:t>http://demos.dk/nyhedsbrev/1190-demos-nyhedsbrev-nr-106-hojreekstremisme-blodig-alvor-sp-431</w:t>
        </w:r>
      </w:hyperlink>
      <w:r w:rsidRPr="007B0E49">
        <w:rPr>
          <w:lang w:val="nb-NO"/>
        </w:rPr>
        <w:t xml:space="preserve">. </w:t>
      </w:r>
    </w:p>
    <w:p w14:paraId="7989A83B" w14:textId="0F4C8937" w:rsidR="00747FAC" w:rsidRPr="000577B2" w:rsidRDefault="00747FAC" w:rsidP="00D51869">
      <w:pPr>
        <w:pStyle w:val="Jacobnormal"/>
        <w:spacing w:line="240" w:lineRule="auto"/>
        <w:ind w:left="567" w:hanging="567"/>
      </w:pPr>
      <w:r w:rsidRPr="000577B2">
        <w:t xml:space="preserve">Bjørgo, T. (1997). </w:t>
      </w:r>
      <w:r w:rsidRPr="000577B2">
        <w:rPr>
          <w:i/>
          <w:iCs/>
        </w:rPr>
        <w:t xml:space="preserve">Racist and </w:t>
      </w:r>
      <w:r w:rsidR="00480814">
        <w:rPr>
          <w:i/>
          <w:iCs/>
        </w:rPr>
        <w:t>R</w:t>
      </w:r>
      <w:r w:rsidRPr="000577B2">
        <w:rPr>
          <w:i/>
          <w:iCs/>
        </w:rPr>
        <w:t>ight-</w:t>
      </w:r>
      <w:r w:rsidR="00480814">
        <w:rPr>
          <w:i/>
          <w:iCs/>
        </w:rPr>
        <w:t>W</w:t>
      </w:r>
      <w:r w:rsidRPr="000577B2">
        <w:rPr>
          <w:i/>
          <w:iCs/>
        </w:rPr>
        <w:t xml:space="preserve">ing </w:t>
      </w:r>
      <w:r w:rsidR="00480814">
        <w:rPr>
          <w:i/>
          <w:iCs/>
        </w:rPr>
        <w:t>V</w:t>
      </w:r>
      <w:r w:rsidRPr="000577B2">
        <w:rPr>
          <w:i/>
          <w:iCs/>
        </w:rPr>
        <w:t xml:space="preserve">iolence in Scandinavia: </w:t>
      </w:r>
      <w:r w:rsidR="00480814">
        <w:rPr>
          <w:i/>
          <w:iCs/>
        </w:rPr>
        <w:t>P</w:t>
      </w:r>
      <w:r w:rsidRPr="000577B2">
        <w:rPr>
          <w:i/>
          <w:iCs/>
        </w:rPr>
        <w:t xml:space="preserve">atterns, </w:t>
      </w:r>
      <w:r w:rsidR="00480814">
        <w:rPr>
          <w:i/>
          <w:iCs/>
        </w:rPr>
        <w:t>P</w:t>
      </w:r>
      <w:r w:rsidRPr="000577B2">
        <w:rPr>
          <w:i/>
          <w:iCs/>
        </w:rPr>
        <w:t xml:space="preserve">erpetrators, and </w:t>
      </w:r>
      <w:r w:rsidR="00480814">
        <w:rPr>
          <w:i/>
          <w:iCs/>
        </w:rPr>
        <w:t>R</w:t>
      </w:r>
      <w:r w:rsidRPr="000577B2">
        <w:rPr>
          <w:i/>
          <w:iCs/>
        </w:rPr>
        <w:t>esponses</w:t>
      </w:r>
      <w:r w:rsidRPr="000577B2">
        <w:t xml:space="preserve">. Oslo: </w:t>
      </w:r>
      <w:proofErr w:type="spellStart"/>
      <w:r w:rsidRPr="000577B2">
        <w:t>Tano</w:t>
      </w:r>
      <w:proofErr w:type="spellEnd"/>
      <w:r w:rsidRPr="000577B2">
        <w:t xml:space="preserve"> </w:t>
      </w:r>
      <w:proofErr w:type="spellStart"/>
      <w:r w:rsidRPr="000577B2">
        <w:t>Aschehoug</w:t>
      </w:r>
      <w:proofErr w:type="spellEnd"/>
      <w:r w:rsidR="00C82201" w:rsidRPr="000577B2">
        <w:t>.</w:t>
      </w:r>
    </w:p>
    <w:p w14:paraId="4299EE4C" w14:textId="77777777" w:rsidR="00DD613A" w:rsidRDefault="00DD613A" w:rsidP="00D51869">
      <w:pPr>
        <w:pStyle w:val="Jacobnormal"/>
        <w:spacing w:line="240" w:lineRule="auto"/>
        <w:ind w:left="567" w:hanging="567"/>
        <w:rPr>
          <w:b/>
        </w:rPr>
      </w:pPr>
    </w:p>
    <w:p w14:paraId="4009C2C5" w14:textId="15A6FF39" w:rsidR="00D51869" w:rsidRPr="000577B2" w:rsidRDefault="00D51869" w:rsidP="00D51869">
      <w:pPr>
        <w:pStyle w:val="Jacobnormal"/>
        <w:spacing w:line="240" w:lineRule="auto"/>
        <w:ind w:left="567" w:hanging="567"/>
      </w:pPr>
      <w:r w:rsidRPr="000577B2">
        <w:rPr>
          <w:b/>
        </w:rPr>
        <w:t>Finland</w:t>
      </w:r>
    </w:p>
    <w:p w14:paraId="13751A99" w14:textId="5A7E2A3E" w:rsidR="00F26AA0" w:rsidRPr="000577B2" w:rsidRDefault="00F26AA0" w:rsidP="00F26AA0">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Finland”, available at: </w:t>
      </w:r>
      <w:hyperlink r:id="rId39" w:history="1">
        <w:r w:rsidRPr="000577B2">
          <w:rPr>
            <w:rStyle w:val="Hyperlink"/>
          </w:rPr>
          <w:t>http://cms.horus.be/files/99935/MediaArchive/Racist%20Violence%20Report%20Finland%20-%20online.pdf</w:t>
        </w:r>
      </w:hyperlink>
      <w:r w:rsidR="00C82201" w:rsidRPr="000577B2">
        <w:t>.</w:t>
      </w:r>
      <w:r w:rsidRPr="000577B2">
        <w:t xml:space="preserve"> </w:t>
      </w:r>
    </w:p>
    <w:p w14:paraId="09619B35" w14:textId="5AD94DBE" w:rsidR="00F26AA0" w:rsidRPr="000577B2" w:rsidRDefault="00F26AA0" w:rsidP="00F26AA0">
      <w:pPr>
        <w:pStyle w:val="Jacobnormal"/>
        <w:spacing w:line="240" w:lineRule="auto"/>
        <w:ind w:left="567" w:hanging="567"/>
      </w:pPr>
      <w:proofErr w:type="spellStart"/>
      <w:r w:rsidRPr="000577B2">
        <w:t>Peutere</w:t>
      </w:r>
      <w:proofErr w:type="spellEnd"/>
      <w:r w:rsidRPr="000577B2">
        <w:t>, Lara (2009).</w:t>
      </w:r>
      <w:r w:rsidR="00747FAC" w:rsidRPr="000577B2">
        <w:t xml:space="preserve"> </w:t>
      </w:r>
      <w:r w:rsidR="00D51869" w:rsidRPr="000577B2">
        <w:t>“</w:t>
      </w:r>
      <w:r w:rsidR="00747FAC" w:rsidRPr="000577B2">
        <w:t xml:space="preserve">Hate Crimes Reported </w:t>
      </w:r>
      <w:proofErr w:type="gramStart"/>
      <w:r w:rsidR="00747FAC" w:rsidRPr="000577B2">
        <w:t>To The Police In</w:t>
      </w:r>
      <w:proofErr w:type="gramEnd"/>
      <w:r w:rsidR="00747FAC" w:rsidRPr="000577B2">
        <w:t xml:space="preserve"> Finland, 2008</w:t>
      </w:r>
      <w:r w:rsidR="00D51869" w:rsidRPr="000577B2">
        <w:t>”</w:t>
      </w:r>
      <w:r w:rsidR="00747FAC" w:rsidRPr="000577B2">
        <w:t xml:space="preserve">, </w:t>
      </w:r>
      <w:r w:rsidR="00D51869" w:rsidRPr="000577B2">
        <w:t xml:space="preserve">available at </w:t>
      </w:r>
      <w:hyperlink r:id="rId40" w:history="1">
        <w:r w:rsidR="00747FAC" w:rsidRPr="000577B2">
          <w:rPr>
            <w:rStyle w:val="Hyperlink"/>
          </w:rPr>
          <w:t>https://www.theseus.fi/bitstream/handle/10024/86712/raportti_85_en.pdf?sequence=1</w:t>
        </w:r>
      </w:hyperlink>
      <w:r w:rsidR="00C82201" w:rsidRPr="000577B2">
        <w:t>.</w:t>
      </w:r>
    </w:p>
    <w:p w14:paraId="5D8847AA" w14:textId="54C738E5"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41" w:history="1">
        <w:r w:rsidRPr="000577B2">
          <w:rPr>
            <w:rStyle w:val="Hyperlink"/>
          </w:rPr>
          <w:t>http://fra.europa.eu/en/country-data/2012/racist-violence-15-eu-member-states</w:t>
        </w:r>
      </w:hyperlink>
      <w:r w:rsidRPr="000577B2">
        <w:t xml:space="preserve">. </w:t>
      </w:r>
    </w:p>
    <w:p w14:paraId="231238C2" w14:textId="1AEF4A57" w:rsidR="00256B37" w:rsidRPr="007B0E49" w:rsidRDefault="00256B37" w:rsidP="00256B37">
      <w:pPr>
        <w:pStyle w:val="Jacobnormal"/>
        <w:spacing w:line="240" w:lineRule="auto"/>
        <w:ind w:left="567" w:hanging="567"/>
        <w:rPr>
          <w:lang w:val="nb-NO"/>
        </w:rPr>
      </w:pPr>
      <w:r w:rsidRPr="007B0E49">
        <w:rPr>
          <w:lang w:val="nb-NO"/>
        </w:rPr>
        <w:t>EXPO (2012). “</w:t>
      </w:r>
      <w:proofErr w:type="spellStart"/>
      <w:r w:rsidRPr="007B0E49">
        <w:rPr>
          <w:lang w:val="nb-NO"/>
        </w:rPr>
        <w:t>Organiserad</w:t>
      </w:r>
      <w:proofErr w:type="spellEnd"/>
      <w:r w:rsidRPr="007B0E49">
        <w:rPr>
          <w:lang w:val="nb-NO"/>
        </w:rPr>
        <w:t xml:space="preserve"> </w:t>
      </w:r>
      <w:proofErr w:type="spellStart"/>
      <w:r w:rsidRPr="007B0E49">
        <w:rPr>
          <w:lang w:val="nb-NO"/>
        </w:rPr>
        <w:t>intolerans</w:t>
      </w:r>
      <w:proofErr w:type="spellEnd"/>
      <w:r w:rsidRPr="007B0E49">
        <w:rPr>
          <w:lang w:val="nb-NO"/>
        </w:rPr>
        <w:t xml:space="preserve"> i Finland </w:t>
      </w:r>
      <w:proofErr w:type="spellStart"/>
      <w:r w:rsidRPr="007B0E49">
        <w:rPr>
          <w:lang w:val="nb-NO"/>
        </w:rPr>
        <w:t>och</w:t>
      </w:r>
      <w:proofErr w:type="spellEnd"/>
      <w:r w:rsidRPr="007B0E49">
        <w:rPr>
          <w:lang w:val="nb-NO"/>
        </w:rPr>
        <w:t xml:space="preserve"> Sverige”, </w:t>
      </w:r>
      <w:proofErr w:type="spellStart"/>
      <w:r w:rsidRPr="007B0E49">
        <w:rPr>
          <w:lang w:val="nb-NO"/>
        </w:rPr>
        <w:t>available</w:t>
      </w:r>
      <w:proofErr w:type="spellEnd"/>
      <w:r w:rsidRPr="007B0E49">
        <w:rPr>
          <w:lang w:val="nb-NO"/>
        </w:rPr>
        <w:t xml:space="preserve"> at: </w:t>
      </w:r>
      <w:hyperlink r:id="rId42" w:history="1">
        <w:r w:rsidRPr="007B0E49">
          <w:rPr>
            <w:rStyle w:val="Hyperlink"/>
            <w:lang w:val="nb-NO"/>
          </w:rPr>
          <w:t>http://expo.se/www/download/Organiserad%20intolerans%20i%20Finland%20och%20Sverige_SLUTLIG.pdf</w:t>
        </w:r>
      </w:hyperlink>
      <w:r w:rsidRPr="007B0E49">
        <w:rPr>
          <w:rStyle w:val="Hyperlink"/>
          <w:lang w:val="nb-NO"/>
        </w:rPr>
        <w:t>.</w:t>
      </w:r>
      <w:r w:rsidRPr="007B0E49">
        <w:rPr>
          <w:lang w:val="nb-NO"/>
        </w:rPr>
        <w:t xml:space="preserve"> </w:t>
      </w:r>
    </w:p>
    <w:p w14:paraId="32B98F68" w14:textId="46C56ECF" w:rsidR="00F26AA0" w:rsidRPr="000577B2" w:rsidRDefault="00AC022B" w:rsidP="00F26AA0">
      <w:pPr>
        <w:pStyle w:val="Jacobnormal"/>
        <w:spacing w:line="240" w:lineRule="auto"/>
        <w:ind w:left="567" w:hanging="567"/>
      </w:pPr>
      <w:proofErr w:type="spellStart"/>
      <w:r w:rsidRPr="000577B2">
        <w:t>Pekonen</w:t>
      </w:r>
      <w:proofErr w:type="spellEnd"/>
      <w:r w:rsidRPr="000577B2">
        <w:t xml:space="preserve"> (ed.)</w:t>
      </w:r>
      <w:r w:rsidR="00F26AA0" w:rsidRPr="000577B2">
        <w:t xml:space="preserve"> (1999).</w:t>
      </w:r>
      <w:r w:rsidRPr="000577B2">
        <w:t xml:space="preserve"> </w:t>
      </w:r>
      <w:r w:rsidRPr="004115DA">
        <w:rPr>
          <w:i/>
        </w:rPr>
        <w:t>The New Radical Right in Finland</w:t>
      </w:r>
      <w:r w:rsidR="00F26AA0" w:rsidRPr="000577B2">
        <w:t>,</w:t>
      </w:r>
      <w:r w:rsidRPr="000577B2">
        <w:t xml:space="preserve"> </w:t>
      </w:r>
      <w:proofErr w:type="gramStart"/>
      <w:r w:rsidRPr="000577B2">
        <w:t>The</w:t>
      </w:r>
      <w:proofErr w:type="gramEnd"/>
      <w:r w:rsidRPr="000577B2">
        <w:t xml:space="preserve"> Finnish Political Science Association</w:t>
      </w:r>
      <w:r w:rsidR="00F26AA0" w:rsidRPr="000577B2">
        <w:t>.</w:t>
      </w:r>
      <w:r w:rsidRPr="000577B2">
        <w:t xml:space="preserve"> </w:t>
      </w:r>
    </w:p>
    <w:p w14:paraId="664ED7D6" w14:textId="79BC9330" w:rsidR="00F26AA0" w:rsidRPr="000577B2" w:rsidRDefault="00F26AA0" w:rsidP="00F26AA0">
      <w:pPr>
        <w:pStyle w:val="Jacobnormal"/>
        <w:spacing w:line="240" w:lineRule="auto"/>
        <w:ind w:left="567" w:hanging="567"/>
      </w:pPr>
      <w:r w:rsidRPr="000577B2">
        <w:t xml:space="preserve">Virtanen, T. (1999). “Racist Violence from the Part of Skinheads: The Expression of Hate in Finland”, in </w:t>
      </w:r>
      <w:r w:rsidRPr="004115DA">
        <w:rPr>
          <w:i/>
        </w:rPr>
        <w:t xml:space="preserve">Youth, Racist Violence and Anti-racist </w:t>
      </w:r>
      <w:proofErr w:type="gramStart"/>
      <w:r w:rsidRPr="004115DA">
        <w:rPr>
          <w:i/>
        </w:rPr>
        <w:t>Responses  in</w:t>
      </w:r>
      <w:proofErr w:type="gramEnd"/>
      <w:r w:rsidRPr="004115DA">
        <w:rPr>
          <w:i/>
        </w:rPr>
        <w:t xml:space="preserve"> the Nordic Countries</w:t>
      </w:r>
      <w:r w:rsidRPr="000577B2">
        <w:t xml:space="preserve">. </w:t>
      </w:r>
      <w:r w:rsidRPr="000577B2">
        <w:lastRenderedPageBreak/>
        <w:t xml:space="preserve">Helsinki: The Finnish Youth Research Society, available at </w:t>
      </w:r>
      <w:hyperlink r:id="rId43" w:history="1">
        <w:r w:rsidRPr="000577B2">
          <w:rPr>
            <w:rStyle w:val="Hyperlink"/>
          </w:rPr>
          <w:t>http://www.nuorisotutkimusseura.fi/images/julkaisuja/virtanen/1/1.html</w:t>
        </w:r>
      </w:hyperlink>
      <w:r w:rsidR="00C82201" w:rsidRPr="000577B2">
        <w:t>.</w:t>
      </w:r>
      <w:r w:rsidRPr="000577B2">
        <w:t xml:space="preserve"> </w:t>
      </w:r>
    </w:p>
    <w:p w14:paraId="08EFF260" w14:textId="2B953484" w:rsidR="00F26AA0" w:rsidRPr="000577B2" w:rsidRDefault="00F26AA0" w:rsidP="00F26AA0">
      <w:pPr>
        <w:pStyle w:val="Jacobnormal"/>
        <w:spacing w:line="240" w:lineRule="auto"/>
        <w:ind w:left="567" w:hanging="567"/>
        <w:rPr>
          <w:rStyle w:val="Hyperlink"/>
        </w:rPr>
      </w:pPr>
      <w:r w:rsidRPr="000577B2">
        <w:t xml:space="preserve">European Commission against Racism and Intolerance (ECRI), country monitoring reports, available at: </w:t>
      </w:r>
      <w:hyperlink r:id="rId44" w:history="1">
        <w:r w:rsidRPr="000577B2">
          <w:rPr>
            <w:rStyle w:val="Hyperlink"/>
          </w:rPr>
          <w:t>http://www.coe.int/t/dghl/monitoring/ecri/library/publications.asp</w:t>
        </w:r>
      </w:hyperlink>
      <w:r w:rsidR="00C82201" w:rsidRPr="000577B2">
        <w:rPr>
          <w:rStyle w:val="Hyperlink"/>
        </w:rPr>
        <w:t>.</w:t>
      </w:r>
    </w:p>
    <w:p w14:paraId="50D4AEB7" w14:textId="502528F6" w:rsidR="00F26AA0" w:rsidRPr="000577B2" w:rsidRDefault="00F26AA0" w:rsidP="00F26AA0">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shadow reports on racism in Europe, available at: </w:t>
      </w:r>
      <w:hyperlink r:id="rId45" w:history="1">
        <w:r w:rsidRPr="000577B2">
          <w:rPr>
            <w:rStyle w:val="Hyperlink"/>
          </w:rPr>
          <w:t>http://www.enar-eu.org/Shadow-Reports-on-racism-in-Europe-203</w:t>
        </w:r>
      </w:hyperlink>
      <w:r w:rsidR="00C82201" w:rsidRPr="000577B2">
        <w:rPr>
          <w:rStyle w:val="Hyperlink"/>
        </w:rPr>
        <w:t>.</w:t>
      </w:r>
    </w:p>
    <w:p w14:paraId="2D90F2B6" w14:textId="77777777" w:rsidR="00256B37" w:rsidRDefault="00256B37" w:rsidP="00F26AA0">
      <w:pPr>
        <w:pStyle w:val="Jacobnormal"/>
        <w:spacing w:line="240" w:lineRule="auto"/>
        <w:ind w:left="567" w:hanging="567"/>
        <w:rPr>
          <w:b/>
        </w:rPr>
      </w:pPr>
    </w:p>
    <w:p w14:paraId="7053CD37" w14:textId="0B1130FC" w:rsidR="00F26AA0" w:rsidRPr="000577B2" w:rsidRDefault="00747FAC" w:rsidP="00F26AA0">
      <w:pPr>
        <w:pStyle w:val="Jacobnormal"/>
        <w:spacing w:line="240" w:lineRule="auto"/>
        <w:ind w:left="567" w:hanging="567"/>
      </w:pPr>
      <w:r w:rsidRPr="000577B2">
        <w:rPr>
          <w:b/>
        </w:rPr>
        <w:t>France</w:t>
      </w:r>
    </w:p>
    <w:p w14:paraId="32273247" w14:textId="6A2F6373" w:rsidR="00F26AA0" w:rsidRPr="000577B2" w:rsidRDefault="00747FAC" w:rsidP="00F26AA0">
      <w:pPr>
        <w:pStyle w:val="Jacobnormal"/>
        <w:spacing w:line="240" w:lineRule="auto"/>
        <w:ind w:left="567" w:hanging="567"/>
      </w:pPr>
      <w:r w:rsidRPr="000577B2">
        <w:t xml:space="preserve">La Commission </w:t>
      </w:r>
      <w:proofErr w:type="spellStart"/>
      <w:r w:rsidRPr="000577B2">
        <w:t>nationale</w:t>
      </w:r>
      <w:proofErr w:type="spellEnd"/>
      <w:r w:rsidRPr="000577B2">
        <w:t xml:space="preserve"> consultative des droits de </w:t>
      </w:r>
      <w:proofErr w:type="spellStart"/>
      <w:r w:rsidRPr="000577B2">
        <w:t>l’homme</w:t>
      </w:r>
      <w:proofErr w:type="spellEnd"/>
      <w:r w:rsidRPr="000577B2">
        <w:t xml:space="preserve"> (CNCDH), </w:t>
      </w:r>
      <w:r w:rsidR="00F26AA0" w:rsidRPr="000577B2">
        <w:t>annual hate crime reports, available at:</w:t>
      </w:r>
      <w:r w:rsidRPr="000577B2">
        <w:t xml:space="preserve"> </w:t>
      </w:r>
      <w:hyperlink r:id="rId46" w:history="1">
        <w:r w:rsidRPr="000577B2">
          <w:rPr>
            <w:rStyle w:val="Hyperlink"/>
          </w:rPr>
          <w:t>http://www.cncdh.fr/fr/publications/?f[0]=im_field_theme%3A139&amp;f[1]=im_field_type_de_document%3A147</w:t>
        </w:r>
      </w:hyperlink>
      <w:r w:rsidR="00C82201" w:rsidRPr="000577B2">
        <w:rPr>
          <w:rStyle w:val="Hyperlink"/>
        </w:rPr>
        <w:t>.</w:t>
      </w:r>
      <w:r w:rsidRPr="000577B2">
        <w:t xml:space="preserve"> </w:t>
      </w:r>
    </w:p>
    <w:p w14:paraId="36C55D29" w14:textId="59F63D0B" w:rsidR="00F26AA0" w:rsidRPr="000577B2" w:rsidRDefault="00F26AA0" w:rsidP="00F26AA0">
      <w:pPr>
        <w:pStyle w:val="Jacobnormal"/>
        <w:spacing w:line="240" w:lineRule="auto"/>
        <w:ind w:left="567" w:hanging="567"/>
        <w:rPr>
          <w:rStyle w:val="Hyperlink"/>
        </w:rPr>
      </w:pPr>
      <w:r w:rsidRPr="000577B2">
        <w:t xml:space="preserve">European Network </w:t>
      </w:r>
      <w:proofErr w:type="gramStart"/>
      <w:r w:rsidRPr="000577B2">
        <w:t>Against</w:t>
      </w:r>
      <w:proofErr w:type="gramEnd"/>
      <w:r w:rsidRPr="000577B2">
        <w:t xml:space="preserve"> Racism (ENAR), “Racist Violence in France”, available at: </w:t>
      </w:r>
      <w:hyperlink r:id="rId47" w:history="1">
        <w:r w:rsidRPr="000577B2">
          <w:rPr>
            <w:rStyle w:val="Hyperlink"/>
          </w:rPr>
          <w:t>http://cms.horus.be/files/99935/MediaArchive/Racist%20Violence%20Report%20France%20-%20online.pdf</w:t>
        </w:r>
      </w:hyperlink>
      <w:r w:rsidR="00C82201" w:rsidRPr="000577B2">
        <w:rPr>
          <w:rStyle w:val="Hyperlink"/>
        </w:rPr>
        <w:t>.</w:t>
      </w:r>
    </w:p>
    <w:p w14:paraId="5690B832" w14:textId="0F19D291" w:rsidR="000465EA" w:rsidRPr="000577B2" w:rsidRDefault="000465EA" w:rsidP="000465EA">
      <w:pPr>
        <w:pStyle w:val="Jacobnormal"/>
        <w:spacing w:line="240" w:lineRule="auto"/>
        <w:ind w:left="567" w:hanging="567"/>
        <w:rPr>
          <w:rStyle w:val="Hyperlink"/>
          <w:color w:val="auto"/>
          <w:u w:val="none"/>
        </w:rPr>
      </w:pPr>
      <w:r w:rsidRPr="000577B2">
        <w:t xml:space="preserve">European Monitoring Centre on Racism and Xenophobia (2005). “National Analytical Study on Racist Violence and Crime”, available at: </w:t>
      </w:r>
      <w:hyperlink r:id="rId48" w:history="1">
        <w:r w:rsidRPr="000577B2">
          <w:rPr>
            <w:rStyle w:val="Hyperlink"/>
          </w:rPr>
          <w:t>http://fra.europa.eu/en/country-data/2012/racist-violence-15-eu-member-states</w:t>
        </w:r>
      </w:hyperlink>
      <w:r w:rsidRPr="000577B2">
        <w:t xml:space="preserve">. </w:t>
      </w:r>
    </w:p>
    <w:p w14:paraId="060FB3B3" w14:textId="6A9B56E3" w:rsidR="00F26AA0" w:rsidRPr="000577B2" w:rsidRDefault="00F26AA0" w:rsidP="00F26AA0">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49" w:history="1">
        <w:r w:rsidRPr="000577B2">
          <w:rPr>
            <w:rStyle w:val="Hyperlink"/>
          </w:rPr>
          <w:t>http://www.coe.int/t/dghl/monitoring/ecri/library/publications.asp</w:t>
        </w:r>
      </w:hyperlink>
      <w:r w:rsidR="00C82201" w:rsidRPr="000577B2">
        <w:rPr>
          <w:rStyle w:val="Hyperlink"/>
        </w:rPr>
        <w:t>.</w:t>
      </w:r>
    </w:p>
    <w:p w14:paraId="240E5230" w14:textId="44555002" w:rsidR="00C82201" w:rsidRPr="000577B2" w:rsidRDefault="00F26AA0" w:rsidP="00C82201">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shadow reports on racism in Europe, available at: </w:t>
      </w:r>
      <w:hyperlink r:id="rId50" w:history="1">
        <w:r w:rsidRPr="000577B2">
          <w:rPr>
            <w:rStyle w:val="Hyperlink"/>
          </w:rPr>
          <w:t>http://www.enar-eu.org/Shadow-Reports-on-racism-in-Europe-203</w:t>
        </w:r>
      </w:hyperlink>
      <w:r w:rsidR="00C82201" w:rsidRPr="000577B2">
        <w:rPr>
          <w:rStyle w:val="Hyperlink"/>
        </w:rPr>
        <w:t>.</w:t>
      </w:r>
    </w:p>
    <w:p w14:paraId="33261EF6" w14:textId="77777777" w:rsidR="00DD613A" w:rsidRDefault="00DD613A" w:rsidP="00C82201">
      <w:pPr>
        <w:pStyle w:val="Jacobnormal"/>
        <w:spacing w:line="240" w:lineRule="auto"/>
        <w:ind w:left="567" w:hanging="567"/>
        <w:rPr>
          <w:b/>
        </w:rPr>
      </w:pPr>
    </w:p>
    <w:p w14:paraId="615021C3" w14:textId="586844D9" w:rsidR="00C82201" w:rsidRPr="000577B2" w:rsidRDefault="00747FAC" w:rsidP="00C82201">
      <w:pPr>
        <w:pStyle w:val="Jacobnormal"/>
        <w:spacing w:line="240" w:lineRule="auto"/>
        <w:ind w:left="567" w:hanging="567"/>
      </w:pPr>
      <w:r w:rsidRPr="000577B2">
        <w:rPr>
          <w:b/>
        </w:rPr>
        <w:t>Germany</w:t>
      </w:r>
    </w:p>
    <w:p w14:paraId="795ADF0E" w14:textId="52E59097" w:rsidR="00C82201" w:rsidRPr="000577B2" w:rsidRDefault="00747FAC" w:rsidP="00C82201">
      <w:pPr>
        <w:pStyle w:val="Jacobnormal"/>
        <w:spacing w:line="240" w:lineRule="auto"/>
        <w:ind w:left="567" w:hanging="567"/>
      </w:pPr>
      <w:r w:rsidRPr="000577B2">
        <w:t xml:space="preserve">German Security Service, </w:t>
      </w:r>
      <w:r w:rsidR="00C82201" w:rsidRPr="000577B2">
        <w:t xml:space="preserve">annual hate crime reports, available at: </w:t>
      </w:r>
      <w:hyperlink r:id="rId51" w:history="1">
        <w:r w:rsidRPr="000577B2">
          <w:rPr>
            <w:rStyle w:val="Hyperlink"/>
          </w:rPr>
          <w:t>http://www.verfassungsschutz.de/de/oeffentlichkeitsarbeit/publikationen/verfassungsschutzberichte</w:t>
        </w:r>
      </w:hyperlink>
      <w:r w:rsidR="00C82201" w:rsidRPr="000577B2">
        <w:rPr>
          <w:rStyle w:val="Hyperlink"/>
        </w:rPr>
        <w:t>.</w:t>
      </w:r>
      <w:r w:rsidRPr="000577B2">
        <w:t xml:space="preserve"> </w:t>
      </w:r>
    </w:p>
    <w:p w14:paraId="45A44B8A" w14:textId="19977658" w:rsidR="00C82201" w:rsidRPr="000577B2" w:rsidRDefault="00C82201" w:rsidP="00C82201">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Germany”, available at </w:t>
      </w:r>
      <w:hyperlink r:id="rId52" w:history="1">
        <w:r w:rsidRPr="000577B2">
          <w:rPr>
            <w:rStyle w:val="Hyperlink"/>
          </w:rPr>
          <w:t>http://cms.horus.be/files/99935/MediaArchive/Racist%20Violence%20Report%20Germany%20-%20online.pdf</w:t>
        </w:r>
      </w:hyperlink>
      <w:r w:rsidRPr="000577B2">
        <w:rPr>
          <w:rStyle w:val="Hyperlink"/>
        </w:rPr>
        <w:t>.</w:t>
      </w:r>
      <w:r w:rsidRPr="000577B2">
        <w:t xml:space="preserve">  </w:t>
      </w:r>
    </w:p>
    <w:p w14:paraId="62A3D48D" w14:textId="1C78F736"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53" w:history="1">
        <w:r w:rsidRPr="000577B2">
          <w:rPr>
            <w:rStyle w:val="Hyperlink"/>
          </w:rPr>
          <w:t>http://fra.europa.eu/en/country-data/2012/racist-violence-15-eu-member-states</w:t>
        </w:r>
      </w:hyperlink>
      <w:r w:rsidRPr="000577B2">
        <w:t xml:space="preserve">. </w:t>
      </w:r>
    </w:p>
    <w:p w14:paraId="6CBEA4DE" w14:textId="04B0EA56" w:rsidR="00C82201" w:rsidRPr="000577B2" w:rsidRDefault="00747FAC" w:rsidP="00C82201">
      <w:pPr>
        <w:pStyle w:val="Jacobnormal"/>
        <w:spacing w:line="240" w:lineRule="auto"/>
        <w:ind w:left="567" w:hanging="567"/>
      </w:pPr>
      <w:r w:rsidRPr="000577B2">
        <w:t xml:space="preserve">Wikipedia, </w:t>
      </w:r>
      <w:r w:rsidR="00773143">
        <w:t>“</w:t>
      </w:r>
      <w:r w:rsidR="00480814">
        <w:t>V</w:t>
      </w:r>
      <w:r w:rsidR="00C82201" w:rsidRPr="000577B2">
        <w:t xml:space="preserve">ictims of </w:t>
      </w:r>
      <w:r w:rsidR="00480814">
        <w:t>D</w:t>
      </w:r>
      <w:r w:rsidR="00C82201" w:rsidRPr="000577B2">
        <w:t xml:space="preserve">eadly </w:t>
      </w:r>
      <w:r w:rsidR="00480814">
        <w:t>R</w:t>
      </w:r>
      <w:r w:rsidR="00C82201" w:rsidRPr="000577B2">
        <w:t>ight-</w:t>
      </w:r>
      <w:r w:rsidR="00480814">
        <w:t>W</w:t>
      </w:r>
      <w:r w:rsidR="00C82201" w:rsidRPr="000577B2">
        <w:t xml:space="preserve">ing </w:t>
      </w:r>
      <w:r w:rsidR="00480814">
        <w:t>E</w:t>
      </w:r>
      <w:r w:rsidR="00C82201" w:rsidRPr="000577B2">
        <w:t xml:space="preserve">xtremist </w:t>
      </w:r>
      <w:r w:rsidR="00480814">
        <w:t>C</w:t>
      </w:r>
      <w:r w:rsidR="00C82201" w:rsidRPr="000577B2">
        <w:t>rimes in Germany</w:t>
      </w:r>
      <w:r w:rsidR="00773143">
        <w:t>”</w:t>
      </w:r>
      <w:r w:rsidRPr="000577B2">
        <w:t>,</w:t>
      </w:r>
      <w:r w:rsidR="00C82201" w:rsidRPr="000577B2">
        <w:t xml:space="preserve"> available at</w:t>
      </w:r>
      <w:r w:rsidRPr="000577B2">
        <w:t xml:space="preserve"> </w:t>
      </w:r>
      <w:hyperlink r:id="rId54" w:history="1">
        <w:r w:rsidRPr="000577B2">
          <w:rPr>
            <w:rStyle w:val="Hyperlink"/>
          </w:rPr>
          <w:t>http://de.wikipedia.org/wiki/Todesopfer_rechtsextremer_Gewalt_in_Deutschland</w:t>
        </w:r>
      </w:hyperlink>
      <w:r w:rsidR="00C82201" w:rsidRPr="000577B2">
        <w:rPr>
          <w:rStyle w:val="Hyperlink"/>
        </w:rPr>
        <w:t>.</w:t>
      </w:r>
    </w:p>
    <w:p w14:paraId="1AFF9547" w14:textId="2E8C18F8" w:rsidR="00C82201" w:rsidRPr="000577B2" w:rsidRDefault="00C82201" w:rsidP="00C82201">
      <w:pPr>
        <w:pStyle w:val="Jacobnormal"/>
        <w:spacing w:line="240" w:lineRule="auto"/>
        <w:ind w:left="567" w:hanging="567"/>
      </w:pPr>
      <w:proofErr w:type="spellStart"/>
      <w:r w:rsidRPr="000577B2">
        <w:t>Köhler</w:t>
      </w:r>
      <w:proofErr w:type="spellEnd"/>
      <w:r w:rsidRPr="000577B2">
        <w:t xml:space="preserve">, D. (2017). </w:t>
      </w:r>
      <w:r w:rsidRPr="004115DA">
        <w:rPr>
          <w:i/>
        </w:rPr>
        <w:t>Right-</w:t>
      </w:r>
      <w:r w:rsidR="007A2563" w:rsidRPr="004115DA">
        <w:rPr>
          <w:i/>
        </w:rPr>
        <w:t>W</w:t>
      </w:r>
      <w:r w:rsidRPr="004115DA">
        <w:rPr>
          <w:i/>
        </w:rPr>
        <w:t xml:space="preserve">ing </w:t>
      </w:r>
      <w:r w:rsidR="007A2563" w:rsidRPr="004115DA">
        <w:rPr>
          <w:i/>
        </w:rPr>
        <w:t>T</w:t>
      </w:r>
      <w:r w:rsidRPr="004115DA">
        <w:rPr>
          <w:i/>
        </w:rPr>
        <w:t>errorism in the 21st century. The ‘</w:t>
      </w:r>
      <w:r w:rsidR="007A2563" w:rsidRPr="004115DA">
        <w:rPr>
          <w:i/>
        </w:rPr>
        <w:t>N</w:t>
      </w:r>
      <w:r w:rsidRPr="004115DA">
        <w:rPr>
          <w:i/>
        </w:rPr>
        <w:t xml:space="preserve">ational </w:t>
      </w:r>
      <w:r w:rsidR="007A2563" w:rsidRPr="004115DA">
        <w:rPr>
          <w:i/>
        </w:rPr>
        <w:t>S</w:t>
      </w:r>
      <w:r w:rsidRPr="004115DA">
        <w:rPr>
          <w:i/>
        </w:rPr>
        <w:t xml:space="preserve">ocialist </w:t>
      </w:r>
      <w:r w:rsidR="007A2563" w:rsidRPr="004115DA">
        <w:rPr>
          <w:i/>
        </w:rPr>
        <w:t>U</w:t>
      </w:r>
      <w:r w:rsidRPr="004115DA">
        <w:rPr>
          <w:i/>
        </w:rPr>
        <w:t xml:space="preserve">nderground’ and the </w:t>
      </w:r>
      <w:r w:rsidR="007A2563" w:rsidRPr="004115DA">
        <w:rPr>
          <w:i/>
        </w:rPr>
        <w:t>H</w:t>
      </w:r>
      <w:r w:rsidRPr="004115DA">
        <w:rPr>
          <w:i/>
        </w:rPr>
        <w:t xml:space="preserve">istory of </w:t>
      </w:r>
      <w:r w:rsidR="007A2563" w:rsidRPr="004115DA">
        <w:rPr>
          <w:i/>
        </w:rPr>
        <w:t>T</w:t>
      </w:r>
      <w:r w:rsidRPr="004115DA">
        <w:rPr>
          <w:i/>
        </w:rPr>
        <w:t xml:space="preserve">error from the </w:t>
      </w:r>
      <w:r w:rsidR="007A2563" w:rsidRPr="004115DA">
        <w:rPr>
          <w:i/>
        </w:rPr>
        <w:t>F</w:t>
      </w:r>
      <w:r w:rsidRPr="004115DA">
        <w:rPr>
          <w:i/>
        </w:rPr>
        <w:t>ar-</w:t>
      </w:r>
      <w:r w:rsidR="007A2563" w:rsidRPr="004115DA">
        <w:rPr>
          <w:i/>
        </w:rPr>
        <w:t>R</w:t>
      </w:r>
      <w:r w:rsidRPr="004115DA">
        <w:rPr>
          <w:i/>
        </w:rPr>
        <w:t>ight in Germany</w:t>
      </w:r>
      <w:r w:rsidRPr="000577B2">
        <w:t>. Abingdon, Oxon; New York: Routledge</w:t>
      </w:r>
      <w:r w:rsidR="003F7F49">
        <w:t>, available at:</w:t>
      </w:r>
      <w:r w:rsidR="003F7F49" w:rsidRPr="003F7F49">
        <w:t xml:space="preserve"> </w:t>
      </w:r>
      <w:hyperlink r:id="rId55" w:history="1">
        <w:r w:rsidR="003F7F49" w:rsidRPr="00D62FEC">
          <w:rPr>
            <w:rStyle w:val="Hyperlink"/>
          </w:rPr>
          <w:t>https://books.google.no/books?id=1w8xDQAAQBAJ&amp;redir_esc=y</w:t>
        </w:r>
      </w:hyperlink>
      <w:r w:rsidR="003F7F49">
        <w:t xml:space="preserve"> </w:t>
      </w:r>
    </w:p>
    <w:p w14:paraId="757A285A" w14:textId="333115B0" w:rsidR="00256B37" w:rsidRPr="000577B2" w:rsidRDefault="00256B37" w:rsidP="00256B37">
      <w:pPr>
        <w:pStyle w:val="Jacobnormal"/>
        <w:spacing w:line="240" w:lineRule="auto"/>
        <w:ind w:left="567" w:hanging="567"/>
      </w:pPr>
      <w:proofErr w:type="spellStart"/>
      <w:r w:rsidRPr="000577B2">
        <w:lastRenderedPageBreak/>
        <w:t>Benček</w:t>
      </w:r>
      <w:proofErr w:type="spellEnd"/>
      <w:r w:rsidRPr="000577B2">
        <w:t xml:space="preserve">, D. &amp; </w:t>
      </w:r>
      <w:proofErr w:type="spellStart"/>
      <w:r w:rsidRPr="000577B2">
        <w:t>Strasheim</w:t>
      </w:r>
      <w:proofErr w:type="spellEnd"/>
      <w:r w:rsidRPr="000577B2">
        <w:t xml:space="preserve">, J. (2016). </w:t>
      </w:r>
      <w:r w:rsidR="00773143">
        <w:t>“</w:t>
      </w:r>
      <w:r w:rsidRPr="000577B2">
        <w:t xml:space="preserve">Refugees </w:t>
      </w:r>
      <w:r w:rsidR="007A2563">
        <w:t>W</w:t>
      </w:r>
      <w:r w:rsidRPr="000577B2">
        <w:t xml:space="preserve">elcome? A </w:t>
      </w:r>
      <w:r w:rsidR="007A2563">
        <w:t>D</w:t>
      </w:r>
      <w:r w:rsidRPr="000577B2">
        <w:t xml:space="preserve">ataset on </w:t>
      </w:r>
      <w:r w:rsidR="007A2563">
        <w:t>A</w:t>
      </w:r>
      <w:r w:rsidRPr="000577B2">
        <w:t>nti-</w:t>
      </w:r>
      <w:r w:rsidR="007A2563">
        <w:t>R</w:t>
      </w:r>
      <w:r w:rsidRPr="000577B2">
        <w:t xml:space="preserve">efugee </w:t>
      </w:r>
      <w:r w:rsidR="007A2563">
        <w:t>V</w:t>
      </w:r>
      <w:r w:rsidRPr="000577B2">
        <w:t>iolence in Germany</w:t>
      </w:r>
      <w:r w:rsidR="00773143">
        <w:t>”</w:t>
      </w:r>
      <w:r w:rsidRPr="000577B2">
        <w:t xml:space="preserve">. </w:t>
      </w:r>
      <w:r w:rsidRPr="000577B2">
        <w:rPr>
          <w:i/>
        </w:rPr>
        <w:t>Research &amp; Politics</w:t>
      </w:r>
      <w:r w:rsidRPr="000577B2">
        <w:t xml:space="preserve"> 3(4), available at: </w:t>
      </w:r>
      <w:hyperlink r:id="rId56" w:history="1">
        <w:r w:rsidRPr="000577B2">
          <w:rPr>
            <w:rStyle w:val="Hyperlink"/>
          </w:rPr>
          <w:t>http://journals.sagepub.com/doi/abs/10.1177/2053168016679590</w:t>
        </w:r>
      </w:hyperlink>
      <w:r w:rsidRPr="000577B2">
        <w:t xml:space="preserve">. </w:t>
      </w:r>
    </w:p>
    <w:p w14:paraId="394A9F6C" w14:textId="5443BB0D" w:rsidR="00C82201" w:rsidRPr="000577B2" w:rsidRDefault="00747FAC" w:rsidP="00C82201">
      <w:pPr>
        <w:pStyle w:val="Jacobnormal"/>
        <w:spacing w:line="240" w:lineRule="auto"/>
        <w:ind w:left="567" w:hanging="567"/>
      </w:pPr>
      <w:proofErr w:type="spellStart"/>
      <w:r w:rsidRPr="000577B2">
        <w:t>Köhler</w:t>
      </w:r>
      <w:proofErr w:type="spellEnd"/>
      <w:r w:rsidRPr="000577B2">
        <w:t xml:space="preserve">, D. (2014). </w:t>
      </w:r>
      <w:r w:rsidR="00773143">
        <w:t>“</w:t>
      </w:r>
      <w:r w:rsidRPr="000577B2">
        <w:t xml:space="preserve">German Right-Wing Terrorism in Historical Perspective. A First Quantitative Overview of the ‘Database on Terrorism in Germany (Right-Wing Extremism)’ – </w:t>
      </w:r>
      <w:proofErr w:type="spellStart"/>
      <w:r w:rsidRPr="000577B2">
        <w:t>DTGrwx</w:t>
      </w:r>
      <w:proofErr w:type="spellEnd"/>
      <w:r w:rsidRPr="000577B2">
        <w:t>’ Project</w:t>
      </w:r>
      <w:r w:rsidR="00773143">
        <w:t>”</w:t>
      </w:r>
      <w:r w:rsidRPr="000577B2">
        <w:t xml:space="preserve">. </w:t>
      </w:r>
      <w:r w:rsidRPr="000577B2">
        <w:rPr>
          <w:i/>
        </w:rPr>
        <w:t>Perspectives on Terrorism</w:t>
      </w:r>
      <w:r w:rsidRPr="000577B2">
        <w:t xml:space="preserve">, 8(5), </w:t>
      </w:r>
      <w:hyperlink r:id="rId57" w:history="1">
        <w:r w:rsidRPr="000577B2">
          <w:rPr>
            <w:rStyle w:val="Hyperlink"/>
          </w:rPr>
          <w:t>http://www.terrorismanalysts.com/pt/index.php/pot/article/view/377</w:t>
        </w:r>
      </w:hyperlink>
      <w:r w:rsidR="00C82201" w:rsidRPr="000577B2">
        <w:rPr>
          <w:rStyle w:val="Hyperlink"/>
        </w:rPr>
        <w:t>.</w:t>
      </w:r>
      <w:r w:rsidRPr="000577B2">
        <w:t xml:space="preserve"> </w:t>
      </w:r>
    </w:p>
    <w:p w14:paraId="4282C8B2" w14:textId="4EE8EFE9" w:rsidR="00C82201" w:rsidRPr="000577B2" w:rsidRDefault="00C82201" w:rsidP="00C82201">
      <w:pPr>
        <w:pStyle w:val="Jacobnormal"/>
        <w:spacing w:line="240" w:lineRule="auto"/>
        <w:ind w:left="567" w:hanging="567"/>
      </w:pPr>
      <w:r w:rsidRPr="000577B2">
        <w:t xml:space="preserve">Koopmans, R. &amp; </w:t>
      </w:r>
      <w:proofErr w:type="spellStart"/>
      <w:r w:rsidRPr="000577B2">
        <w:t>Olzak</w:t>
      </w:r>
      <w:proofErr w:type="spellEnd"/>
      <w:r w:rsidRPr="000577B2">
        <w:t xml:space="preserve">, S. (2004). </w:t>
      </w:r>
      <w:r w:rsidR="00773143">
        <w:t>“</w:t>
      </w:r>
      <w:r w:rsidRPr="000577B2">
        <w:t>Discursive Opportunities and the Evolution of Right-Wing Violence in Germany</w:t>
      </w:r>
      <w:r w:rsidR="00773143">
        <w:t>”</w:t>
      </w:r>
      <w:r w:rsidRPr="000577B2">
        <w:t xml:space="preserve">. </w:t>
      </w:r>
      <w:r w:rsidRPr="000577B2">
        <w:rPr>
          <w:i/>
        </w:rPr>
        <w:t>American Journal of Sociology</w:t>
      </w:r>
      <w:r w:rsidRPr="000577B2">
        <w:t xml:space="preserve"> 110(1): 198–230, available at: </w:t>
      </w:r>
      <w:hyperlink r:id="rId58" w:anchor="page_scan_tab_contents" w:history="1">
        <w:r w:rsidRPr="000577B2">
          <w:rPr>
            <w:rStyle w:val="Hyperlink"/>
          </w:rPr>
          <w:t>http://www.jstor.org/stable/10.1086/386271?seq=1#page_scan_tab_contents</w:t>
        </w:r>
      </w:hyperlink>
      <w:r w:rsidRPr="000577B2">
        <w:t xml:space="preserve">. </w:t>
      </w:r>
    </w:p>
    <w:p w14:paraId="7BF2A49C" w14:textId="5465FAF0" w:rsidR="00C82201" w:rsidRPr="000577B2" w:rsidRDefault="00747FAC" w:rsidP="00C82201">
      <w:pPr>
        <w:pStyle w:val="Jacobnormal"/>
        <w:spacing w:line="240" w:lineRule="auto"/>
        <w:ind w:left="567" w:hanging="567"/>
      </w:pPr>
      <w:r w:rsidRPr="000577B2">
        <w:t xml:space="preserve">McLaren, L. M. (1999). </w:t>
      </w:r>
      <w:r w:rsidR="00773143">
        <w:t>“</w:t>
      </w:r>
      <w:r w:rsidRPr="000577B2">
        <w:t>Explaining Right-Wing Violence in Germany: A Time Series Analysis</w:t>
      </w:r>
      <w:r w:rsidR="00773143">
        <w:t>”</w:t>
      </w:r>
      <w:r w:rsidRPr="000577B2">
        <w:t xml:space="preserve">. </w:t>
      </w:r>
      <w:r w:rsidRPr="000577B2">
        <w:rPr>
          <w:i/>
        </w:rPr>
        <w:t>Social Science Quarterly</w:t>
      </w:r>
      <w:r w:rsidRPr="000577B2">
        <w:t>, 80(1), 166–180</w:t>
      </w:r>
      <w:r w:rsidR="00C82201" w:rsidRPr="000577B2">
        <w:t xml:space="preserve">, available at: </w:t>
      </w:r>
      <w:hyperlink r:id="rId59" w:history="1">
        <w:r w:rsidR="00C82201" w:rsidRPr="000577B2">
          <w:rPr>
            <w:rStyle w:val="Hyperlink"/>
          </w:rPr>
          <w:t>https://www.jstor.org/stable/42863880</w:t>
        </w:r>
      </w:hyperlink>
      <w:r w:rsidR="00C82201" w:rsidRPr="000577B2">
        <w:t xml:space="preserve">. </w:t>
      </w:r>
    </w:p>
    <w:p w14:paraId="553CA148" w14:textId="2E0C1416" w:rsidR="00C82201" w:rsidRPr="000577B2" w:rsidRDefault="00C82201" w:rsidP="00C82201">
      <w:pPr>
        <w:pStyle w:val="Jacobnormal"/>
        <w:spacing w:line="240" w:lineRule="auto"/>
        <w:ind w:left="567" w:hanging="567"/>
      </w:pPr>
      <w:r w:rsidRPr="000577B2">
        <w:t xml:space="preserve">Willems, H. (1995). </w:t>
      </w:r>
      <w:r w:rsidR="00773143">
        <w:t>“</w:t>
      </w:r>
      <w:r w:rsidRPr="000577B2">
        <w:t>Development, Patterns, Causes of Violence against Foreigners in Germany: Social and Biographical Characteristics of Perpetrators and the Process of Escalation</w:t>
      </w:r>
      <w:r w:rsidR="00773143">
        <w:t>”</w:t>
      </w:r>
      <w:r w:rsidRPr="000577B2">
        <w:t xml:space="preserve">. </w:t>
      </w:r>
      <w:r w:rsidRPr="000577B2">
        <w:rPr>
          <w:i/>
        </w:rPr>
        <w:t>Terrorism and Political Violence</w:t>
      </w:r>
      <w:r w:rsidR="003F7F49">
        <w:t xml:space="preserve">, 7(1), 162–181, available at: </w:t>
      </w:r>
      <w:hyperlink r:id="rId60" w:history="1">
        <w:r w:rsidR="003F7F49" w:rsidRPr="00D62FEC">
          <w:rPr>
            <w:rStyle w:val="Hyperlink"/>
          </w:rPr>
          <w:t>http://www.tandfonline.com/doi/abs/10.1080/09546559508427288</w:t>
        </w:r>
      </w:hyperlink>
      <w:r w:rsidR="003F7F49">
        <w:t xml:space="preserve">. </w:t>
      </w:r>
    </w:p>
    <w:p w14:paraId="7427D9FC" w14:textId="647D6F5E" w:rsidR="00C82201" w:rsidRPr="000577B2" w:rsidRDefault="00747FAC" w:rsidP="00C82201">
      <w:pPr>
        <w:pStyle w:val="Jacobnormal"/>
        <w:spacing w:line="240" w:lineRule="auto"/>
        <w:ind w:left="567" w:hanging="567"/>
      </w:pPr>
      <w:proofErr w:type="spellStart"/>
      <w:r w:rsidRPr="000577B2">
        <w:t>Heitmeyer</w:t>
      </w:r>
      <w:proofErr w:type="spellEnd"/>
      <w:r w:rsidRPr="000577B2">
        <w:t xml:space="preserve">, W. (1993). </w:t>
      </w:r>
      <w:r w:rsidR="00773143">
        <w:t>“</w:t>
      </w:r>
      <w:r w:rsidRPr="000577B2">
        <w:t>Hostility and Violence towards Foreigners in Germany</w:t>
      </w:r>
      <w:r w:rsidR="00773143">
        <w:t>”</w:t>
      </w:r>
      <w:r w:rsidRPr="000577B2">
        <w:t xml:space="preserve">. In T. Bjørgo &amp; R. Witte (Eds.), </w:t>
      </w:r>
      <w:r w:rsidRPr="000577B2">
        <w:rPr>
          <w:i/>
        </w:rPr>
        <w:t xml:space="preserve">Racist </w:t>
      </w:r>
      <w:r w:rsidR="007A2563">
        <w:rPr>
          <w:i/>
        </w:rPr>
        <w:t>V</w:t>
      </w:r>
      <w:r w:rsidRPr="000577B2">
        <w:rPr>
          <w:i/>
        </w:rPr>
        <w:t>iolence in Europe</w:t>
      </w:r>
      <w:r w:rsidRPr="000577B2">
        <w:t xml:space="preserve"> (pp. 17–28). Basingstoke: Macmillan Press</w:t>
      </w:r>
      <w:r w:rsidR="00C82201" w:rsidRPr="000577B2">
        <w:t>.</w:t>
      </w:r>
    </w:p>
    <w:p w14:paraId="034B5949" w14:textId="6AC6CECF" w:rsidR="00C82201" w:rsidRPr="000577B2" w:rsidRDefault="00C82201" w:rsidP="00C82201">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61" w:history="1">
        <w:r w:rsidRPr="000577B2">
          <w:rPr>
            <w:rStyle w:val="Hyperlink"/>
          </w:rPr>
          <w:t>http://www.coe.int/t/dghl/monitoring/ecri/library/publications.asp</w:t>
        </w:r>
      </w:hyperlink>
      <w:r w:rsidRPr="000577B2">
        <w:rPr>
          <w:rStyle w:val="Hyperlink"/>
        </w:rPr>
        <w:t>.</w:t>
      </w:r>
    </w:p>
    <w:p w14:paraId="1F7AFB6B" w14:textId="40E3B228" w:rsidR="00C82201" w:rsidRPr="000577B2" w:rsidRDefault="00C82201" w:rsidP="00C82201">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shadow reports on racism in Europe, available at: </w:t>
      </w:r>
      <w:hyperlink r:id="rId62" w:history="1">
        <w:r w:rsidRPr="000577B2">
          <w:rPr>
            <w:rStyle w:val="Hyperlink"/>
          </w:rPr>
          <w:t>http://www.enar-eu.org/Shadow-Reports-on-racism-in-Europe-203</w:t>
        </w:r>
      </w:hyperlink>
      <w:r w:rsidRPr="000577B2">
        <w:rPr>
          <w:rStyle w:val="Hyperlink"/>
        </w:rPr>
        <w:t>.</w:t>
      </w:r>
    </w:p>
    <w:p w14:paraId="376F96AE" w14:textId="77777777" w:rsidR="00DD613A" w:rsidRDefault="00DD613A" w:rsidP="00C82201">
      <w:pPr>
        <w:pStyle w:val="Jacobnormal"/>
        <w:spacing w:line="240" w:lineRule="auto"/>
        <w:ind w:left="567" w:hanging="567"/>
        <w:rPr>
          <w:b/>
        </w:rPr>
      </w:pPr>
    </w:p>
    <w:p w14:paraId="14E83F2D" w14:textId="5A743705" w:rsidR="00C82201" w:rsidRPr="000577B2" w:rsidRDefault="00C82201" w:rsidP="00C82201">
      <w:pPr>
        <w:pStyle w:val="Jacobnormal"/>
        <w:spacing w:line="240" w:lineRule="auto"/>
        <w:ind w:left="567" w:hanging="567"/>
      </w:pPr>
      <w:r w:rsidRPr="000577B2">
        <w:rPr>
          <w:b/>
        </w:rPr>
        <w:t>Greece</w:t>
      </w:r>
    </w:p>
    <w:p w14:paraId="636909B4" w14:textId="095EED3C"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63" w:history="1">
        <w:r w:rsidRPr="000577B2">
          <w:rPr>
            <w:rStyle w:val="Hyperlink"/>
          </w:rPr>
          <w:t>http://fra.europa.eu/en/country-data/2012/racist-violence-15-eu-member-states</w:t>
        </w:r>
      </w:hyperlink>
      <w:r w:rsidRPr="000577B2">
        <w:t xml:space="preserve">. </w:t>
      </w:r>
    </w:p>
    <w:p w14:paraId="14FE0587" w14:textId="4E274DDF" w:rsidR="005A3EA2" w:rsidRPr="000577B2" w:rsidRDefault="00C82201" w:rsidP="005A3EA2">
      <w:pPr>
        <w:pStyle w:val="Jacobnormal"/>
        <w:spacing w:line="240" w:lineRule="auto"/>
        <w:ind w:left="567" w:hanging="567"/>
      </w:pPr>
      <w:r w:rsidRPr="000577B2">
        <w:t xml:space="preserve">Sunderland, J., </w:t>
      </w:r>
      <w:proofErr w:type="spellStart"/>
      <w:r w:rsidRPr="000577B2">
        <w:t>Cosse</w:t>
      </w:r>
      <w:proofErr w:type="spellEnd"/>
      <w:r w:rsidRPr="000577B2">
        <w:t xml:space="preserve">́, E., Ward, B., &amp; Human Rights Watch (Organization). (2012). “Hate on the </w:t>
      </w:r>
      <w:r w:rsidR="007A2563">
        <w:t>S</w:t>
      </w:r>
      <w:r w:rsidRPr="000577B2">
        <w:t xml:space="preserve">treets: </w:t>
      </w:r>
      <w:r w:rsidR="007A2563">
        <w:t>X</w:t>
      </w:r>
      <w:r w:rsidRPr="000577B2">
        <w:t xml:space="preserve">enophobic </w:t>
      </w:r>
      <w:r w:rsidR="007A2563">
        <w:t>V</w:t>
      </w:r>
      <w:r w:rsidRPr="000577B2">
        <w:t xml:space="preserve">iolence in Greece”, Human Rights Watch, available at </w:t>
      </w:r>
      <w:hyperlink r:id="rId64" w:history="1">
        <w:r w:rsidRPr="000577B2">
          <w:rPr>
            <w:rStyle w:val="Hyperlink"/>
          </w:rPr>
          <w:t>http://www.hrw.org/sites/default/files/reports/greece0712ForUpload.pdf</w:t>
        </w:r>
      </w:hyperlink>
      <w:r w:rsidRPr="000577B2">
        <w:rPr>
          <w:rStyle w:val="Hyperlink"/>
        </w:rPr>
        <w:t>.</w:t>
      </w:r>
    </w:p>
    <w:p w14:paraId="623842E1" w14:textId="77777777" w:rsidR="005A3EA2" w:rsidRPr="000577B2" w:rsidRDefault="00747FAC" w:rsidP="005A3EA2">
      <w:pPr>
        <w:pStyle w:val="Jacobnormal"/>
        <w:spacing w:line="240" w:lineRule="auto"/>
        <w:ind w:left="567" w:hanging="567"/>
      </w:pPr>
      <w:r w:rsidRPr="000577B2">
        <w:t>The City At Times of Crisis: Map of Attacks on Migrants in Athens</w:t>
      </w:r>
      <w:r w:rsidR="00C82201" w:rsidRPr="000577B2">
        <w:t>, available at</w:t>
      </w:r>
      <w:r w:rsidRPr="000577B2">
        <w:t xml:space="preserve">: </w:t>
      </w:r>
      <w:hyperlink r:id="rId65" w:history="1">
        <w:r w:rsidRPr="000577B2">
          <w:rPr>
            <w:rStyle w:val="Hyperlink"/>
          </w:rPr>
          <w:t>http://map.crisis-scape.net/page/index/2</w:t>
        </w:r>
      </w:hyperlink>
      <w:r w:rsidR="005A3EA2" w:rsidRPr="000577B2">
        <w:rPr>
          <w:rStyle w:val="Hyperlink"/>
        </w:rPr>
        <w:t>.</w:t>
      </w:r>
    </w:p>
    <w:p w14:paraId="3FAE0EF4" w14:textId="77777777" w:rsidR="005A3EA2" w:rsidRPr="000577B2" w:rsidRDefault="005A3EA2" w:rsidP="005A3EA2">
      <w:pPr>
        <w:pStyle w:val="Jacobnormal"/>
        <w:spacing w:line="240" w:lineRule="auto"/>
        <w:ind w:left="567" w:hanging="567"/>
        <w:rPr>
          <w:rStyle w:val="Hyperlink"/>
          <w:color w:val="auto"/>
          <w:u w:val="none"/>
        </w:rPr>
      </w:pPr>
      <w:r w:rsidRPr="000577B2">
        <w:t xml:space="preserve">European Network </w:t>
      </w:r>
      <w:proofErr w:type="gramStart"/>
      <w:r w:rsidRPr="000577B2">
        <w:t>Against</w:t>
      </w:r>
      <w:proofErr w:type="gramEnd"/>
      <w:r w:rsidRPr="000577B2">
        <w:t xml:space="preserve"> Racism (ENAR), “Racist Violence in Greece”, available at: </w:t>
      </w:r>
      <w:hyperlink r:id="rId66" w:history="1">
        <w:r w:rsidRPr="000577B2">
          <w:rPr>
            <w:rStyle w:val="Hyperlink"/>
          </w:rPr>
          <w:t>http://cms.horus.be/files/99935/MediaArchive/Racist%20Violence%20Report%20Greece%20-%20online.pdf</w:t>
        </w:r>
      </w:hyperlink>
      <w:r w:rsidRPr="000577B2">
        <w:rPr>
          <w:rStyle w:val="Hyperlink"/>
          <w:color w:val="auto"/>
          <w:u w:val="none"/>
        </w:rPr>
        <w:t>.</w:t>
      </w:r>
    </w:p>
    <w:p w14:paraId="4F5A85C6" w14:textId="77777777" w:rsidR="005A3EA2" w:rsidRPr="000577B2" w:rsidRDefault="005A3EA2" w:rsidP="005A3EA2">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67" w:history="1">
        <w:r w:rsidRPr="000577B2">
          <w:rPr>
            <w:rStyle w:val="Hyperlink"/>
          </w:rPr>
          <w:t>http://www.coe.int/t/dghl/monitoring/ecri/library/publications.asp</w:t>
        </w:r>
      </w:hyperlink>
      <w:r w:rsidRPr="000577B2">
        <w:rPr>
          <w:rStyle w:val="Hyperlink"/>
        </w:rPr>
        <w:t>.</w:t>
      </w:r>
    </w:p>
    <w:p w14:paraId="34F1B34A" w14:textId="77777777" w:rsidR="005A3EA2" w:rsidRPr="000577B2" w:rsidRDefault="005A3EA2" w:rsidP="005A3EA2">
      <w:pPr>
        <w:pStyle w:val="Jacobnormal"/>
        <w:spacing w:line="240" w:lineRule="auto"/>
        <w:ind w:left="567" w:hanging="567"/>
        <w:rPr>
          <w:rStyle w:val="Hyperlink"/>
        </w:rPr>
      </w:pPr>
      <w:r w:rsidRPr="000577B2">
        <w:lastRenderedPageBreak/>
        <w:t xml:space="preserve">European Network </w:t>
      </w:r>
      <w:proofErr w:type="gramStart"/>
      <w:r w:rsidRPr="000577B2">
        <w:t>Against</w:t>
      </w:r>
      <w:proofErr w:type="gramEnd"/>
      <w:r w:rsidRPr="000577B2">
        <w:t xml:space="preserve"> Racism (ENAR), shadow reports on racism in Europe, available at: </w:t>
      </w:r>
      <w:hyperlink r:id="rId68" w:history="1">
        <w:r w:rsidRPr="000577B2">
          <w:rPr>
            <w:rStyle w:val="Hyperlink"/>
          </w:rPr>
          <w:t>http://www.enar-eu.org/Shadow-Reports-on-racism-in-Europe-203</w:t>
        </w:r>
      </w:hyperlink>
      <w:r w:rsidRPr="000577B2">
        <w:rPr>
          <w:rStyle w:val="Hyperlink"/>
        </w:rPr>
        <w:t>.</w:t>
      </w:r>
    </w:p>
    <w:p w14:paraId="7CBD490F" w14:textId="77777777" w:rsidR="00DD613A" w:rsidRDefault="00DD613A" w:rsidP="005A3EA2">
      <w:pPr>
        <w:pStyle w:val="Jacobnormal"/>
        <w:spacing w:line="240" w:lineRule="auto"/>
        <w:ind w:left="567" w:hanging="567"/>
        <w:rPr>
          <w:b/>
        </w:rPr>
      </w:pPr>
    </w:p>
    <w:p w14:paraId="3E7CCE0A" w14:textId="16595923" w:rsidR="005A3EA2" w:rsidRPr="000577B2" w:rsidRDefault="00747FAC" w:rsidP="005A3EA2">
      <w:pPr>
        <w:pStyle w:val="Jacobnormal"/>
        <w:spacing w:line="240" w:lineRule="auto"/>
        <w:ind w:left="567" w:hanging="567"/>
      </w:pPr>
      <w:r w:rsidRPr="000577B2">
        <w:rPr>
          <w:b/>
        </w:rPr>
        <w:t>Iceland</w:t>
      </w:r>
    </w:p>
    <w:p w14:paraId="4EE8B763" w14:textId="77777777" w:rsidR="005A3EA2" w:rsidRPr="000577B2" w:rsidRDefault="005A3EA2" w:rsidP="005A3EA2">
      <w:pPr>
        <w:pStyle w:val="Jacobnormal"/>
        <w:spacing w:line="240" w:lineRule="auto"/>
        <w:ind w:left="567" w:hanging="567"/>
      </w:pPr>
      <w:r w:rsidRPr="000577B2">
        <w:t xml:space="preserve">European Commission against Racism and Intolerance (ECRI), country monitoring reports, available at: </w:t>
      </w:r>
      <w:hyperlink r:id="rId69" w:history="1">
        <w:r w:rsidRPr="000577B2">
          <w:rPr>
            <w:rStyle w:val="Hyperlink"/>
          </w:rPr>
          <w:t>http://www.coe.int/t/dghl/monitoring/ecri/library/publications.asp</w:t>
        </w:r>
      </w:hyperlink>
      <w:r w:rsidRPr="000577B2">
        <w:rPr>
          <w:rStyle w:val="Hyperlink"/>
        </w:rPr>
        <w:t>.</w:t>
      </w:r>
    </w:p>
    <w:p w14:paraId="2E523FCA" w14:textId="66ADC963" w:rsidR="003F7F49" w:rsidRDefault="003F7F49" w:rsidP="005A3EA2">
      <w:pPr>
        <w:pStyle w:val="Jacobnormal"/>
        <w:spacing w:line="240" w:lineRule="auto"/>
        <w:ind w:left="567" w:hanging="567"/>
        <w:rPr>
          <w:b/>
        </w:rPr>
      </w:pPr>
    </w:p>
    <w:p w14:paraId="556ABB54" w14:textId="69C10E66" w:rsidR="005A3EA2" w:rsidRPr="000577B2" w:rsidRDefault="00747FAC" w:rsidP="005A3EA2">
      <w:pPr>
        <w:pStyle w:val="Jacobnormal"/>
        <w:spacing w:line="240" w:lineRule="auto"/>
        <w:ind w:left="567" w:hanging="567"/>
      </w:pPr>
      <w:r w:rsidRPr="000577B2">
        <w:rPr>
          <w:b/>
        </w:rPr>
        <w:t>Italy</w:t>
      </w:r>
    </w:p>
    <w:p w14:paraId="0A9164EE" w14:textId="2FAAF01D" w:rsidR="005A3EA2" w:rsidRPr="000577B2" w:rsidRDefault="005A3EA2" w:rsidP="005A3EA2">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Italy”, available at: </w:t>
      </w:r>
      <w:hyperlink r:id="rId70" w:history="1">
        <w:r w:rsidRPr="000577B2">
          <w:rPr>
            <w:rStyle w:val="Hyperlink"/>
          </w:rPr>
          <w:t>http://cms.horus.be/files/99935/MediaArchive/Racist%20Violence%20Report%20Italy%20-%20online.pdf</w:t>
        </w:r>
      </w:hyperlink>
    </w:p>
    <w:p w14:paraId="3F17095A" w14:textId="5CC83E42"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71" w:history="1">
        <w:r w:rsidRPr="000577B2">
          <w:rPr>
            <w:rStyle w:val="Hyperlink"/>
          </w:rPr>
          <w:t>http://fra.europa.eu/en/country-data/2012/racist-violence-15-eu-member-states</w:t>
        </w:r>
      </w:hyperlink>
      <w:r w:rsidRPr="000577B2">
        <w:t xml:space="preserve">. </w:t>
      </w:r>
    </w:p>
    <w:p w14:paraId="20F878C0" w14:textId="4A9237ED" w:rsidR="00695636" w:rsidRPr="000577B2" w:rsidRDefault="00695636" w:rsidP="00695636">
      <w:pPr>
        <w:pStyle w:val="Jacobnormal"/>
        <w:spacing w:line="240" w:lineRule="auto"/>
        <w:ind w:left="567" w:hanging="567"/>
      </w:pPr>
      <w:r w:rsidRPr="000544C7">
        <w:rPr>
          <w:lang w:val="nn-NO"/>
        </w:rPr>
        <w:t>Gattinara, P.</w:t>
      </w:r>
      <w:r w:rsidR="007A2563">
        <w:rPr>
          <w:lang w:val="nn-NO"/>
        </w:rPr>
        <w:t xml:space="preserve"> </w:t>
      </w:r>
      <w:r w:rsidRPr="000544C7">
        <w:rPr>
          <w:lang w:val="nn-NO"/>
        </w:rPr>
        <w:t xml:space="preserve">C. &amp; </w:t>
      </w:r>
      <w:proofErr w:type="spellStart"/>
      <w:r w:rsidRPr="000544C7">
        <w:rPr>
          <w:lang w:val="nn-NO"/>
        </w:rPr>
        <w:t>Froio</w:t>
      </w:r>
      <w:proofErr w:type="spellEnd"/>
      <w:r w:rsidRPr="000544C7">
        <w:rPr>
          <w:lang w:val="nn-NO"/>
        </w:rPr>
        <w:t xml:space="preserve">, C. (2014). </w:t>
      </w:r>
      <w:r w:rsidR="00AA760A" w:rsidRPr="004115DA">
        <w:rPr>
          <w:lang w:val="en-US"/>
        </w:rPr>
        <w:t>“</w:t>
      </w:r>
      <w:r w:rsidRPr="000577B2">
        <w:t xml:space="preserve">Discourse and Practice of Violence in the Italian Extreme Right: Frames, Symbols, and Identity-Building in </w:t>
      </w:r>
      <w:proofErr w:type="spellStart"/>
      <w:r w:rsidRPr="000577B2">
        <w:t>CasaPound</w:t>
      </w:r>
      <w:proofErr w:type="spellEnd"/>
      <w:r w:rsidRPr="000577B2">
        <w:t xml:space="preserve"> Italia</w:t>
      </w:r>
      <w:r w:rsidR="00AA760A">
        <w:t>”</w:t>
      </w:r>
      <w:r w:rsidRPr="000577B2">
        <w:t xml:space="preserve">. </w:t>
      </w:r>
      <w:r w:rsidRPr="004115DA">
        <w:rPr>
          <w:i/>
        </w:rPr>
        <w:t xml:space="preserve">International </w:t>
      </w:r>
      <w:r w:rsidRPr="000577B2">
        <w:rPr>
          <w:i/>
        </w:rPr>
        <w:t>Journal of Conflict and Violence</w:t>
      </w:r>
      <w:r w:rsidRPr="000577B2">
        <w:t xml:space="preserve"> 8(1), available at: </w:t>
      </w:r>
      <w:hyperlink r:id="rId72" w:history="1">
        <w:r w:rsidRPr="000577B2">
          <w:rPr>
            <w:rStyle w:val="Hyperlink"/>
          </w:rPr>
          <w:t>http://www.ijcv.org/earlyview/339.pdf</w:t>
        </w:r>
      </w:hyperlink>
      <w:r w:rsidRPr="000577B2">
        <w:t xml:space="preserve">. </w:t>
      </w:r>
    </w:p>
    <w:p w14:paraId="26620F76" w14:textId="69AACB6B" w:rsidR="00695636" w:rsidRPr="000577B2" w:rsidRDefault="00695636" w:rsidP="00695636">
      <w:pPr>
        <w:pStyle w:val="Jacobnormal"/>
        <w:spacing w:line="240" w:lineRule="auto"/>
        <w:ind w:left="567" w:hanging="567"/>
        <w:rPr>
          <w:rStyle w:val="Hyperlink"/>
        </w:rPr>
      </w:pPr>
      <w:r w:rsidRPr="000577B2">
        <w:t xml:space="preserve">Sunderland, J., Ward, B., &amp; Human Rights Watch (Organization). (2011). “Everyday </w:t>
      </w:r>
      <w:r w:rsidR="007A2563">
        <w:t>I</w:t>
      </w:r>
      <w:r w:rsidRPr="000577B2">
        <w:t xml:space="preserve">ntolerance: </w:t>
      </w:r>
      <w:r w:rsidR="007A2563">
        <w:t>R</w:t>
      </w:r>
      <w:r w:rsidRPr="000577B2">
        <w:t xml:space="preserve">acist and </w:t>
      </w:r>
      <w:r w:rsidR="007A2563">
        <w:t>X</w:t>
      </w:r>
      <w:r w:rsidRPr="000577B2">
        <w:t xml:space="preserve">enophobic </w:t>
      </w:r>
      <w:r w:rsidR="007A2563">
        <w:t>V</w:t>
      </w:r>
      <w:r w:rsidRPr="000577B2">
        <w:t xml:space="preserve">iolence in Italy”. Human Rights Watch, available at </w:t>
      </w:r>
      <w:hyperlink r:id="rId73" w:history="1">
        <w:r w:rsidRPr="000577B2">
          <w:rPr>
            <w:rStyle w:val="Hyperlink"/>
          </w:rPr>
          <w:t>https://www.hrw.org/sites/default/files/reports/italy0311WebRevised.pdf</w:t>
        </w:r>
      </w:hyperlink>
      <w:r w:rsidRPr="000577B2">
        <w:rPr>
          <w:rStyle w:val="Hyperlink"/>
        </w:rPr>
        <w:t>.</w:t>
      </w:r>
    </w:p>
    <w:p w14:paraId="21FD09E2" w14:textId="77777777" w:rsidR="00695636" w:rsidRPr="000577B2" w:rsidRDefault="00695636" w:rsidP="00695636">
      <w:pPr>
        <w:pStyle w:val="Jacobnormal"/>
        <w:spacing w:line="240" w:lineRule="auto"/>
        <w:ind w:left="567" w:hanging="567"/>
      </w:pPr>
      <w:proofErr w:type="spellStart"/>
      <w:r w:rsidRPr="000544C7">
        <w:rPr>
          <w:lang w:val="nn-NO"/>
        </w:rPr>
        <w:t>Andrisani</w:t>
      </w:r>
      <w:proofErr w:type="spellEnd"/>
      <w:r w:rsidRPr="000544C7">
        <w:rPr>
          <w:lang w:val="nn-NO"/>
        </w:rPr>
        <w:t xml:space="preserve">, P. &amp; </w:t>
      </w:r>
      <w:proofErr w:type="spellStart"/>
      <w:r w:rsidRPr="000544C7">
        <w:rPr>
          <w:lang w:val="nn-NO"/>
        </w:rPr>
        <w:t>Naletto</w:t>
      </w:r>
      <w:proofErr w:type="spellEnd"/>
      <w:r w:rsidRPr="000544C7">
        <w:rPr>
          <w:lang w:val="nn-NO"/>
        </w:rPr>
        <w:t>, G. (2009). “</w:t>
      </w:r>
      <w:proofErr w:type="spellStart"/>
      <w:r w:rsidRPr="000544C7">
        <w:rPr>
          <w:lang w:val="nn-NO"/>
        </w:rPr>
        <w:t>Rapporto</w:t>
      </w:r>
      <w:proofErr w:type="spellEnd"/>
      <w:r w:rsidRPr="000544C7">
        <w:rPr>
          <w:lang w:val="nn-NO"/>
        </w:rPr>
        <w:t xml:space="preserve"> sul </w:t>
      </w:r>
      <w:proofErr w:type="spellStart"/>
      <w:r w:rsidRPr="000544C7">
        <w:rPr>
          <w:lang w:val="nn-NO"/>
        </w:rPr>
        <w:t>razzismo</w:t>
      </w:r>
      <w:proofErr w:type="spellEnd"/>
      <w:r w:rsidRPr="000544C7">
        <w:rPr>
          <w:lang w:val="nn-NO"/>
        </w:rPr>
        <w:t xml:space="preserve"> in Italia”. </w:t>
      </w:r>
      <w:proofErr w:type="spellStart"/>
      <w:r w:rsidRPr="000577B2">
        <w:t>Manifestolibri</w:t>
      </w:r>
      <w:proofErr w:type="spellEnd"/>
      <w:r w:rsidRPr="000577B2">
        <w:t xml:space="preserve">, available at: </w:t>
      </w:r>
      <w:hyperlink r:id="rId74" w:history="1">
        <w:r w:rsidRPr="000577B2">
          <w:rPr>
            <w:rStyle w:val="Hyperlink"/>
          </w:rPr>
          <w:t>http://www.cronachediordinariorazzismo.org/wp-content/uploads/rapportosulrazzismo.pdf</w:t>
        </w:r>
      </w:hyperlink>
      <w:r w:rsidRPr="000577B2">
        <w:t xml:space="preserve">.  </w:t>
      </w:r>
    </w:p>
    <w:p w14:paraId="2A0E9FB9" w14:textId="4A66429F" w:rsidR="005A3EA2" w:rsidRPr="000577B2" w:rsidRDefault="005A3EA2" w:rsidP="005A3EA2">
      <w:pPr>
        <w:pStyle w:val="Jacobnormal"/>
        <w:spacing w:line="240" w:lineRule="auto"/>
        <w:ind w:left="567" w:hanging="567"/>
      </w:pPr>
      <w:proofErr w:type="spellStart"/>
      <w:r w:rsidRPr="000577B2">
        <w:t>InfoAntifa</w:t>
      </w:r>
      <w:proofErr w:type="spellEnd"/>
      <w:r w:rsidRPr="000577B2">
        <w:t xml:space="preserve">, </w:t>
      </w:r>
      <w:r w:rsidR="00695636">
        <w:t xml:space="preserve">extensive </w:t>
      </w:r>
      <w:proofErr w:type="spellStart"/>
      <w:r w:rsidR="00695636">
        <w:t>oveview</w:t>
      </w:r>
      <w:proofErr w:type="spellEnd"/>
      <w:r w:rsidRPr="000577B2">
        <w:t xml:space="preserve"> of “fascist actions”, available at </w:t>
      </w:r>
      <w:hyperlink r:id="rId75" w:history="1">
        <w:r w:rsidR="00747FAC" w:rsidRPr="000577B2">
          <w:rPr>
            <w:rStyle w:val="Hyperlink"/>
          </w:rPr>
          <w:t>http://www.ecn.org/antifa/article/357/AZIONI%20FASCISTE</w:t>
        </w:r>
      </w:hyperlink>
      <w:r w:rsidR="00747FAC" w:rsidRPr="000577B2">
        <w:t xml:space="preserve"> </w:t>
      </w:r>
    </w:p>
    <w:p w14:paraId="7C892D87" w14:textId="77777777" w:rsidR="00050169" w:rsidRPr="000577B2" w:rsidRDefault="00050169" w:rsidP="00050169">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76" w:history="1">
        <w:r w:rsidRPr="000577B2">
          <w:rPr>
            <w:rStyle w:val="Hyperlink"/>
          </w:rPr>
          <w:t>http://www.coe.int/t/dghl/monitoring/ecri/library/publications.asp</w:t>
        </w:r>
      </w:hyperlink>
      <w:r w:rsidRPr="000577B2">
        <w:rPr>
          <w:rStyle w:val="Hyperlink"/>
        </w:rPr>
        <w:t>.</w:t>
      </w:r>
    </w:p>
    <w:p w14:paraId="6137BAC0" w14:textId="69BB65BE" w:rsidR="00050169" w:rsidRDefault="00050169" w:rsidP="00050169">
      <w:pPr>
        <w:pStyle w:val="Jacobnormal"/>
        <w:spacing w:line="240" w:lineRule="auto"/>
        <w:ind w:left="567" w:hanging="567"/>
        <w:rPr>
          <w:rStyle w:val="Hyperlink"/>
        </w:rPr>
      </w:pPr>
      <w:r w:rsidRPr="000577B2">
        <w:t xml:space="preserve">European Network </w:t>
      </w:r>
      <w:proofErr w:type="gramStart"/>
      <w:r w:rsidRPr="000577B2">
        <w:t>Against</w:t>
      </w:r>
      <w:proofErr w:type="gramEnd"/>
      <w:r w:rsidRPr="000577B2">
        <w:t xml:space="preserve"> Racism (ENAR), shadow reports on racism in Europe, available at: </w:t>
      </w:r>
      <w:hyperlink r:id="rId77" w:history="1">
        <w:r w:rsidRPr="000577B2">
          <w:rPr>
            <w:rStyle w:val="Hyperlink"/>
          </w:rPr>
          <w:t>http://www.enar-eu.org/Shadow-Reports-on-racism-in-Europe-203</w:t>
        </w:r>
      </w:hyperlink>
      <w:r w:rsidRPr="000577B2">
        <w:rPr>
          <w:rStyle w:val="Hyperlink"/>
        </w:rPr>
        <w:t>.</w:t>
      </w:r>
    </w:p>
    <w:p w14:paraId="553B1ED6" w14:textId="77777777" w:rsidR="00DD613A" w:rsidRPr="000577B2" w:rsidRDefault="00DD613A" w:rsidP="00050169">
      <w:pPr>
        <w:pStyle w:val="Jacobnormal"/>
        <w:spacing w:line="240" w:lineRule="auto"/>
        <w:ind w:left="567" w:hanging="567"/>
        <w:rPr>
          <w:color w:val="0000FF" w:themeColor="hyperlink"/>
          <w:u w:val="single"/>
        </w:rPr>
      </w:pPr>
    </w:p>
    <w:p w14:paraId="1AF84937" w14:textId="77777777" w:rsidR="00050169" w:rsidRPr="000577B2" w:rsidRDefault="00747FAC" w:rsidP="00050169">
      <w:pPr>
        <w:pStyle w:val="Jacobnormal"/>
        <w:spacing w:line="240" w:lineRule="auto"/>
        <w:ind w:left="567" w:hanging="567"/>
      </w:pPr>
      <w:r w:rsidRPr="000577B2">
        <w:rPr>
          <w:b/>
        </w:rPr>
        <w:t>Ireland</w:t>
      </w:r>
    </w:p>
    <w:p w14:paraId="2EDD8B6E" w14:textId="77777777" w:rsidR="00050169" w:rsidRPr="000577B2" w:rsidRDefault="00050169" w:rsidP="00050169">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Ireland”, available at: </w:t>
      </w:r>
      <w:hyperlink r:id="rId78" w:history="1">
        <w:r w:rsidR="00747FAC" w:rsidRPr="000577B2">
          <w:rPr>
            <w:rStyle w:val="Hyperlink"/>
          </w:rPr>
          <w:t>http://cms.horus.be/files/99935/MediaArchive/Racist%20Violence%20Report%20Ireland%20-%20online.pdf</w:t>
        </w:r>
      </w:hyperlink>
      <w:r w:rsidR="00747FAC" w:rsidRPr="000577B2">
        <w:t xml:space="preserve"> </w:t>
      </w:r>
    </w:p>
    <w:p w14:paraId="2425A49A" w14:textId="322AC02B"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79" w:history="1">
        <w:r w:rsidRPr="000577B2">
          <w:rPr>
            <w:rStyle w:val="Hyperlink"/>
          </w:rPr>
          <w:t>http://fra.europa.eu/en/country-data/2012/racist-violence-15-eu-member-states</w:t>
        </w:r>
      </w:hyperlink>
      <w:r w:rsidRPr="000577B2">
        <w:t xml:space="preserve">. </w:t>
      </w:r>
    </w:p>
    <w:p w14:paraId="1A40A85E" w14:textId="584AB903" w:rsidR="00050169" w:rsidRPr="000577B2" w:rsidRDefault="00050169" w:rsidP="00050169">
      <w:pPr>
        <w:pStyle w:val="Jacobnormal"/>
        <w:spacing w:line="240" w:lineRule="auto"/>
        <w:ind w:left="567" w:hanging="567"/>
      </w:pPr>
      <w:r w:rsidRPr="000577B2">
        <w:lastRenderedPageBreak/>
        <w:t>Institute of Race Relations, “</w:t>
      </w:r>
      <w:r w:rsidR="00747FAC" w:rsidRPr="000577B2">
        <w:t xml:space="preserve">Racial </w:t>
      </w:r>
      <w:r w:rsidR="007A2563">
        <w:t>V</w:t>
      </w:r>
      <w:r w:rsidR="00747FAC" w:rsidRPr="000577B2">
        <w:t>iolence in Ireland</w:t>
      </w:r>
      <w:r w:rsidRPr="000577B2">
        <w:t>”, available at:</w:t>
      </w:r>
      <w:r w:rsidR="00747FAC" w:rsidRPr="000577B2">
        <w:t xml:space="preserve"> </w:t>
      </w:r>
      <w:hyperlink r:id="rId80" w:history="1">
        <w:r w:rsidR="00747FAC" w:rsidRPr="000577B2">
          <w:rPr>
            <w:rStyle w:val="Hyperlink"/>
          </w:rPr>
          <w:t>http://www.irr.org.uk/news/racial-violence-in-ireland/</w:t>
        </w:r>
      </w:hyperlink>
      <w:r w:rsidRPr="000577B2">
        <w:t xml:space="preserve"> </w:t>
      </w:r>
    </w:p>
    <w:p w14:paraId="7C58075C" w14:textId="77777777" w:rsidR="00050169" w:rsidRPr="000577B2" w:rsidRDefault="00050169" w:rsidP="00050169">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81" w:history="1">
        <w:r w:rsidRPr="000577B2">
          <w:rPr>
            <w:rStyle w:val="Hyperlink"/>
          </w:rPr>
          <w:t>http://www.coe.int/t/dghl/monitoring/ecri/library/publications.asp</w:t>
        </w:r>
      </w:hyperlink>
      <w:r w:rsidRPr="000577B2">
        <w:rPr>
          <w:rStyle w:val="Hyperlink"/>
        </w:rPr>
        <w:t>.</w:t>
      </w:r>
    </w:p>
    <w:p w14:paraId="1FF2B51A" w14:textId="77777777" w:rsidR="00050169" w:rsidRPr="000577B2" w:rsidRDefault="00050169" w:rsidP="00050169">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shadow reports on racism in Europe, available at: </w:t>
      </w:r>
      <w:hyperlink r:id="rId82" w:history="1">
        <w:r w:rsidRPr="000577B2">
          <w:rPr>
            <w:rStyle w:val="Hyperlink"/>
          </w:rPr>
          <w:t>http://www.enar-eu.org/Shadow-Reports-on-racism-in-Europe-203</w:t>
        </w:r>
      </w:hyperlink>
      <w:r w:rsidRPr="000577B2">
        <w:rPr>
          <w:rStyle w:val="Hyperlink"/>
        </w:rPr>
        <w:t>.</w:t>
      </w:r>
    </w:p>
    <w:p w14:paraId="10EDD9E0" w14:textId="7CE9C10F" w:rsidR="00DD613A" w:rsidRDefault="00DD613A" w:rsidP="00680410">
      <w:pPr>
        <w:pStyle w:val="Jacobnormal"/>
        <w:spacing w:line="240" w:lineRule="auto"/>
        <w:ind w:left="567" w:hanging="567"/>
        <w:rPr>
          <w:b/>
        </w:rPr>
      </w:pPr>
    </w:p>
    <w:p w14:paraId="0D3B254E" w14:textId="742A2C2E" w:rsidR="00680410" w:rsidRPr="000577B2" w:rsidRDefault="00747FAC" w:rsidP="00680410">
      <w:pPr>
        <w:pStyle w:val="Jacobnormal"/>
        <w:spacing w:line="240" w:lineRule="auto"/>
        <w:ind w:left="567" w:hanging="567"/>
      </w:pPr>
      <w:r w:rsidRPr="000577B2">
        <w:rPr>
          <w:b/>
        </w:rPr>
        <w:t>Luxemburg</w:t>
      </w:r>
    </w:p>
    <w:p w14:paraId="797830F5" w14:textId="77777777"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83" w:history="1">
        <w:r w:rsidRPr="000577B2">
          <w:rPr>
            <w:rStyle w:val="Hyperlink"/>
          </w:rPr>
          <w:t>http://fra.europa.eu/en/country-data/2012/racist-violence-15-eu-member-states</w:t>
        </w:r>
      </w:hyperlink>
      <w:r w:rsidRPr="000577B2">
        <w:t xml:space="preserve">. </w:t>
      </w:r>
    </w:p>
    <w:p w14:paraId="684211CA" w14:textId="45A88C92" w:rsidR="00300D42" w:rsidRPr="000577B2" w:rsidRDefault="00300D42" w:rsidP="00300D42">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“Responding to </w:t>
      </w:r>
      <w:r w:rsidR="007A2563">
        <w:t>R</w:t>
      </w:r>
      <w:r w:rsidRPr="000577B2">
        <w:t xml:space="preserve">acism in Luxemburg”, available at: </w:t>
      </w:r>
      <w:hyperlink r:id="rId84" w:history="1">
        <w:r w:rsidRPr="000577B2">
          <w:rPr>
            <w:rStyle w:val="Hyperlink"/>
          </w:rPr>
          <w:t>http://cms.horus.be/files/99935/MediaArchive/pdf/luxembourg_en.pdf</w:t>
        </w:r>
      </w:hyperlink>
      <w:r w:rsidRPr="000577B2">
        <w:rPr>
          <w:rStyle w:val="Hyperlink"/>
        </w:rPr>
        <w:t>.</w:t>
      </w:r>
    </w:p>
    <w:p w14:paraId="028520EC" w14:textId="77777777" w:rsidR="00680410" w:rsidRPr="000577B2" w:rsidRDefault="00680410" w:rsidP="00680410">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85" w:history="1">
        <w:r w:rsidRPr="000577B2">
          <w:rPr>
            <w:rStyle w:val="Hyperlink"/>
          </w:rPr>
          <w:t>http://www.coe.int/t/dghl/monitoring/ecri/library/publications.asp</w:t>
        </w:r>
      </w:hyperlink>
      <w:r w:rsidRPr="000577B2">
        <w:rPr>
          <w:rStyle w:val="Hyperlink"/>
        </w:rPr>
        <w:t>.</w:t>
      </w:r>
    </w:p>
    <w:p w14:paraId="110D1FE1" w14:textId="77777777" w:rsidR="00680410" w:rsidRPr="000577B2" w:rsidRDefault="00680410" w:rsidP="00680410">
      <w:pPr>
        <w:pStyle w:val="Jacobnormal"/>
        <w:spacing w:line="240" w:lineRule="auto"/>
        <w:ind w:left="567" w:hanging="567"/>
        <w:rPr>
          <w:rStyle w:val="Hyperlink"/>
        </w:rPr>
      </w:pPr>
      <w:r w:rsidRPr="000577B2">
        <w:t xml:space="preserve">European Network </w:t>
      </w:r>
      <w:proofErr w:type="gramStart"/>
      <w:r w:rsidRPr="000577B2">
        <w:t>Against</w:t>
      </w:r>
      <w:proofErr w:type="gramEnd"/>
      <w:r w:rsidRPr="000577B2">
        <w:t xml:space="preserve"> Racism (ENAR), shadow reports on racism in Europe, available at: </w:t>
      </w:r>
      <w:hyperlink r:id="rId86" w:history="1">
        <w:r w:rsidRPr="000577B2">
          <w:rPr>
            <w:rStyle w:val="Hyperlink"/>
          </w:rPr>
          <w:t>http://www.enar-eu.org/Shadow-Reports-on-racism-in-Europe-203</w:t>
        </w:r>
      </w:hyperlink>
      <w:r w:rsidRPr="000577B2">
        <w:rPr>
          <w:rStyle w:val="Hyperlink"/>
        </w:rPr>
        <w:t>.</w:t>
      </w:r>
    </w:p>
    <w:p w14:paraId="67C95107" w14:textId="77777777" w:rsidR="00DD613A" w:rsidRDefault="00DD613A" w:rsidP="00300D42">
      <w:pPr>
        <w:pStyle w:val="Jacobnormal"/>
        <w:spacing w:line="240" w:lineRule="auto"/>
        <w:ind w:left="567" w:hanging="567"/>
        <w:rPr>
          <w:b/>
        </w:rPr>
      </w:pPr>
    </w:p>
    <w:p w14:paraId="25AE197A" w14:textId="00BCD879" w:rsidR="00300D42" w:rsidRPr="000577B2" w:rsidRDefault="00747FAC" w:rsidP="00300D42">
      <w:pPr>
        <w:pStyle w:val="Jacobnormal"/>
        <w:spacing w:line="240" w:lineRule="auto"/>
        <w:ind w:left="567" w:hanging="567"/>
      </w:pPr>
      <w:r w:rsidRPr="000577B2">
        <w:rPr>
          <w:b/>
        </w:rPr>
        <w:t>Netherlands</w:t>
      </w:r>
    </w:p>
    <w:p w14:paraId="330BCC01" w14:textId="466AE7B2" w:rsidR="000B73C0" w:rsidRPr="000577B2" w:rsidRDefault="000B73C0" w:rsidP="000B73C0">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the Netherlands”, available at:  </w:t>
      </w:r>
      <w:hyperlink r:id="rId87" w:history="1">
        <w:r w:rsidRPr="000577B2">
          <w:rPr>
            <w:rStyle w:val="Hyperlink"/>
          </w:rPr>
          <w:t>http://cms.horus.be/files/99935/MediaArchive/Racist%20Violence%20The%20Netherlands%20-%20online.pdf</w:t>
        </w:r>
      </w:hyperlink>
      <w:r w:rsidRPr="000577B2">
        <w:t xml:space="preserve">. </w:t>
      </w:r>
    </w:p>
    <w:p w14:paraId="3D8B0C2E" w14:textId="6E8A8D18" w:rsidR="00300D42" w:rsidRPr="000577B2" w:rsidRDefault="00300D42" w:rsidP="00300D42">
      <w:pPr>
        <w:pStyle w:val="Jacobnormal"/>
        <w:spacing w:line="240" w:lineRule="auto"/>
        <w:ind w:left="567" w:hanging="567"/>
      </w:pPr>
      <w:r w:rsidRPr="000577B2">
        <w:t>Dutch Secret Service (2014). “Right-</w:t>
      </w:r>
      <w:r w:rsidR="007A2563">
        <w:t>W</w:t>
      </w:r>
      <w:r w:rsidRPr="000577B2">
        <w:t xml:space="preserve">ing </w:t>
      </w:r>
      <w:r w:rsidR="007A2563">
        <w:t>E</w:t>
      </w:r>
      <w:r w:rsidRPr="000577B2">
        <w:t xml:space="preserve">xtremism and the </w:t>
      </w:r>
      <w:r w:rsidR="007A2563">
        <w:t>E</w:t>
      </w:r>
      <w:r w:rsidRPr="000577B2">
        <w:t xml:space="preserve">xtreme </w:t>
      </w:r>
      <w:r w:rsidR="007A2563">
        <w:t>R</w:t>
      </w:r>
      <w:r w:rsidRPr="000577B2">
        <w:t xml:space="preserve">ight in the Netherlands </w:t>
      </w:r>
      <w:r w:rsidR="007A2563">
        <w:t>–</w:t>
      </w:r>
      <w:r w:rsidRPr="000577B2">
        <w:t xml:space="preserve"> Intelligence report”, available at </w:t>
      </w:r>
      <w:hyperlink r:id="rId88" w:history="1">
        <w:r w:rsidRPr="000577B2">
          <w:rPr>
            <w:rStyle w:val="Hyperlink"/>
          </w:rPr>
          <w:t>https://www.aivd.nl/publish/pages/2327/brochure_extreemrechts_engels.pdf</w:t>
        </w:r>
      </w:hyperlink>
      <w:r w:rsidRPr="000577B2">
        <w:t xml:space="preserve"> </w:t>
      </w:r>
    </w:p>
    <w:p w14:paraId="356E396A" w14:textId="77777777"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89" w:history="1">
        <w:r w:rsidRPr="000577B2">
          <w:rPr>
            <w:rStyle w:val="Hyperlink"/>
          </w:rPr>
          <w:t>http://fra.europa.eu/en/country-data/2012/racist-violence-15-eu-member-states</w:t>
        </w:r>
      </w:hyperlink>
      <w:r w:rsidRPr="000577B2">
        <w:t xml:space="preserve">. </w:t>
      </w:r>
    </w:p>
    <w:p w14:paraId="353509FF" w14:textId="53AD42C0" w:rsidR="000B73C0" w:rsidRPr="000577B2" w:rsidRDefault="000B73C0" w:rsidP="00300D42">
      <w:pPr>
        <w:pStyle w:val="Jacobnormal"/>
        <w:spacing w:line="240" w:lineRule="auto"/>
        <w:ind w:left="567" w:hanging="567"/>
      </w:pPr>
      <w:r w:rsidRPr="000577B2">
        <w:t xml:space="preserve">Police Academy of the Netherlands, annual hate crime reports (POLDIS), available at: </w:t>
      </w:r>
      <w:hyperlink r:id="rId90" w:history="1">
        <w:r w:rsidRPr="000577B2">
          <w:rPr>
            <w:rStyle w:val="Hyperlink"/>
          </w:rPr>
          <w:t>http://www.burojansen.nl/observant/discrimineert-de-politie-2/</w:t>
        </w:r>
      </w:hyperlink>
      <w:r w:rsidRPr="000577B2">
        <w:t xml:space="preserve"> </w:t>
      </w:r>
    </w:p>
    <w:p w14:paraId="114A175A" w14:textId="52918F58" w:rsidR="00300D42" w:rsidRPr="000577B2" w:rsidRDefault="00300D42" w:rsidP="00300D42">
      <w:pPr>
        <w:pStyle w:val="Jacobnormal"/>
        <w:spacing w:line="240" w:lineRule="auto"/>
        <w:ind w:left="567" w:hanging="567"/>
        <w:rPr>
          <w:rStyle w:val="Hyperlink"/>
        </w:rPr>
      </w:pPr>
      <w:r w:rsidRPr="000577B2">
        <w:t>Anne</w:t>
      </w:r>
      <w:r w:rsidR="00747FAC" w:rsidRPr="000577B2">
        <w:t xml:space="preserve"> Frank House, </w:t>
      </w:r>
      <w:r w:rsidR="00747FAC" w:rsidRPr="000577B2">
        <w:rPr>
          <w:i/>
        </w:rPr>
        <w:t>Racism and Extremism Monitor</w:t>
      </w:r>
      <w:r w:rsidR="00747FAC" w:rsidRPr="000577B2">
        <w:t xml:space="preserve">, </w:t>
      </w:r>
      <w:r w:rsidRPr="000577B2">
        <w:t xml:space="preserve">available at: </w:t>
      </w:r>
      <w:hyperlink r:id="rId91" w:history="1">
        <w:r w:rsidR="00747FAC" w:rsidRPr="000577B2">
          <w:rPr>
            <w:rStyle w:val="Hyperlink"/>
          </w:rPr>
          <w:t>http://www.annefrank.org/en/Education/Monitor-Homepage/Racism-monitor/</w:t>
        </w:r>
      </w:hyperlink>
      <w:r w:rsidRPr="000577B2">
        <w:rPr>
          <w:rStyle w:val="Hyperlink"/>
        </w:rPr>
        <w:t>.</w:t>
      </w:r>
    </w:p>
    <w:p w14:paraId="4964D629" w14:textId="6981630A" w:rsidR="000B73C0" w:rsidRPr="000577B2" w:rsidRDefault="000B73C0" w:rsidP="00300D42">
      <w:pPr>
        <w:pStyle w:val="Jacobnormal"/>
        <w:spacing w:line="240" w:lineRule="auto"/>
        <w:ind w:left="567" w:hanging="567"/>
      </w:pPr>
      <w:r w:rsidRPr="000577B2">
        <w:t xml:space="preserve">Anne Frank House (2012). “Second </w:t>
      </w:r>
      <w:r w:rsidR="007A2563">
        <w:t>R</w:t>
      </w:r>
      <w:r w:rsidRPr="000577B2">
        <w:t xml:space="preserve">eport on </w:t>
      </w:r>
      <w:r w:rsidR="007A2563">
        <w:t>R</w:t>
      </w:r>
      <w:r w:rsidRPr="000577B2">
        <w:t xml:space="preserve">acism, </w:t>
      </w:r>
      <w:r w:rsidR="007A2563">
        <w:t>A</w:t>
      </w:r>
      <w:r w:rsidRPr="000577B2">
        <w:t xml:space="preserve">nti-Semitism, and </w:t>
      </w:r>
      <w:r w:rsidR="007A2563">
        <w:t>R</w:t>
      </w:r>
      <w:r w:rsidRPr="000577B2">
        <w:t>ight-</w:t>
      </w:r>
      <w:r w:rsidR="007A2563">
        <w:t>W</w:t>
      </w:r>
      <w:r w:rsidRPr="000577B2">
        <w:t xml:space="preserve">ing </w:t>
      </w:r>
      <w:r w:rsidR="007A2563">
        <w:t>E</w:t>
      </w:r>
      <w:r w:rsidRPr="000577B2">
        <w:t xml:space="preserve">xtremist </w:t>
      </w:r>
      <w:r w:rsidR="007A2563">
        <w:t>V</w:t>
      </w:r>
      <w:r w:rsidRPr="000577B2">
        <w:t xml:space="preserve">iolence in the Netherlands”, available at: </w:t>
      </w:r>
      <w:hyperlink r:id="rId92" w:history="1">
        <w:r w:rsidRPr="000577B2">
          <w:rPr>
            <w:rStyle w:val="Hyperlink"/>
          </w:rPr>
          <w:t>http://www.annefrank.org/ImageVaultFiles/id_17077/cf_21/AFS_VJI_Report_2012_English.PDF</w:t>
        </w:r>
      </w:hyperlink>
      <w:r w:rsidRPr="000577B2">
        <w:t xml:space="preserve"> </w:t>
      </w:r>
    </w:p>
    <w:p w14:paraId="00D3AF1F" w14:textId="2F1CCF83" w:rsidR="00300D42" w:rsidRPr="000577B2" w:rsidRDefault="00747FAC" w:rsidP="00300D42">
      <w:pPr>
        <w:pStyle w:val="Jacobnormal"/>
        <w:spacing w:line="240" w:lineRule="auto"/>
        <w:ind w:left="567" w:hanging="567"/>
      </w:pPr>
      <w:r w:rsidRPr="000577B2">
        <w:lastRenderedPageBreak/>
        <w:t xml:space="preserve">Braun, R. (2011). </w:t>
      </w:r>
      <w:r w:rsidR="00AA760A">
        <w:t>“</w:t>
      </w:r>
      <w:r w:rsidRPr="000577B2">
        <w:t xml:space="preserve">The </w:t>
      </w:r>
      <w:r w:rsidR="007A2563">
        <w:t>D</w:t>
      </w:r>
      <w:r w:rsidRPr="000577B2">
        <w:t xml:space="preserve">iffusion of </w:t>
      </w:r>
      <w:r w:rsidR="007A2563">
        <w:t>R</w:t>
      </w:r>
      <w:r w:rsidRPr="000577B2">
        <w:t xml:space="preserve">acist </w:t>
      </w:r>
      <w:r w:rsidR="007A2563">
        <w:t>V</w:t>
      </w:r>
      <w:r w:rsidRPr="000577B2">
        <w:t xml:space="preserve">iolence in the Netherlands: Discourse and </w:t>
      </w:r>
      <w:r w:rsidR="007A2563">
        <w:t>D</w:t>
      </w:r>
      <w:r w:rsidRPr="000577B2">
        <w:t>istance</w:t>
      </w:r>
      <w:r w:rsidR="00AA760A">
        <w:t>”</w:t>
      </w:r>
      <w:r w:rsidRPr="000577B2">
        <w:t xml:space="preserve">. </w:t>
      </w:r>
      <w:r w:rsidRPr="000577B2">
        <w:rPr>
          <w:i/>
        </w:rPr>
        <w:t>Journal of Peace Research</w:t>
      </w:r>
      <w:r w:rsidR="00300D42" w:rsidRPr="000577B2">
        <w:t xml:space="preserve">, 48(6), 753–766, available at: </w:t>
      </w:r>
      <w:hyperlink r:id="rId93" w:history="1">
        <w:r w:rsidR="00300D42" w:rsidRPr="000577B2">
          <w:rPr>
            <w:rStyle w:val="Hyperlink"/>
          </w:rPr>
          <w:t>http://journals.sagepub.com/doi/abs/10.1177/0022343311419238</w:t>
        </w:r>
      </w:hyperlink>
      <w:r w:rsidR="00300D42" w:rsidRPr="000577B2">
        <w:t xml:space="preserve">. </w:t>
      </w:r>
    </w:p>
    <w:p w14:paraId="698E8927" w14:textId="40B285B3" w:rsidR="00695636" w:rsidRPr="000577B2" w:rsidRDefault="00695636" w:rsidP="00695636">
      <w:pPr>
        <w:pStyle w:val="Jacobnormal"/>
        <w:spacing w:line="240" w:lineRule="auto"/>
        <w:ind w:left="567" w:hanging="567"/>
      </w:pPr>
      <w:r w:rsidRPr="000577B2">
        <w:t xml:space="preserve">Dutch Ministry of Justice (1997). “Racist </w:t>
      </w:r>
      <w:r w:rsidR="007A2563">
        <w:t>V</w:t>
      </w:r>
      <w:r w:rsidRPr="000577B2">
        <w:t xml:space="preserve">iolence in the Netherlands: Nature and </w:t>
      </w:r>
      <w:r w:rsidR="007A2563">
        <w:t>E</w:t>
      </w:r>
      <w:r w:rsidRPr="000577B2">
        <w:t xml:space="preserve">xtent, </w:t>
      </w:r>
      <w:r w:rsidR="007A2563">
        <w:t>J</w:t>
      </w:r>
      <w:r w:rsidRPr="000577B2">
        <w:t xml:space="preserve">udicial </w:t>
      </w:r>
      <w:r w:rsidR="007A2563">
        <w:t>R</w:t>
      </w:r>
      <w:r w:rsidRPr="000577B2">
        <w:t xml:space="preserve">eaction, </w:t>
      </w:r>
      <w:r w:rsidR="007A2563">
        <w:t>O</w:t>
      </w:r>
      <w:r w:rsidRPr="000577B2">
        <w:t xml:space="preserve">ffender </w:t>
      </w:r>
      <w:r w:rsidR="007A2563">
        <w:t>T</w:t>
      </w:r>
      <w:r w:rsidRPr="000577B2">
        <w:t xml:space="preserve">ypes”, available at </w:t>
      </w:r>
      <w:hyperlink r:id="rId94" w:history="1">
        <w:r w:rsidRPr="000577B2">
          <w:rPr>
            <w:rStyle w:val="Hyperlink"/>
          </w:rPr>
          <w:t>https://english.wodc.nl/onderzoeksdatabase/w00160-racistisch-geweld-in-nederland-aard-en-omvang-strafrechtelijke-afdoening-dadertypen.aspx</w:t>
        </w:r>
      </w:hyperlink>
      <w:r w:rsidRPr="000577B2">
        <w:rPr>
          <w:rStyle w:val="Hyperlink"/>
        </w:rPr>
        <w:t>.</w:t>
      </w:r>
      <w:r w:rsidRPr="000577B2">
        <w:t xml:space="preserve">  </w:t>
      </w:r>
    </w:p>
    <w:p w14:paraId="53740489" w14:textId="30BA10F7" w:rsidR="00300D42" w:rsidRPr="000577B2" w:rsidRDefault="00747FAC" w:rsidP="00300D42">
      <w:pPr>
        <w:pStyle w:val="Jacobnormal"/>
        <w:spacing w:line="240" w:lineRule="auto"/>
        <w:ind w:left="567" w:hanging="567"/>
      </w:pPr>
      <w:proofErr w:type="gramStart"/>
      <w:r w:rsidRPr="000577B2">
        <w:t>van</w:t>
      </w:r>
      <w:proofErr w:type="gramEnd"/>
      <w:r w:rsidRPr="000577B2">
        <w:t xml:space="preserve"> </w:t>
      </w:r>
      <w:proofErr w:type="spellStart"/>
      <w:r w:rsidRPr="000577B2">
        <w:t>Donselar</w:t>
      </w:r>
      <w:proofErr w:type="spellEnd"/>
      <w:r w:rsidRPr="000577B2">
        <w:t xml:space="preserve">, J. (1993). </w:t>
      </w:r>
      <w:r w:rsidR="00AA760A">
        <w:t>“</w:t>
      </w:r>
      <w:r w:rsidRPr="000577B2">
        <w:t>The Extreme Right and Racist Violence in the Netherlands</w:t>
      </w:r>
      <w:r w:rsidR="00AA760A">
        <w:t>”</w:t>
      </w:r>
      <w:r w:rsidRPr="000577B2">
        <w:t xml:space="preserve">. In T. Bjørgo &amp; R. Witte (Eds.), </w:t>
      </w:r>
      <w:r w:rsidRPr="000577B2">
        <w:rPr>
          <w:i/>
        </w:rPr>
        <w:t xml:space="preserve">Racist </w:t>
      </w:r>
      <w:r w:rsidR="007A2563">
        <w:rPr>
          <w:i/>
        </w:rPr>
        <w:t>V</w:t>
      </w:r>
      <w:r w:rsidRPr="000577B2">
        <w:rPr>
          <w:i/>
        </w:rPr>
        <w:t>iolence in Europe</w:t>
      </w:r>
      <w:r w:rsidRPr="000577B2">
        <w:t xml:space="preserve"> (pp. 46–62)</w:t>
      </w:r>
      <w:r w:rsidR="00300D42" w:rsidRPr="000577B2">
        <w:t>. Basingstoke: Macmillan Press.</w:t>
      </w:r>
    </w:p>
    <w:p w14:paraId="1BD4BDF8" w14:textId="77777777" w:rsidR="000B73C0" w:rsidRPr="000577B2" w:rsidRDefault="000B73C0" w:rsidP="000B73C0">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95" w:history="1">
        <w:r w:rsidRPr="000577B2">
          <w:rPr>
            <w:rStyle w:val="Hyperlink"/>
          </w:rPr>
          <w:t>http://www.coe.int/t/dghl/monitoring/ecri/library/publications.asp</w:t>
        </w:r>
      </w:hyperlink>
      <w:r w:rsidRPr="000577B2">
        <w:rPr>
          <w:rStyle w:val="Hyperlink"/>
        </w:rPr>
        <w:t>.</w:t>
      </w:r>
    </w:p>
    <w:p w14:paraId="54E103A1" w14:textId="77777777" w:rsidR="000B73C0" w:rsidRPr="000577B2" w:rsidRDefault="000B73C0" w:rsidP="000B73C0">
      <w:pPr>
        <w:pStyle w:val="Jacobnormal"/>
        <w:spacing w:line="240" w:lineRule="auto"/>
        <w:ind w:left="567" w:hanging="567"/>
        <w:rPr>
          <w:rStyle w:val="Hyperlink"/>
        </w:rPr>
      </w:pPr>
      <w:r w:rsidRPr="000577B2">
        <w:t xml:space="preserve">European Network </w:t>
      </w:r>
      <w:proofErr w:type="gramStart"/>
      <w:r w:rsidRPr="000577B2">
        <w:t>Against</w:t>
      </w:r>
      <w:proofErr w:type="gramEnd"/>
      <w:r w:rsidRPr="000577B2">
        <w:t xml:space="preserve"> Racism (ENAR), shadow reports on racism in Europe, available at: </w:t>
      </w:r>
      <w:hyperlink r:id="rId96" w:history="1">
        <w:r w:rsidRPr="000577B2">
          <w:rPr>
            <w:rStyle w:val="Hyperlink"/>
          </w:rPr>
          <w:t>http://www.enar-eu.org/Shadow-Reports-on-racism-in-Europe-203</w:t>
        </w:r>
      </w:hyperlink>
      <w:r w:rsidRPr="000577B2">
        <w:rPr>
          <w:rStyle w:val="Hyperlink"/>
        </w:rPr>
        <w:t>.</w:t>
      </w:r>
    </w:p>
    <w:p w14:paraId="6999408D" w14:textId="77777777" w:rsidR="00DD613A" w:rsidRDefault="00DD613A" w:rsidP="000B73C0">
      <w:pPr>
        <w:pStyle w:val="Jacobnormal"/>
        <w:spacing w:line="240" w:lineRule="auto"/>
        <w:ind w:left="567" w:hanging="567"/>
        <w:rPr>
          <w:b/>
        </w:rPr>
      </w:pPr>
    </w:p>
    <w:p w14:paraId="57BEEEB4" w14:textId="357877D0" w:rsidR="000B73C0" w:rsidRPr="000577B2" w:rsidRDefault="000B73C0" w:rsidP="000B73C0">
      <w:pPr>
        <w:pStyle w:val="Jacobnormal"/>
        <w:spacing w:line="240" w:lineRule="auto"/>
        <w:ind w:left="567" w:hanging="567"/>
        <w:rPr>
          <w:b/>
          <w:color w:val="0000FF" w:themeColor="hyperlink"/>
          <w:u w:val="single"/>
        </w:rPr>
      </w:pPr>
      <w:r w:rsidRPr="000577B2">
        <w:rPr>
          <w:b/>
        </w:rPr>
        <w:t>Norway</w:t>
      </w:r>
    </w:p>
    <w:p w14:paraId="70B34255" w14:textId="354B25A6" w:rsidR="000B73C0" w:rsidRDefault="00747FAC" w:rsidP="000B73C0">
      <w:pPr>
        <w:pStyle w:val="Jacobnormal"/>
        <w:spacing w:line="240" w:lineRule="auto"/>
        <w:ind w:left="567" w:hanging="567"/>
      </w:pPr>
      <w:r w:rsidRPr="000577B2">
        <w:t xml:space="preserve">Jan Oskar </w:t>
      </w:r>
      <w:proofErr w:type="spellStart"/>
      <w:r w:rsidRPr="000577B2">
        <w:t>Engene</w:t>
      </w:r>
      <w:proofErr w:type="spellEnd"/>
      <w:r w:rsidRPr="000577B2">
        <w:t>, “</w:t>
      </w:r>
      <w:proofErr w:type="spellStart"/>
      <w:r w:rsidRPr="000577B2">
        <w:t>Politisk</w:t>
      </w:r>
      <w:proofErr w:type="spellEnd"/>
      <w:r w:rsidRPr="000577B2">
        <w:t xml:space="preserve"> Vold </w:t>
      </w:r>
      <w:proofErr w:type="spellStart"/>
      <w:r w:rsidRPr="000577B2">
        <w:t>i</w:t>
      </w:r>
      <w:proofErr w:type="spellEnd"/>
      <w:r w:rsidRPr="000577B2">
        <w:t xml:space="preserve"> Norge 1945-2012”, </w:t>
      </w:r>
      <w:r w:rsidR="000B73C0" w:rsidRPr="000577B2">
        <w:t xml:space="preserve">unpublished dataset on political </w:t>
      </w:r>
      <w:r w:rsidR="00695636" w:rsidRPr="000577B2">
        <w:t>violence</w:t>
      </w:r>
      <w:r w:rsidR="000B73C0" w:rsidRPr="000577B2">
        <w:t xml:space="preserve"> in Norway</w:t>
      </w:r>
      <w:r w:rsidRPr="000577B2">
        <w:t>.</w:t>
      </w:r>
    </w:p>
    <w:p w14:paraId="1EF01F02" w14:textId="704FA332" w:rsidR="00695636" w:rsidRPr="000577B2" w:rsidRDefault="00695636" w:rsidP="000B73C0">
      <w:pPr>
        <w:pStyle w:val="Jacobnormal"/>
        <w:spacing w:line="240" w:lineRule="auto"/>
        <w:ind w:left="567" w:hanging="567"/>
      </w:pPr>
      <w:r>
        <w:t xml:space="preserve">Norwegian Police, national hate crimes statistics 2007–2016, available at: </w:t>
      </w:r>
      <w:hyperlink r:id="rId97" w:history="1">
        <w:r w:rsidRPr="00D62FEC">
          <w:rPr>
            <w:rStyle w:val="Hyperlink"/>
          </w:rPr>
          <w:t>https://www.politi.no/oslo/strategier_og_analyser/statistikker_og_analyser/Tema_1793.xml</w:t>
        </w:r>
      </w:hyperlink>
      <w:r>
        <w:t xml:space="preserve"> </w:t>
      </w:r>
    </w:p>
    <w:p w14:paraId="04F49823" w14:textId="77777777" w:rsidR="00695636" w:rsidRDefault="00695636" w:rsidP="000B73C0">
      <w:pPr>
        <w:pStyle w:val="Jacobnormal"/>
        <w:spacing w:line="240" w:lineRule="auto"/>
        <w:ind w:left="567" w:hanging="567"/>
      </w:pPr>
      <w:proofErr w:type="spellStart"/>
      <w:r w:rsidRPr="000577B2">
        <w:t>Lunde</w:t>
      </w:r>
      <w:proofErr w:type="spellEnd"/>
      <w:r w:rsidRPr="000577B2">
        <w:t xml:space="preserve">, H. (1999). “Racist Violence and Harassment in Norway”, in T. Virtanen (ed.), </w:t>
      </w:r>
      <w:r w:rsidRPr="004115DA">
        <w:rPr>
          <w:i/>
        </w:rPr>
        <w:t>Youth, Racist Violence and Anti-racist Responses in the Nordic Countries</w:t>
      </w:r>
      <w:r w:rsidRPr="000577B2">
        <w:t xml:space="preserve">. Finnish Youth Research Society, available at: </w:t>
      </w:r>
      <w:hyperlink r:id="rId98" w:history="1">
        <w:r w:rsidRPr="000577B2">
          <w:rPr>
            <w:rStyle w:val="Hyperlink"/>
          </w:rPr>
          <w:t>http://www.nuorisotutkimusseura.fi/images/julkaisuja/virtanen/3/6.html</w:t>
        </w:r>
      </w:hyperlink>
      <w:r>
        <w:t>.</w:t>
      </w:r>
    </w:p>
    <w:p w14:paraId="3D3CFBA2" w14:textId="5A66372C" w:rsidR="000B73C0" w:rsidRPr="000577B2" w:rsidRDefault="00747FAC" w:rsidP="00695636">
      <w:pPr>
        <w:pStyle w:val="Jacobnormal"/>
        <w:spacing w:line="240" w:lineRule="auto"/>
        <w:ind w:left="567" w:hanging="567"/>
      </w:pPr>
      <w:r w:rsidRPr="000577B2">
        <w:t xml:space="preserve">Bjørgo, T. (1997). </w:t>
      </w:r>
      <w:r w:rsidR="00AA760A">
        <w:t>“</w:t>
      </w:r>
      <w:r w:rsidRPr="000577B2">
        <w:t xml:space="preserve">Racist and </w:t>
      </w:r>
      <w:r w:rsidR="007A2563">
        <w:t>R</w:t>
      </w:r>
      <w:r w:rsidRPr="000577B2">
        <w:t>ight-</w:t>
      </w:r>
      <w:r w:rsidR="007A2563">
        <w:t>W</w:t>
      </w:r>
      <w:r w:rsidRPr="000577B2">
        <w:t xml:space="preserve">ing </w:t>
      </w:r>
      <w:r w:rsidR="007A2563">
        <w:t>V</w:t>
      </w:r>
      <w:r w:rsidRPr="000577B2">
        <w:t xml:space="preserve">iolence in Scandinavia: </w:t>
      </w:r>
      <w:r w:rsidR="007A2563">
        <w:t>P</w:t>
      </w:r>
      <w:r w:rsidRPr="000577B2">
        <w:t xml:space="preserve">atterns, </w:t>
      </w:r>
      <w:r w:rsidR="007A2563">
        <w:t>P</w:t>
      </w:r>
      <w:r w:rsidRPr="000577B2">
        <w:t xml:space="preserve">erpetrators, and </w:t>
      </w:r>
      <w:r w:rsidR="007A2563">
        <w:t>R</w:t>
      </w:r>
      <w:r w:rsidRPr="000577B2">
        <w:t>esponses</w:t>
      </w:r>
      <w:r w:rsidR="00AA760A">
        <w:t>”</w:t>
      </w:r>
      <w:r w:rsidRPr="000577B2">
        <w:t xml:space="preserve"> (Doctoral Thesis). Oslo: </w:t>
      </w:r>
      <w:proofErr w:type="spellStart"/>
      <w:r w:rsidRPr="000577B2">
        <w:t>Tano</w:t>
      </w:r>
      <w:proofErr w:type="spellEnd"/>
      <w:r w:rsidRPr="000577B2">
        <w:t xml:space="preserve"> </w:t>
      </w:r>
      <w:proofErr w:type="spellStart"/>
      <w:r w:rsidRPr="000577B2">
        <w:t>Aschehoug</w:t>
      </w:r>
      <w:proofErr w:type="spellEnd"/>
      <w:r w:rsidRPr="000577B2">
        <w:t>.</w:t>
      </w:r>
    </w:p>
    <w:p w14:paraId="78A5ADD3" w14:textId="50D9D162" w:rsidR="00747FAC" w:rsidRPr="000577B2" w:rsidRDefault="00747FAC" w:rsidP="000B73C0">
      <w:pPr>
        <w:pStyle w:val="Jacobnormal"/>
        <w:spacing w:line="240" w:lineRule="auto"/>
        <w:ind w:left="567" w:hanging="567"/>
      </w:pPr>
      <w:r w:rsidRPr="000577B2">
        <w:t xml:space="preserve">Fangen, K. (2001). </w:t>
      </w:r>
      <w:r w:rsidR="00695636">
        <w:t>“</w:t>
      </w:r>
      <w:r w:rsidRPr="00695636">
        <w:t xml:space="preserve">Pride and </w:t>
      </w:r>
      <w:r w:rsidR="007A2563">
        <w:t>P</w:t>
      </w:r>
      <w:r w:rsidRPr="00695636">
        <w:t xml:space="preserve">ower: a </w:t>
      </w:r>
      <w:r w:rsidR="007A2563">
        <w:t>S</w:t>
      </w:r>
      <w:r w:rsidRPr="00695636">
        <w:t xml:space="preserve">ociological </w:t>
      </w:r>
      <w:r w:rsidR="007A2563">
        <w:t>S</w:t>
      </w:r>
      <w:r w:rsidRPr="00695636">
        <w:t xml:space="preserve">tudy of the Norwegian </w:t>
      </w:r>
      <w:r w:rsidR="007A2563">
        <w:t>R</w:t>
      </w:r>
      <w:r w:rsidRPr="00695636">
        <w:t xml:space="preserve">adical </w:t>
      </w:r>
      <w:r w:rsidR="007A2563">
        <w:t>N</w:t>
      </w:r>
      <w:r w:rsidRPr="00695636">
        <w:t>ationalist</w:t>
      </w:r>
      <w:r w:rsidR="00695636" w:rsidRPr="00695636">
        <w:t xml:space="preserve"> </w:t>
      </w:r>
      <w:r w:rsidR="007A2563">
        <w:t>U</w:t>
      </w:r>
      <w:r w:rsidRPr="00695636">
        <w:t xml:space="preserve">nderground </w:t>
      </w:r>
      <w:r w:rsidR="007A2563">
        <w:t>M</w:t>
      </w:r>
      <w:r w:rsidRPr="00695636">
        <w:t>ovement</w:t>
      </w:r>
      <w:r w:rsidR="00695636">
        <w:t>”, doctoral thesis,</w:t>
      </w:r>
      <w:r w:rsidRPr="000577B2">
        <w:t xml:space="preserve"> University of Oslo.</w:t>
      </w:r>
    </w:p>
    <w:p w14:paraId="513872E5" w14:textId="77777777" w:rsidR="000B73C0" w:rsidRPr="000577B2" w:rsidRDefault="000B73C0" w:rsidP="000B73C0">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99" w:history="1">
        <w:r w:rsidRPr="000577B2">
          <w:rPr>
            <w:rStyle w:val="Hyperlink"/>
          </w:rPr>
          <w:t>http://www.coe.int/t/dghl/monitoring/ecri/library/publications.asp</w:t>
        </w:r>
      </w:hyperlink>
      <w:r w:rsidRPr="000577B2">
        <w:rPr>
          <w:rStyle w:val="Hyperlink"/>
        </w:rPr>
        <w:t>.</w:t>
      </w:r>
    </w:p>
    <w:p w14:paraId="6B54F61D" w14:textId="77777777" w:rsidR="00DD613A" w:rsidRDefault="00DD613A" w:rsidP="000465EA">
      <w:pPr>
        <w:pStyle w:val="Jacobnormal"/>
        <w:spacing w:line="240" w:lineRule="auto"/>
        <w:ind w:left="567" w:hanging="567"/>
        <w:rPr>
          <w:b/>
        </w:rPr>
      </w:pPr>
    </w:p>
    <w:p w14:paraId="46499294" w14:textId="2D3BD486" w:rsidR="000465EA" w:rsidRPr="000577B2" w:rsidRDefault="000B73C0" w:rsidP="000465EA">
      <w:pPr>
        <w:pStyle w:val="Jacobnormal"/>
        <w:spacing w:line="240" w:lineRule="auto"/>
        <w:ind w:left="567" w:hanging="567"/>
        <w:rPr>
          <w:b/>
        </w:rPr>
      </w:pPr>
      <w:r w:rsidRPr="000577B2">
        <w:rPr>
          <w:b/>
        </w:rPr>
        <w:t>Portugal</w:t>
      </w:r>
    </w:p>
    <w:p w14:paraId="0055AE94" w14:textId="77777777"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100" w:history="1">
        <w:r w:rsidRPr="000577B2">
          <w:rPr>
            <w:rStyle w:val="Hyperlink"/>
          </w:rPr>
          <w:t>http://fra.europa.eu/en/country-data/2012/racist-violence-15-eu-member-states</w:t>
        </w:r>
      </w:hyperlink>
      <w:r w:rsidRPr="000577B2">
        <w:t xml:space="preserve">. </w:t>
      </w:r>
    </w:p>
    <w:p w14:paraId="3B0FC00E" w14:textId="77777777" w:rsidR="000465EA" w:rsidRPr="000577B2" w:rsidRDefault="000465EA" w:rsidP="000465EA">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101" w:history="1">
        <w:r w:rsidRPr="000577B2">
          <w:rPr>
            <w:rStyle w:val="Hyperlink"/>
          </w:rPr>
          <w:t>http://www.coe.int/t/dghl/monitoring/ecri/library/publications.asp</w:t>
        </w:r>
      </w:hyperlink>
      <w:r w:rsidRPr="000577B2">
        <w:rPr>
          <w:rStyle w:val="Hyperlink"/>
        </w:rPr>
        <w:t>.</w:t>
      </w:r>
    </w:p>
    <w:p w14:paraId="1092C84D" w14:textId="77777777" w:rsidR="000465EA" w:rsidRPr="000577B2" w:rsidRDefault="000465EA" w:rsidP="000465EA">
      <w:pPr>
        <w:pStyle w:val="Jacobnormal"/>
        <w:spacing w:line="240" w:lineRule="auto"/>
        <w:ind w:left="567" w:hanging="567"/>
        <w:rPr>
          <w:rStyle w:val="Hyperlink"/>
        </w:rPr>
      </w:pPr>
      <w:r w:rsidRPr="000577B2">
        <w:lastRenderedPageBreak/>
        <w:t xml:space="preserve">European Network </w:t>
      </w:r>
      <w:proofErr w:type="gramStart"/>
      <w:r w:rsidRPr="000577B2">
        <w:t>Against</w:t>
      </w:r>
      <w:proofErr w:type="gramEnd"/>
      <w:r w:rsidRPr="000577B2">
        <w:t xml:space="preserve"> Racism (ENAR), shadow reports on racism in Europe, available at: </w:t>
      </w:r>
      <w:hyperlink r:id="rId102" w:history="1">
        <w:r w:rsidRPr="000577B2">
          <w:rPr>
            <w:rStyle w:val="Hyperlink"/>
          </w:rPr>
          <w:t>http://www.enar-eu.org/Shadow-Reports-on-racism-in-Europe-203</w:t>
        </w:r>
      </w:hyperlink>
      <w:r w:rsidRPr="000577B2">
        <w:rPr>
          <w:rStyle w:val="Hyperlink"/>
        </w:rPr>
        <w:t>.</w:t>
      </w:r>
    </w:p>
    <w:p w14:paraId="3FFB5F82" w14:textId="77777777" w:rsidR="00DD613A" w:rsidRDefault="00DD613A" w:rsidP="000465EA">
      <w:pPr>
        <w:pStyle w:val="Jacobnormal"/>
        <w:spacing w:line="240" w:lineRule="auto"/>
        <w:ind w:left="567" w:hanging="567"/>
        <w:rPr>
          <w:b/>
        </w:rPr>
      </w:pPr>
    </w:p>
    <w:p w14:paraId="0CE2C544" w14:textId="33618A17" w:rsidR="00747FAC" w:rsidRPr="000577B2" w:rsidRDefault="00747FAC" w:rsidP="000465EA">
      <w:pPr>
        <w:pStyle w:val="Jacobnormal"/>
        <w:spacing w:line="240" w:lineRule="auto"/>
        <w:ind w:left="567" w:hanging="567"/>
        <w:rPr>
          <w:b/>
        </w:rPr>
      </w:pPr>
      <w:r w:rsidRPr="000577B2">
        <w:rPr>
          <w:b/>
        </w:rPr>
        <w:t>Spain</w:t>
      </w:r>
    </w:p>
    <w:p w14:paraId="2FC4C6C1" w14:textId="366482C0" w:rsidR="000465EA" w:rsidRPr="000577B2" w:rsidRDefault="000465EA" w:rsidP="000465EA">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103" w:history="1">
        <w:r w:rsidRPr="000577B2">
          <w:rPr>
            <w:rStyle w:val="Hyperlink"/>
          </w:rPr>
          <w:t>http://fra.europa.eu/en/country-data/2012/racist-violence-15-eu-member-states</w:t>
        </w:r>
      </w:hyperlink>
      <w:r w:rsidRPr="000577B2">
        <w:t xml:space="preserve">. </w:t>
      </w:r>
    </w:p>
    <w:p w14:paraId="6D0C07FC" w14:textId="7B6A90F4" w:rsidR="000465EA" w:rsidRPr="000577B2" w:rsidRDefault="000465EA" w:rsidP="000465EA">
      <w:pPr>
        <w:pStyle w:val="Jacobnormal"/>
        <w:spacing w:line="240" w:lineRule="auto"/>
        <w:ind w:left="567" w:hanging="567"/>
        <w:rPr>
          <w:rStyle w:val="Hyperlink"/>
        </w:rPr>
      </w:pPr>
      <w:r w:rsidRPr="000577B2">
        <w:t xml:space="preserve">European Network </w:t>
      </w:r>
      <w:proofErr w:type="gramStart"/>
      <w:r w:rsidRPr="000577B2">
        <w:t>Against</w:t>
      </w:r>
      <w:proofErr w:type="gramEnd"/>
      <w:r w:rsidRPr="000577B2">
        <w:t xml:space="preserve"> Racism (ENAR), “Racist Violence in Spain”, available at: </w:t>
      </w:r>
      <w:hyperlink r:id="rId104" w:history="1">
        <w:r w:rsidRPr="000577B2">
          <w:rPr>
            <w:rStyle w:val="Hyperlink"/>
          </w:rPr>
          <w:t>http://cms.horus.be/files/99935/MediaArchive/Racist%20Violence%20Spain%20-online.pdf</w:t>
        </w:r>
      </w:hyperlink>
    </w:p>
    <w:p w14:paraId="26600EBF" w14:textId="544EC6F4" w:rsidR="000577B2" w:rsidRPr="000577B2" w:rsidRDefault="000577B2" w:rsidP="000577B2">
      <w:pPr>
        <w:pStyle w:val="Jacobnormal"/>
        <w:spacing w:line="240" w:lineRule="auto"/>
        <w:ind w:left="567" w:hanging="567"/>
      </w:pPr>
      <w:proofErr w:type="spellStart"/>
      <w:r w:rsidRPr="000577B2">
        <w:t>Moviemiento</w:t>
      </w:r>
      <w:proofErr w:type="spellEnd"/>
      <w:r w:rsidRPr="000577B2">
        <w:t xml:space="preserve"> Contra la </w:t>
      </w:r>
      <w:proofErr w:type="spellStart"/>
      <w:r w:rsidRPr="000577B2">
        <w:t>Intolerancia</w:t>
      </w:r>
      <w:proofErr w:type="spellEnd"/>
      <w:r w:rsidRPr="000577B2">
        <w:t xml:space="preserve">, provides extensive reporting on right-wing extremist hate crimes: </w:t>
      </w:r>
      <w:hyperlink r:id="rId105" w:history="1">
        <w:r w:rsidRPr="000577B2">
          <w:rPr>
            <w:rStyle w:val="Hyperlink"/>
          </w:rPr>
          <w:t>www.movimientocontralaintolerancia.com</w:t>
        </w:r>
      </w:hyperlink>
      <w:r w:rsidRPr="000577B2">
        <w:t xml:space="preserve"> </w:t>
      </w:r>
    </w:p>
    <w:p w14:paraId="0DBC87A2" w14:textId="77777777" w:rsidR="000465EA" w:rsidRPr="000577B2" w:rsidRDefault="00B948EA" w:rsidP="000465EA">
      <w:pPr>
        <w:pStyle w:val="Jacobnormal"/>
        <w:spacing w:line="240" w:lineRule="auto"/>
        <w:ind w:left="567" w:hanging="567"/>
      </w:pPr>
      <w:hyperlink r:id="rId106" w:history="1">
        <w:r w:rsidR="000465EA" w:rsidRPr="000577B2">
          <w:rPr>
            <w:rStyle w:val="Hyperlink"/>
            <w:color w:val="auto"/>
            <w:u w:val="none"/>
          </w:rPr>
          <w:t>Confederación General del Trabajo</w:t>
        </w:r>
      </w:hyperlink>
      <w:r w:rsidR="000465EA" w:rsidRPr="000577B2">
        <w:t xml:space="preserve">, “Ojos que no </w:t>
      </w:r>
      <w:proofErr w:type="spellStart"/>
      <w:r w:rsidR="000465EA" w:rsidRPr="000577B2">
        <w:t>ven</w:t>
      </w:r>
      <w:proofErr w:type="spellEnd"/>
      <w:r w:rsidR="000465EA" w:rsidRPr="000577B2">
        <w:t xml:space="preserve">” (documentary about victims of deadly right-wing extremist crimes in Spain, available at: </w:t>
      </w:r>
      <w:hyperlink r:id="rId107" w:history="1">
        <w:r w:rsidR="000465EA" w:rsidRPr="000577B2">
          <w:rPr>
            <w:rStyle w:val="Hyperlink"/>
          </w:rPr>
          <w:t>http://www.rojoynegro.info/articulo/cultura-libre/ojos-no-ven-documental-creative-commons-sobre-las-victima-del-fascismo-espana</w:t>
        </w:r>
      </w:hyperlink>
      <w:r w:rsidR="000465EA" w:rsidRPr="000577B2">
        <w:t xml:space="preserve"> </w:t>
      </w:r>
    </w:p>
    <w:p w14:paraId="661A1084" w14:textId="10C726E0" w:rsidR="000465EA" w:rsidRPr="007B0E49" w:rsidRDefault="00747FAC" w:rsidP="000465EA">
      <w:pPr>
        <w:pStyle w:val="Jacobnormal"/>
        <w:spacing w:line="240" w:lineRule="auto"/>
        <w:ind w:left="567" w:hanging="567"/>
        <w:rPr>
          <w:lang w:val="en-US"/>
        </w:rPr>
      </w:pPr>
      <w:proofErr w:type="spellStart"/>
      <w:r w:rsidRPr="000544C7">
        <w:rPr>
          <w:lang w:val="nb-NO"/>
        </w:rPr>
        <w:t>Ibarra</w:t>
      </w:r>
      <w:proofErr w:type="spellEnd"/>
      <w:r w:rsidRPr="000544C7">
        <w:rPr>
          <w:lang w:val="nb-NO"/>
        </w:rPr>
        <w:t xml:space="preserve">, E. (2011). </w:t>
      </w:r>
      <w:r w:rsidR="000465EA" w:rsidRPr="000544C7">
        <w:rPr>
          <w:lang w:val="nb-NO"/>
        </w:rPr>
        <w:t>“</w:t>
      </w:r>
      <w:r w:rsidRPr="000544C7">
        <w:rPr>
          <w:lang w:val="nb-NO"/>
        </w:rPr>
        <w:t xml:space="preserve">La </w:t>
      </w:r>
      <w:proofErr w:type="spellStart"/>
      <w:r w:rsidRPr="000544C7">
        <w:rPr>
          <w:lang w:val="nb-NO"/>
        </w:rPr>
        <w:t>España</w:t>
      </w:r>
      <w:proofErr w:type="spellEnd"/>
      <w:r w:rsidRPr="000544C7">
        <w:rPr>
          <w:lang w:val="nb-NO"/>
        </w:rPr>
        <w:t xml:space="preserve"> </w:t>
      </w:r>
      <w:proofErr w:type="spellStart"/>
      <w:r w:rsidRPr="000544C7">
        <w:rPr>
          <w:lang w:val="nb-NO"/>
        </w:rPr>
        <w:t>racista</w:t>
      </w:r>
      <w:proofErr w:type="spellEnd"/>
      <w:r w:rsidRPr="000544C7">
        <w:rPr>
          <w:lang w:val="nb-NO"/>
        </w:rPr>
        <w:t xml:space="preserve">: la </w:t>
      </w:r>
      <w:proofErr w:type="spellStart"/>
      <w:r w:rsidRPr="000544C7">
        <w:rPr>
          <w:lang w:val="nb-NO"/>
        </w:rPr>
        <w:t>lucha</w:t>
      </w:r>
      <w:proofErr w:type="spellEnd"/>
      <w:r w:rsidRPr="000544C7">
        <w:rPr>
          <w:lang w:val="nb-NO"/>
        </w:rPr>
        <w:t xml:space="preserve"> en </w:t>
      </w:r>
      <w:proofErr w:type="spellStart"/>
      <w:r w:rsidRPr="000544C7">
        <w:rPr>
          <w:lang w:val="nb-NO"/>
        </w:rPr>
        <w:t>defensa</w:t>
      </w:r>
      <w:proofErr w:type="spellEnd"/>
      <w:r w:rsidRPr="000544C7">
        <w:rPr>
          <w:lang w:val="nb-NO"/>
        </w:rPr>
        <w:t xml:space="preserve"> de las </w:t>
      </w:r>
      <w:proofErr w:type="spellStart"/>
      <w:r w:rsidRPr="000544C7">
        <w:rPr>
          <w:lang w:val="nb-NO"/>
        </w:rPr>
        <w:t>víctimas</w:t>
      </w:r>
      <w:proofErr w:type="spellEnd"/>
      <w:r w:rsidRPr="000544C7">
        <w:rPr>
          <w:lang w:val="nb-NO"/>
        </w:rPr>
        <w:t xml:space="preserve"> del </w:t>
      </w:r>
      <w:proofErr w:type="spellStart"/>
      <w:r w:rsidRPr="000544C7">
        <w:rPr>
          <w:lang w:val="nb-NO"/>
        </w:rPr>
        <w:t>odio</w:t>
      </w:r>
      <w:proofErr w:type="spellEnd"/>
      <w:r w:rsidR="000465EA" w:rsidRPr="000544C7">
        <w:rPr>
          <w:lang w:val="nb-NO"/>
        </w:rPr>
        <w:t xml:space="preserve">”. </w:t>
      </w:r>
      <w:proofErr w:type="spellStart"/>
      <w:r w:rsidR="000465EA" w:rsidRPr="007B0E49">
        <w:rPr>
          <w:lang w:val="en-US"/>
        </w:rPr>
        <w:t>Ediciones</w:t>
      </w:r>
      <w:proofErr w:type="spellEnd"/>
      <w:r w:rsidR="000465EA" w:rsidRPr="007B0E49">
        <w:rPr>
          <w:lang w:val="en-US"/>
        </w:rPr>
        <w:t xml:space="preserve"> </w:t>
      </w:r>
      <w:proofErr w:type="spellStart"/>
      <w:r w:rsidR="000465EA" w:rsidRPr="007B0E49">
        <w:rPr>
          <w:lang w:val="en-US"/>
        </w:rPr>
        <w:t>Temas</w:t>
      </w:r>
      <w:proofErr w:type="spellEnd"/>
      <w:r w:rsidR="000465EA" w:rsidRPr="007B0E49">
        <w:rPr>
          <w:lang w:val="en-US"/>
        </w:rPr>
        <w:t xml:space="preserve"> de Hoy</w:t>
      </w:r>
    </w:p>
    <w:p w14:paraId="5819736F" w14:textId="77777777" w:rsidR="000577B2" w:rsidRPr="000577B2" w:rsidRDefault="000577B2" w:rsidP="000577B2">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108" w:history="1">
        <w:r w:rsidRPr="000577B2">
          <w:rPr>
            <w:rStyle w:val="Hyperlink"/>
          </w:rPr>
          <w:t>http://www.coe.int/t/dghl/monitoring/ecri/library/publications.asp</w:t>
        </w:r>
      </w:hyperlink>
      <w:r w:rsidRPr="000577B2">
        <w:rPr>
          <w:rStyle w:val="Hyperlink"/>
        </w:rPr>
        <w:t>.</w:t>
      </w:r>
    </w:p>
    <w:p w14:paraId="33A9AA97" w14:textId="77777777" w:rsidR="000577B2" w:rsidRPr="000577B2" w:rsidRDefault="000577B2" w:rsidP="000577B2">
      <w:pPr>
        <w:pStyle w:val="Jacobnormal"/>
        <w:spacing w:line="240" w:lineRule="auto"/>
        <w:ind w:left="567" w:hanging="567"/>
        <w:rPr>
          <w:color w:val="0000FF" w:themeColor="hyperlink"/>
          <w:u w:val="single"/>
        </w:rPr>
      </w:pPr>
      <w:r w:rsidRPr="000577B2">
        <w:t xml:space="preserve">European Network </w:t>
      </w:r>
      <w:proofErr w:type="gramStart"/>
      <w:r w:rsidRPr="000577B2">
        <w:t>Against</w:t>
      </w:r>
      <w:proofErr w:type="gramEnd"/>
      <w:r w:rsidRPr="000577B2">
        <w:t xml:space="preserve"> Racism (ENAR), shadow reports on racism in Europe, available at: </w:t>
      </w:r>
      <w:hyperlink r:id="rId109" w:history="1">
        <w:r w:rsidRPr="000577B2">
          <w:rPr>
            <w:rStyle w:val="Hyperlink"/>
          </w:rPr>
          <w:t>http://www.enar-eu.org/Shadow-Reports-on-racism-in-Europe-203</w:t>
        </w:r>
      </w:hyperlink>
      <w:r w:rsidRPr="000577B2">
        <w:rPr>
          <w:rStyle w:val="Hyperlink"/>
        </w:rPr>
        <w:t>.</w:t>
      </w:r>
    </w:p>
    <w:p w14:paraId="7C6A7712" w14:textId="77777777" w:rsidR="003F7F49" w:rsidRDefault="003F7F49" w:rsidP="000577B2">
      <w:pPr>
        <w:pStyle w:val="Jacobnormal"/>
        <w:spacing w:line="240" w:lineRule="auto"/>
        <w:ind w:left="567" w:hanging="567"/>
        <w:rPr>
          <w:b/>
        </w:rPr>
      </w:pPr>
    </w:p>
    <w:p w14:paraId="437A1A8D" w14:textId="4C79EC48" w:rsidR="000577B2" w:rsidRPr="000577B2" w:rsidRDefault="000577B2" w:rsidP="000577B2">
      <w:pPr>
        <w:pStyle w:val="Jacobnormal"/>
        <w:spacing w:line="240" w:lineRule="auto"/>
        <w:ind w:left="567" w:hanging="567"/>
        <w:rPr>
          <w:b/>
          <w:color w:val="0000FF" w:themeColor="hyperlink"/>
          <w:u w:val="single"/>
        </w:rPr>
      </w:pPr>
      <w:r w:rsidRPr="000577B2">
        <w:rPr>
          <w:b/>
        </w:rPr>
        <w:t>Sweden</w:t>
      </w:r>
    </w:p>
    <w:p w14:paraId="4275D0F4" w14:textId="77777777" w:rsidR="000577B2" w:rsidRPr="000577B2" w:rsidRDefault="00747FAC" w:rsidP="000577B2">
      <w:pPr>
        <w:pStyle w:val="Jacobnormal"/>
        <w:spacing w:line="240" w:lineRule="auto"/>
        <w:ind w:left="567" w:hanging="567"/>
        <w:rPr>
          <w:b/>
          <w:color w:val="0000FF" w:themeColor="hyperlink"/>
          <w:u w:val="single"/>
        </w:rPr>
      </w:pPr>
      <w:r w:rsidRPr="000577B2">
        <w:t>Swedish Security Service (SÄPO),</w:t>
      </w:r>
      <w:r w:rsidR="000577B2" w:rsidRPr="000577B2">
        <w:t xml:space="preserve"> annual hate crime reports 2000–2004, available at:</w:t>
      </w:r>
      <w:r w:rsidRPr="000577B2">
        <w:t xml:space="preserve"> </w:t>
      </w:r>
      <w:hyperlink r:id="rId110" w:history="1">
        <w:r w:rsidRPr="000577B2">
          <w:rPr>
            <w:rStyle w:val="Hyperlink"/>
          </w:rPr>
          <w:t>http://www.sakerhetspolisen.se/publikationer.html</w:t>
        </w:r>
      </w:hyperlink>
    </w:p>
    <w:p w14:paraId="53BB4BE0" w14:textId="77777777" w:rsidR="000577B2" w:rsidRPr="000577B2" w:rsidRDefault="00747FAC" w:rsidP="000577B2">
      <w:pPr>
        <w:pStyle w:val="Jacobnormal"/>
        <w:spacing w:line="240" w:lineRule="auto"/>
        <w:ind w:left="567" w:hanging="567"/>
        <w:rPr>
          <w:b/>
          <w:color w:val="0000FF" w:themeColor="hyperlink"/>
          <w:u w:val="single"/>
        </w:rPr>
      </w:pPr>
      <w:r w:rsidRPr="000577B2">
        <w:t>The Swedish National Council for Crime Prevention (</w:t>
      </w:r>
      <w:proofErr w:type="spellStart"/>
      <w:r w:rsidRPr="000577B2">
        <w:t>Brå</w:t>
      </w:r>
      <w:proofErr w:type="spellEnd"/>
      <w:r w:rsidRPr="000577B2">
        <w:t xml:space="preserve">), </w:t>
      </w:r>
      <w:r w:rsidR="000577B2" w:rsidRPr="000577B2">
        <w:t xml:space="preserve">annual hate crime reports 2004–2014, available at: </w:t>
      </w:r>
      <w:hyperlink r:id="rId111" w:history="1">
        <w:r w:rsidRPr="000577B2">
          <w:rPr>
            <w:rStyle w:val="Hyperlink"/>
          </w:rPr>
          <w:t>http://www.bra.se/bra/bra-in-english/home/crime-and-statistics/hate-crime.html</w:t>
        </w:r>
      </w:hyperlink>
      <w:r w:rsidRPr="000577B2">
        <w:t xml:space="preserve"> </w:t>
      </w:r>
    </w:p>
    <w:p w14:paraId="1AE086E4" w14:textId="77777777" w:rsidR="000577B2" w:rsidRPr="000577B2" w:rsidRDefault="000577B2" w:rsidP="000577B2">
      <w:pPr>
        <w:pStyle w:val="Jacobnormal"/>
        <w:spacing w:line="240" w:lineRule="auto"/>
        <w:ind w:left="567" w:hanging="567"/>
        <w:rPr>
          <w:b/>
          <w:color w:val="0000FF" w:themeColor="hyperlink"/>
          <w:u w:val="single"/>
        </w:rPr>
      </w:pPr>
      <w:r w:rsidRPr="000577B2">
        <w:t>Swedish Ministry of Justice (2014). “</w:t>
      </w:r>
      <w:proofErr w:type="spellStart"/>
      <w:r w:rsidR="00747FAC" w:rsidRPr="000577B2">
        <w:t>Våldsbejakande</w:t>
      </w:r>
      <w:proofErr w:type="spellEnd"/>
      <w:r w:rsidR="00747FAC" w:rsidRPr="000577B2">
        <w:t xml:space="preserve"> extremism </w:t>
      </w:r>
      <w:proofErr w:type="spellStart"/>
      <w:r w:rsidR="00747FAC" w:rsidRPr="000577B2">
        <w:t>i</w:t>
      </w:r>
      <w:proofErr w:type="spellEnd"/>
      <w:r w:rsidR="00747FAC" w:rsidRPr="000577B2">
        <w:t xml:space="preserve"> </w:t>
      </w:r>
      <w:proofErr w:type="spellStart"/>
      <w:r w:rsidR="00747FAC" w:rsidRPr="000577B2">
        <w:t>Sverige</w:t>
      </w:r>
      <w:proofErr w:type="spellEnd"/>
      <w:r w:rsidR="00747FAC" w:rsidRPr="000577B2">
        <w:t xml:space="preserve">: </w:t>
      </w:r>
      <w:proofErr w:type="spellStart"/>
      <w:r w:rsidR="00747FAC" w:rsidRPr="000577B2">
        <w:t>nuläge</w:t>
      </w:r>
      <w:proofErr w:type="spellEnd"/>
      <w:r w:rsidR="00747FAC" w:rsidRPr="000577B2">
        <w:t xml:space="preserve"> </w:t>
      </w:r>
      <w:proofErr w:type="spellStart"/>
      <w:r w:rsidR="00747FAC" w:rsidRPr="000577B2">
        <w:t>och</w:t>
      </w:r>
      <w:proofErr w:type="spellEnd"/>
      <w:r w:rsidR="00747FAC" w:rsidRPr="000577B2">
        <w:t xml:space="preserve"> </w:t>
      </w:r>
      <w:proofErr w:type="spellStart"/>
      <w:r w:rsidR="00747FAC" w:rsidRPr="000577B2">
        <w:t>tendenser</w:t>
      </w:r>
      <w:proofErr w:type="spellEnd"/>
      <w:r w:rsidRPr="000577B2">
        <w:t>”, report on violent extremism in Sweden, available at</w:t>
      </w:r>
      <w:r w:rsidR="00747FAC" w:rsidRPr="000577B2">
        <w:t xml:space="preserve">: </w:t>
      </w:r>
      <w:hyperlink r:id="rId112" w:history="1">
        <w:r w:rsidR="00747FAC" w:rsidRPr="000577B2">
          <w:rPr>
            <w:rStyle w:val="Hyperlink"/>
          </w:rPr>
          <w:t>http://www.regeringen.se/contentassets/a76118e6b4fc49bfba45804f6bb3c956/valdsbejakande-extremism-i-sverige--nulage-och-tendenser-ds-20144</w:t>
        </w:r>
      </w:hyperlink>
      <w:r w:rsidR="00747FAC" w:rsidRPr="000577B2">
        <w:t xml:space="preserve"> </w:t>
      </w:r>
    </w:p>
    <w:p w14:paraId="1A8D2815" w14:textId="2FE2CAD7" w:rsidR="000577B2" w:rsidRPr="000577B2" w:rsidRDefault="00747FAC" w:rsidP="000577B2">
      <w:pPr>
        <w:pStyle w:val="Jacobnormal"/>
        <w:spacing w:line="240" w:lineRule="auto"/>
        <w:ind w:left="567" w:hanging="567"/>
        <w:rPr>
          <w:rStyle w:val="Hyperlink"/>
        </w:rPr>
      </w:pPr>
      <w:r w:rsidRPr="000577B2">
        <w:t>Swedish Security Service (SÄP</w:t>
      </w:r>
      <w:r w:rsidR="000577B2" w:rsidRPr="000577B2">
        <w:t xml:space="preserve">O) (2009). </w:t>
      </w:r>
      <w:proofErr w:type="spellStart"/>
      <w:r w:rsidR="000577B2" w:rsidRPr="000577B2">
        <w:t>Våldsam</w:t>
      </w:r>
      <w:proofErr w:type="spellEnd"/>
      <w:r w:rsidR="000577B2" w:rsidRPr="000577B2">
        <w:t xml:space="preserve"> </w:t>
      </w:r>
      <w:proofErr w:type="spellStart"/>
      <w:r w:rsidR="000577B2" w:rsidRPr="000577B2">
        <w:t>Politisk</w:t>
      </w:r>
      <w:proofErr w:type="spellEnd"/>
      <w:r w:rsidR="000577B2" w:rsidRPr="000577B2">
        <w:t xml:space="preserve"> </w:t>
      </w:r>
      <w:proofErr w:type="spellStart"/>
      <w:r w:rsidR="000577B2" w:rsidRPr="000577B2">
        <w:t>Ekstremism</w:t>
      </w:r>
      <w:proofErr w:type="spellEnd"/>
      <w:r w:rsidR="000577B2" w:rsidRPr="000577B2">
        <w:t>, report on violent extremism in Sweden, available at</w:t>
      </w:r>
      <w:r w:rsidRPr="000577B2">
        <w:t xml:space="preserve"> </w:t>
      </w:r>
      <w:hyperlink r:id="rId113" w:history="1">
        <w:r w:rsidRPr="000577B2">
          <w:rPr>
            <w:rStyle w:val="Hyperlink"/>
          </w:rPr>
          <w:t>http://www.sakerhetspolisen.se/download/18.635d23c2141933256ea1d1c/1381154798451/valdsam_polextr_2009.pdf</w:t>
        </w:r>
      </w:hyperlink>
      <w:r w:rsidR="000577B2" w:rsidRPr="000577B2">
        <w:rPr>
          <w:rStyle w:val="Hyperlink"/>
        </w:rPr>
        <w:t>.</w:t>
      </w:r>
    </w:p>
    <w:p w14:paraId="36C27AB1" w14:textId="0818549E" w:rsidR="000577B2" w:rsidRPr="000577B2" w:rsidRDefault="000577B2" w:rsidP="000577B2">
      <w:pPr>
        <w:pStyle w:val="Jacobnormal"/>
        <w:spacing w:line="240" w:lineRule="auto"/>
        <w:ind w:left="567" w:hanging="567"/>
      </w:pPr>
      <w:r w:rsidRPr="000577B2">
        <w:lastRenderedPageBreak/>
        <w:t xml:space="preserve">European Monitoring Centre on Racism and Xenophobia (2005). “National Analytical Study on Racist Violence and Crime”, available at: </w:t>
      </w:r>
      <w:hyperlink r:id="rId114" w:history="1">
        <w:r w:rsidRPr="000577B2">
          <w:rPr>
            <w:rStyle w:val="Hyperlink"/>
          </w:rPr>
          <w:t>http://fra.europa.eu/en/country-data/2012/racist-violence-15-eu-member-states</w:t>
        </w:r>
      </w:hyperlink>
      <w:r w:rsidRPr="000577B2">
        <w:t xml:space="preserve">. </w:t>
      </w:r>
    </w:p>
    <w:p w14:paraId="2872EACC" w14:textId="1CA7CE45" w:rsidR="000577B2" w:rsidRPr="000577B2" w:rsidRDefault="000577B2" w:rsidP="000577B2">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Sweden”, available at: </w:t>
      </w:r>
      <w:hyperlink r:id="rId115" w:history="1">
        <w:r w:rsidRPr="000577B2">
          <w:rPr>
            <w:rStyle w:val="Hyperlink"/>
          </w:rPr>
          <w:t>http://cms.horus.be/files/99935/MediaArchive/Racist%20Violence%20Sweden%20-online.pdf</w:t>
        </w:r>
      </w:hyperlink>
    </w:p>
    <w:p w14:paraId="762051F0" w14:textId="77777777" w:rsidR="003F7F49" w:rsidRPr="000544C7" w:rsidRDefault="003F7F49" w:rsidP="003F7F49">
      <w:pPr>
        <w:pStyle w:val="Jacobnormal"/>
        <w:spacing w:line="240" w:lineRule="auto"/>
        <w:ind w:left="567" w:hanging="567"/>
        <w:rPr>
          <w:b/>
          <w:color w:val="0000FF" w:themeColor="hyperlink"/>
          <w:u w:val="single"/>
          <w:lang w:val="nb-NO"/>
        </w:rPr>
      </w:pPr>
      <w:proofErr w:type="spellStart"/>
      <w:r w:rsidRPr="000544C7">
        <w:rPr>
          <w:lang w:val="nb-NO"/>
        </w:rPr>
        <w:t>Lööw</w:t>
      </w:r>
      <w:proofErr w:type="spellEnd"/>
      <w:r w:rsidRPr="000544C7">
        <w:rPr>
          <w:lang w:val="nb-NO"/>
        </w:rPr>
        <w:t xml:space="preserve">, H. (2015). </w:t>
      </w:r>
      <w:r w:rsidRPr="000544C7">
        <w:rPr>
          <w:i/>
          <w:iCs/>
          <w:lang w:val="nb-NO"/>
        </w:rPr>
        <w:t>Nazismen i Sverige 2000-2014</w:t>
      </w:r>
      <w:r w:rsidRPr="000544C7">
        <w:rPr>
          <w:lang w:val="nb-NO"/>
        </w:rPr>
        <w:t xml:space="preserve">. Stockholm: </w:t>
      </w:r>
      <w:proofErr w:type="spellStart"/>
      <w:r w:rsidRPr="000544C7">
        <w:rPr>
          <w:lang w:val="nb-NO"/>
        </w:rPr>
        <w:t>Ordfront</w:t>
      </w:r>
      <w:proofErr w:type="spellEnd"/>
      <w:r w:rsidRPr="000544C7">
        <w:rPr>
          <w:lang w:val="nb-NO"/>
        </w:rPr>
        <w:t>.</w:t>
      </w:r>
    </w:p>
    <w:p w14:paraId="0986D337" w14:textId="2DB8ED3C" w:rsidR="000577B2" w:rsidRPr="000544C7" w:rsidRDefault="003F7F49" w:rsidP="000577B2">
      <w:pPr>
        <w:pStyle w:val="Jacobnormal"/>
        <w:spacing w:line="240" w:lineRule="auto"/>
        <w:ind w:left="567" w:hanging="567"/>
        <w:rPr>
          <w:rStyle w:val="Hyperlink"/>
          <w:lang w:val="nb-NO"/>
        </w:rPr>
      </w:pPr>
      <w:r w:rsidRPr="000544C7">
        <w:rPr>
          <w:lang w:val="nb-NO"/>
        </w:rPr>
        <w:t>EXPO</w:t>
      </w:r>
      <w:r w:rsidR="00747FAC" w:rsidRPr="000544C7">
        <w:rPr>
          <w:lang w:val="nb-NO"/>
        </w:rPr>
        <w:t xml:space="preserve"> (2012). </w:t>
      </w:r>
      <w:r w:rsidR="000577B2" w:rsidRPr="000544C7">
        <w:rPr>
          <w:lang w:val="nb-NO"/>
        </w:rPr>
        <w:t>“</w:t>
      </w:r>
      <w:proofErr w:type="spellStart"/>
      <w:r w:rsidR="00747FAC" w:rsidRPr="000544C7">
        <w:rPr>
          <w:lang w:val="nb-NO"/>
        </w:rPr>
        <w:t>Organiserad</w:t>
      </w:r>
      <w:proofErr w:type="spellEnd"/>
      <w:r w:rsidR="00747FAC" w:rsidRPr="000544C7">
        <w:rPr>
          <w:lang w:val="nb-NO"/>
        </w:rPr>
        <w:t xml:space="preserve"> </w:t>
      </w:r>
      <w:proofErr w:type="spellStart"/>
      <w:r w:rsidR="00747FAC" w:rsidRPr="000544C7">
        <w:rPr>
          <w:lang w:val="nb-NO"/>
        </w:rPr>
        <w:t>intolerans</w:t>
      </w:r>
      <w:proofErr w:type="spellEnd"/>
      <w:r w:rsidR="00747FAC" w:rsidRPr="000544C7">
        <w:rPr>
          <w:lang w:val="nb-NO"/>
        </w:rPr>
        <w:t xml:space="preserve"> i Finland </w:t>
      </w:r>
      <w:proofErr w:type="spellStart"/>
      <w:r w:rsidR="00747FAC" w:rsidRPr="000544C7">
        <w:rPr>
          <w:lang w:val="nb-NO"/>
        </w:rPr>
        <w:t>och</w:t>
      </w:r>
      <w:proofErr w:type="spellEnd"/>
      <w:r w:rsidR="00747FAC" w:rsidRPr="000544C7">
        <w:rPr>
          <w:lang w:val="nb-NO"/>
        </w:rPr>
        <w:t xml:space="preserve"> Sverige</w:t>
      </w:r>
      <w:r w:rsidR="000577B2" w:rsidRPr="000544C7">
        <w:rPr>
          <w:lang w:val="nb-NO"/>
        </w:rPr>
        <w:t>”</w:t>
      </w:r>
      <w:r w:rsidR="00747FAC" w:rsidRPr="000544C7">
        <w:rPr>
          <w:lang w:val="nb-NO"/>
        </w:rPr>
        <w:t xml:space="preserve">, </w:t>
      </w:r>
      <w:proofErr w:type="spellStart"/>
      <w:r w:rsidR="000577B2" w:rsidRPr="000544C7">
        <w:rPr>
          <w:lang w:val="nb-NO"/>
        </w:rPr>
        <w:t>available</w:t>
      </w:r>
      <w:proofErr w:type="spellEnd"/>
      <w:r w:rsidR="000577B2" w:rsidRPr="000544C7">
        <w:rPr>
          <w:lang w:val="nb-NO"/>
        </w:rPr>
        <w:t xml:space="preserve"> at </w:t>
      </w:r>
      <w:hyperlink r:id="rId116" w:history="1">
        <w:r w:rsidR="00747FAC" w:rsidRPr="000544C7">
          <w:rPr>
            <w:rStyle w:val="Hyperlink"/>
            <w:lang w:val="nb-NO"/>
          </w:rPr>
          <w:t>http://expo.se/www/download/Organiserad%20intolerans%20i%20Finland%20och%20Sverige_SLUTLIG.pdf</w:t>
        </w:r>
      </w:hyperlink>
    </w:p>
    <w:p w14:paraId="48DCD9DB" w14:textId="77777777" w:rsidR="000577B2" w:rsidRPr="000577B2" w:rsidRDefault="00747FAC" w:rsidP="000577B2">
      <w:pPr>
        <w:pStyle w:val="Jacobnormal"/>
        <w:spacing w:line="240" w:lineRule="auto"/>
        <w:ind w:left="567" w:hanging="567"/>
        <w:rPr>
          <w:b/>
          <w:color w:val="0000FF" w:themeColor="hyperlink"/>
          <w:u w:val="single"/>
        </w:rPr>
      </w:pPr>
      <w:proofErr w:type="spellStart"/>
      <w:r w:rsidRPr="000544C7">
        <w:rPr>
          <w:lang w:val="nb-NO"/>
        </w:rPr>
        <w:t>Lööw</w:t>
      </w:r>
      <w:proofErr w:type="spellEnd"/>
      <w:r w:rsidRPr="000544C7">
        <w:rPr>
          <w:lang w:val="nb-NO"/>
        </w:rPr>
        <w:t xml:space="preserve">, H. (2000). </w:t>
      </w:r>
      <w:r w:rsidRPr="000544C7">
        <w:rPr>
          <w:i/>
          <w:iCs/>
          <w:lang w:val="nb-NO"/>
        </w:rPr>
        <w:t>Nazismen i Sverige 1980-1999</w:t>
      </w:r>
      <w:r w:rsidRPr="000544C7">
        <w:rPr>
          <w:lang w:val="nb-NO"/>
        </w:rPr>
        <w:t xml:space="preserve">. </w:t>
      </w:r>
      <w:r w:rsidRPr="000577B2">
        <w:t xml:space="preserve">Stockholm: </w:t>
      </w:r>
      <w:proofErr w:type="spellStart"/>
      <w:r w:rsidRPr="000577B2">
        <w:t>Ordfront</w:t>
      </w:r>
      <w:proofErr w:type="spellEnd"/>
      <w:r w:rsidRPr="000577B2">
        <w:t>.</w:t>
      </w:r>
    </w:p>
    <w:p w14:paraId="52B6A33E" w14:textId="5CB59AB3" w:rsidR="000577B2" w:rsidRPr="000577B2" w:rsidRDefault="000577B2" w:rsidP="000577B2">
      <w:pPr>
        <w:pStyle w:val="Jacobnormal"/>
        <w:spacing w:line="240" w:lineRule="auto"/>
        <w:ind w:left="567" w:hanging="567"/>
        <w:rPr>
          <w:b/>
          <w:color w:val="0000FF" w:themeColor="hyperlink"/>
          <w:u w:val="single"/>
        </w:rPr>
      </w:pPr>
      <w:r w:rsidRPr="000577B2">
        <w:t xml:space="preserve">Bjørgo, T. (1997). </w:t>
      </w:r>
      <w:r w:rsidRPr="000577B2">
        <w:rPr>
          <w:i/>
          <w:iCs/>
        </w:rPr>
        <w:t xml:space="preserve">Racist and </w:t>
      </w:r>
      <w:r w:rsidR="00AA760A">
        <w:rPr>
          <w:i/>
          <w:iCs/>
        </w:rPr>
        <w:t>R</w:t>
      </w:r>
      <w:r w:rsidRPr="000577B2">
        <w:rPr>
          <w:i/>
          <w:iCs/>
        </w:rPr>
        <w:t>ight-</w:t>
      </w:r>
      <w:r w:rsidR="00AA760A">
        <w:rPr>
          <w:i/>
          <w:iCs/>
        </w:rPr>
        <w:t>W</w:t>
      </w:r>
      <w:r w:rsidRPr="000577B2">
        <w:rPr>
          <w:i/>
          <w:iCs/>
        </w:rPr>
        <w:t xml:space="preserve">ing </w:t>
      </w:r>
      <w:r w:rsidR="00AA760A">
        <w:rPr>
          <w:i/>
          <w:iCs/>
        </w:rPr>
        <w:t>V</w:t>
      </w:r>
      <w:r w:rsidRPr="000577B2">
        <w:rPr>
          <w:i/>
          <w:iCs/>
        </w:rPr>
        <w:t xml:space="preserve">iolence in Scandinavia: </w:t>
      </w:r>
      <w:r w:rsidR="00AA760A">
        <w:rPr>
          <w:i/>
          <w:iCs/>
        </w:rPr>
        <w:t>P</w:t>
      </w:r>
      <w:r w:rsidRPr="000577B2">
        <w:rPr>
          <w:i/>
          <w:iCs/>
        </w:rPr>
        <w:t>atterns,</w:t>
      </w:r>
      <w:r w:rsidR="00AA760A">
        <w:rPr>
          <w:i/>
          <w:iCs/>
        </w:rPr>
        <w:t xml:space="preserve"> P</w:t>
      </w:r>
      <w:r w:rsidRPr="000577B2">
        <w:rPr>
          <w:i/>
          <w:iCs/>
        </w:rPr>
        <w:t xml:space="preserve">erpetrators, and </w:t>
      </w:r>
      <w:r w:rsidR="00AA760A">
        <w:rPr>
          <w:i/>
          <w:iCs/>
        </w:rPr>
        <w:t>R</w:t>
      </w:r>
      <w:r w:rsidRPr="000577B2">
        <w:rPr>
          <w:i/>
          <w:iCs/>
        </w:rPr>
        <w:t>esponses</w:t>
      </w:r>
      <w:r w:rsidRPr="000577B2">
        <w:t xml:space="preserve">. Oslo: </w:t>
      </w:r>
      <w:proofErr w:type="spellStart"/>
      <w:r w:rsidRPr="000577B2">
        <w:t>Tano</w:t>
      </w:r>
      <w:proofErr w:type="spellEnd"/>
      <w:r w:rsidRPr="000577B2">
        <w:t xml:space="preserve"> </w:t>
      </w:r>
      <w:proofErr w:type="spellStart"/>
      <w:r w:rsidRPr="000577B2">
        <w:t>Aschehoug</w:t>
      </w:r>
      <w:proofErr w:type="spellEnd"/>
    </w:p>
    <w:p w14:paraId="7E32D605" w14:textId="3D2B787A" w:rsidR="000577B2" w:rsidRPr="000577B2" w:rsidRDefault="000577B2" w:rsidP="000577B2">
      <w:pPr>
        <w:pStyle w:val="Jacobnormal"/>
        <w:spacing w:line="240" w:lineRule="auto"/>
        <w:ind w:left="567" w:hanging="567"/>
        <w:rPr>
          <w:b/>
          <w:color w:val="0000FF" w:themeColor="hyperlink"/>
          <w:u w:val="single"/>
        </w:rPr>
      </w:pPr>
      <w:proofErr w:type="spellStart"/>
      <w:r w:rsidRPr="000577B2">
        <w:t>Lööw</w:t>
      </w:r>
      <w:proofErr w:type="spellEnd"/>
      <w:r w:rsidRPr="000577B2">
        <w:t xml:space="preserve">, H. (1995). </w:t>
      </w:r>
      <w:r w:rsidR="00AA760A">
        <w:t>“</w:t>
      </w:r>
      <w:r w:rsidRPr="000577B2">
        <w:t>Racist Violence and Criminal Behaviour in Sweden: Myths and Reality</w:t>
      </w:r>
      <w:r w:rsidR="00AA760A">
        <w:t>”</w:t>
      </w:r>
      <w:r w:rsidRPr="000577B2">
        <w:t xml:space="preserve">. </w:t>
      </w:r>
      <w:r w:rsidRPr="000577B2">
        <w:rPr>
          <w:i/>
          <w:iCs/>
        </w:rPr>
        <w:t>Terrorism and Political Violence</w:t>
      </w:r>
      <w:r w:rsidRPr="000577B2">
        <w:t xml:space="preserve">, </w:t>
      </w:r>
      <w:r w:rsidRPr="000577B2">
        <w:rPr>
          <w:i/>
          <w:iCs/>
        </w:rPr>
        <w:t>7</w:t>
      </w:r>
      <w:r w:rsidRPr="000577B2">
        <w:t>(1), 119–161</w:t>
      </w:r>
      <w:r w:rsidR="003F7F49">
        <w:t xml:space="preserve">, available at </w:t>
      </w:r>
      <w:hyperlink r:id="rId117" w:history="1">
        <w:r w:rsidR="003F7F49" w:rsidRPr="00D62FEC">
          <w:rPr>
            <w:rStyle w:val="Hyperlink"/>
          </w:rPr>
          <w:t>http://www.tandfonline.com/doi/abs/10.1080/09546559508427287?journalCode=ftpv20</w:t>
        </w:r>
      </w:hyperlink>
      <w:r w:rsidR="003F7F49">
        <w:t xml:space="preserve">. </w:t>
      </w:r>
    </w:p>
    <w:p w14:paraId="44C311EE" w14:textId="5BCE287B" w:rsidR="000577B2" w:rsidRPr="000577B2" w:rsidRDefault="00747FAC" w:rsidP="000577B2">
      <w:pPr>
        <w:pStyle w:val="Jacobnormal"/>
        <w:spacing w:line="240" w:lineRule="auto"/>
        <w:ind w:left="567" w:hanging="567"/>
      </w:pPr>
      <w:proofErr w:type="spellStart"/>
      <w:r w:rsidRPr="000577B2">
        <w:t>Lööw</w:t>
      </w:r>
      <w:proofErr w:type="spellEnd"/>
      <w:r w:rsidRPr="000577B2">
        <w:t xml:space="preserve">, H. (1993). </w:t>
      </w:r>
      <w:r w:rsidR="00AA760A">
        <w:t>“</w:t>
      </w:r>
      <w:r w:rsidRPr="000577B2">
        <w:t>The Cult of Violence: The Swedish Racist Counterculture</w:t>
      </w:r>
      <w:r w:rsidR="00AA760A">
        <w:t>”</w:t>
      </w:r>
      <w:r w:rsidRPr="000577B2">
        <w:t xml:space="preserve">. In T. Bjørgo &amp; R. Witte (Eds.), </w:t>
      </w:r>
      <w:r w:rsidRPr="000577B2">
        <w:rPr>
          <w:i/>
          <w:iCs/>
        </w:rPr>
        <w:t>Racist Violence in Europe</w:t>
      </w:r>
      <w:r w:rsidRPr="000577B2">
        <w:t>. Macmillan Press.</w:t>
      </w:r>
    </w:p>
    <w:p w14:paraId="4A9A0AB2" w14:textId="77777777" w:rsidR="000577B2" w:rsidRPr="000577B2" w:rsidRDefault="000577B2" w:rsidP="000577B2">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118" w:history="1">
        <w:r w:rsidRPr="000577B2">
          <w:rPr>
            <w:rStyle w:val="Hyperlink"/>
          </w:rPr>
          <w:t>http://www.coe.int/t/dghl/monitoring/ecri/library/publications.asp</w:t>
        </w:r>
      </w:hyperlink>
      <w:r w:rsidRPr="000577B2">
        <w:rPr>
          <w:rStyle w:val="Hyperlink"/>
        </w:rPr>
        <w:t>.</w:t>
      </w:r>
    </w:p>
    <w:p w14:paraId="55E7D00E" w14:textId="77777777" w:rsidR="000577B2" w:rsidRPr="000577B2" w:rsidRDefault="000577B2" w:rsidP="000577B2">
      <w:pPr>
        <w:pStyle w:val="Jacobnormal"/>
        <w:spacing w:line="240" w:lineRule="auto"/>
        <w:ind w:left="567" w:hanging="567"/>
        <w:rPr>
          <w:color w:val="0000FF" w:themeColor="hyperlink"/>
          <w:u w:val="single"/>
        </w:rPr>
      </w:pPr>
      <w:r w:rsidRPr="000577B2">
        <w:t xml:space="preserve">European Network </w:t>
      </w:r>
      <w:proofErr w:type="gramStart"/>
      <w:r w:rsidRPr="000577B2">
        <w:t>Against</w:t>
      </w:r>
      <w:proofErr w:type="gramEnd"/>
      <w:r w:rsidRPr="000577B2">
        <w:t xml:space="preserve"> Racism (ENAR), shadow reports on racism in Europe, available at: </w:t>
      </w:r>
      <w:hyperlink r:id="rId119" w:history="1">
        <w:r w:rsidRPr="000577B2">
          <w:rPr>
            <w:rStyle w:val="Hyperlink"/>
          </w:rPr>
          <w:t>http://www.enar-eu.org/Shadow-Reports-on-racism-in-Europe-203</w:t>
        </w:r>
      </w:hyperlink>
      <w:r w:rsidRPr="000577B2">
        <w:rPr>
          <w:rStyle w:val="Hyperlink"/>
        </w:rPr>
        <w:t>.</w:t>
      </w:r>
    </w:p>
    <w:p w14:paraId="2B3C47B1" w14:textId="77777777" w:rsidR="00DD613A" w:rsidRDefault="00DD613A" w:rsidP="000577B2">
      <w:pPr>
        <w:pStyle w:val="Jacobnormal"/>
        <w:spacing w:line="240" w:lineRule="auto"/>
        <w:ind w:left="567" w:hanging="567"/>
        <w:rPr>
          <w:b/>
        </w:rPr>
      </w:pPr>
    </w:p>
    <w:p w14:paraId="6FDC60E3" w14:textId="571DBF2F" w:rsidR="000577B2" w:rsidRDefault="00747FAC" w:rsidP="000577B2">
      <w:pPr>
        <w:pStyle w:val="Jacobnormal"/>
        <w:spacing w:line="240" w:lineRule="auto"/>
        <w:ind w:left="567" w:hanging="567"/>
        <w:rPr>
          <w:b/>
          <w:color w:val="0000FF" w:themeColor="hyperlink"/>
          <w:u w:val="single"/>
        </w:rPr>
      </w:pPr>
      <w:r w:rsidRPr="000577B2">
        <w:rPr>
          <w:b/>
        </w:rPr>
        <w:t>Switzerland</w:t>
      </w:r>
    </w:p>
    <w:p w14:paraId="66880D77" w14:textId="59364417" w:rsidR="000577B2" w:rsidRDefault="00747FAC" w:rsidP="000577B2">
      <w:pPr>
        <w:pStyle w:val="Jacobnormal"/>
        <w:spacing w:line="240" w:lineRule="auto"/>
        <w:ind w:left="567" w:hanging="567"/>
        <w:rPr>
          <w:b/>
          <w:color w:val="0000FF" w:themeColor="hyperlink"/>
          <w:u w:val="single"/>
        </w:rPr>
      </w:pPr>
      <w:r w:rsidRPr="000577B2">
        <w:t>Swiss Federal Police</w:t>
      </w:r>
      <w:r w:rsidR="000577B2">
        <w:t>,</w:t>
      </w:r>
      <w:r w:rsidRPr="000577B2">
        <w:t xml:space="preserve"> </w:t>
      </w:r>
      <w:r w:rsidR="000577B2">
        <w:t>a</w:t>
      </w:r>
      <w:r w:rsidRPr="000577B2">
        <w:t>nnual</w:t>
      </w:r>
      <w:r w:rsidR="00FF19E0">
        <w:t xml:space="preserve"> hat</w:t>
      </w:r>
      <w:r w:rsidR="000577B2">
        <w:t>e crime</w:t>
      </w:r>
      <w:r w:rsidRPr="000577B2">
        <w:t xml:space="preserve"> </w:t>
      </w:r>
      <w:r w:rsidR="000577B2">
        <w:t xml:space="preserve">reports 1999–2008, available at: </w:t>
      </w:r>
      <w:hyperlink r:id="rId120" w:history="1">
        <w:r w:rsidRPr="000577B2">
          <w:rPr>
            <w:rStyle w:val="Hyperlink"/>
          </w:rPr>
          <w:t>https://www.fedpol.admin.ch/fedpol/de/home/publiservice/publikationen/berichte/weitere_berichte/bericht_innere_sicherheit.html</w:t>
        </w:r>
      </w:hyperlink>
      <w:r w:rsidR="003F7F49">
        <w:rPr>
          <w:rStyle w:val="Hyperlink"/>
        </w:rPr>
        <w:t>.</w:t>
      </w:r>
      <w:r w:rsidRPr="000577B2">
        <w:t xml:space="preserve"> </w:t>
      </w:r>
    </w:p>
    <w:p w14:paraId="12062458" w14:textId="1ABE4B5C" w:rsidR="00FF19E0" w:rsidRDefault="00747FAC" w:rsidP="00FF19E0">
      <w:pPr>
        <w:pStyle w:val="Jacobnormal"/>
        <w:spacing w:line="240" w:lineRule="auto"/>
        <w:ind w:left="567" w:hanging="567"/>
        <w:rPr>
          <w:b/>
          <w:color w:val="0000FF" w:themeColor="hyperlink"/>
          <w:u w:val="single"/>
        </w:rPr>
      </w:pPr>
      <w:r w:rsidRPr="000577B2">
        <w:t>Swis</w:t>
      </w:r>
      <w:r w:rsidR="000577B2">
        <w:t xml:space="preserve">s Federal Intelligence Service, </w:t>
      </w:r>
      <w:r w:rsidR="00FF19E0">
        <w:t>annual reports on Switzerland’s security</w:t>
      </w:r>
      <w:r w:rsidR="000577B2">
        <w:t xml:space="preserve">, available at: </w:t>
      </w:r>
      <w:hyperlink r:id="rId121" w:history="1">
        <w:r w:rsidR="00FF19E0" w:rsidRPr="00D62FEC">
          <w:rPr>
            <w:rStyle w:val="Hyperlink"/>
          </w:rPr>
          <w:t>http://www.vbs.admin.ch/en/documents/search.html</w:t>
        </w:r>
      </w:hyperlink>
      <w:r w:rsidR="00FF19E0">
        <w:t xml:space="preserve">. </w:t>
      </w:r>
      <w:r w:rsidRPr="000577B2">
        <w:t xml:space="preserve"> </w:t>
      </w:r>
    </w:p>
    <w:p w14:paraId="31E14A02" w14:textId="1F75F2AE" w:rsidR="00FF19E0" w:rsidRDefault="00747FAC" w:rsidP="00FF19E0">
      <w:pPr>
        <w:pStyle w:val="Jacobnormal"/>
        <w:spacing w:line="240" w:lineRule="auto"/>
        <w:ind w:left="567" w:hanging="567"/>
        <w:rPr>
          <w:b/>
          <w:color w:val="0000FF" w:themeColor="hyperlink"/>
          <w:u w:val="single"/>
        </w:rPr>
      </w:pPr>
      <w:proofErr w:type="spellStart"/>
      <w:r w:rsidRPr="000577B2">
        <w:t>Skenderovic</w:t>
      </w:r>
      <w:proofErr w:type="spellEnd"/>
      <w:r w:rsidRPr="000577B2">
        <w:t xml:space="preserve">, D. (2009). </w:t>
      </w:r>
      <w:r w:rsidRPr="004115DA">
        <w:rPr>
          <w:i/>
          <w:iCs/>
        </w:rPr>
        <w:t>The Radical Right in Switzerland: Continuity and Change, 1945-2000</w:t>
      </w:r>
      <w:r w:rsidR="00FF19E0">
        <w:t>,</w:t>
      </w:r>
      <w:r w:rsidRPr="000577B2">
        <w:t xml:space="preserve"> </w:t>
      </w:r>
      <w:proofErr w:type="spellStart"/>
      <w:r w:rsidRPr="000577B2">
        <w:t>Berghahn</w:t>
      </w:r>
      <w:proofErr w:type="spellEnd"/>
      <w:r w:rsidRPr="000577B2">
        <w:t xml:space="preserve"> Books, </w:t>
      </w:r>
      <w:r w:rsidR="00FF19E0">
        <w:t xml:space="preserve">available at: </w:t>
      </w:r>
      <w:hyperlink r:id="rId122" w:history="1">
        <w:r w:rsidRPr="000577B2">
          <w:rPr>
            <w:rStyle w:val="Hyperlink"/>
          </w:rPr>
          <w:t>http://www.berghahnbooks.com/title.php?rowtag=SkenderovicRadical</w:t>
        </w:r>
      </w:hyperlink>
      <w:r w:rsidR="003F7F49">
        <w:rPr>
          <w:rStyle w:val="Hyperlink"/>
        </w:rPr>
        <w:t>.</w:t>
      </w:r>
      <w:r w:rsidRPr="000577B2">
        <w:t xml:space="preserve"> </w:t>
      </w:r>
    </w:p>
    <w:p w14:paraId="02D727F9" w14:textId="50CD429C" w:rsidR="00747FAC" w:rsidRDefault="00FF19E0" w:rsidP="00FF19E0">
      <w:pPr>
        <w:pStyle w:val="Jacobnormal"/>
        <w:spacing w:line="240" w:lineRule="auto"/>
        <w:ind w:left="567" w:hanging="567"/>
      </w:pPr>
      <w:proofErr w:type="spellStart"/>
      <w:r w:rsidRPr="00FF19E0">
        <w:t>Niggli</w:t>
      </w:r>
      <w:proofErr w:type="spellEnd"/>
      <w:r w:rsidRPr="00FF19E0">
        <w:t>, M.A. (2009)</w:t>
      </w:r>
      <w:proofErr w:type="gramStart"/>
      <w:r w:rsidRPr="00FF19E0">
        <w:t>.“</w:t>
      </w:r>
      <w:proofErr w:type="gramEnd"/>
      <w:r w:rsidR="00747FAC" w:rsidRPr="00FF19E0">
        <w:t>Right-wing Extremism in Switzerland</w:t>
      </w:r>
      <w:r>
        <w:t>”,</w:t>
      </w:r>
      <w:r w:rsidRPr="00FF19E0">
        <w:t xml:space="preserve"> Nomos </w:t>
      </w:r>
      <w:proofErr w:type="spellStart"/>
      <w:r w:rsidRPr="00FF19E0">
        <w:t>Verlagsgesellschaft</w:t>
      </w:r>
      <w:proofErr w:type="spellEnd"/>
      <w:r w:rsidRPr="00FF19E0">
        <w:t>, available at:</w:t>
      </w:r>
      <w:r w:rsidR="00747FAC" w:rsidRPr="00FF19E0">
        <w:t xml:space="preserve"> </w:t>
      </w:r>
      <w:hyperlink r:id="rId123" w:history="1">
        <w:r w:rsidR="00747FAC" w:rsidRPr="00FF19E0">
          <w:rPr>
            <w:rStyle w:val="Hyperlink"/>
          </w:rPr>
          <w:t>http://www.nomos-shop.de/Niggli-Right-wing-Extremism-Switzerland/productview.aspx?product=11035</w:t>
        </w:r>
      </w:hyperlink>
      <w:r>
        <w:rPr>
          <w:rStyle w:val="Hyperlink"/>
        </w:rPr>
        <w:t>.</w:t>
      </w:r>
      <w:r w:rsidR="00747FAC" w:rsidRPr="00FF19E0">
        <w:t xml:space="preserve"> </w:t>
      </w:r>
    </w:p>
    <w:p w14:paraId="0C11FC90" w14:textId="77777777" w:rsidR="00FF19E0" w:rsidRDefault="00FF19E0" w:rsidP="00FF19E0">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124" w:history="1">
        <w:r w:rsidRPr="000577B2">
          <w:rPr>
            <w:rStyle w:val="Hyperlink"/>
          </w:rPr>
          <w:t>http://www.coe.int/t/dghl/monitoring/ecri/library/publications.asp</w:t>
        </w:r>
      </w:hyperlink>
      <w:r w:rsidRPr="000577B2">
        <w:rPr>
          <w:rStyle w:val="Hyperlink"/>
        </w:rPr>
        <w:t>.</w:t>
      </w:r>
    </w:p>
    <w:p w14:paraId="2E93AA41" w14:textId="77777777" w:rsidR="00DD613A" w:rsidRDefault="00DD613A" w:rsidP="00FF19E0">
      <w:pPr>
        <w:pStyle w:val="Jacobnormal"/>
        <w:spacing w:line="240" w:lineRule="auto"/>
        <w:ind w:left="567" w:hanging="567"/>
        <w:rPr>
          <w:b/>
        </w:rPr>
      </w:pPr>
    </w:p>
    <w:p w14:paraId="2A640328" w14:textId="2B4C70E4" w:rsidR="00747FAC" w:rsidRDefault="00FF19E0" w:rsidP="00FF19E0">
      <w:pPr>
        <w:pStyle w:val="Jacobnormal"/>
        <w:spacing w:line="240" w:lineRule="auto"/>
        <w:ind w:left="567" w:hanging="567"/>
        <w:rPr>
          <w:b/>
        </w:rPr>
      </w:pPr>
      <w:r w:rsidRPr="00FF19E0">
        <w:rPr>
          <w:b/>
        </w:rPr>
        <w:t>United Kingdom</w:t>
      </w:r>
    </w:p>
    <w:p w14:paraId="3F6A836E" w14:textId="29F98395" w:rsidR="00FF19E0" w:rsidRDefault="00FF19E0" w:rsidP="00FF19E0">
      <w:pPr>
        <w:pStyle w:val="Jacobnormal"/>
        <w:spacing w:line="240" w:lineRule="auto"/>
        <w:ind w:left="567" w:hanging="567"/>
      </w:pPr>
      <w:r w:rsidRPr="000577B2">
        <w:t xml:space="preserve">European Monitoring Centre on Racism and Xenophobia (2005). “National Analytical Study on Racist Violence and Crime”, available at: </w:t>
      </w:r>
      <w:hyperlink r:id="rId125" w:history="1">
        <w:r w:rsidRPr="000577B2">
          <w:rPr>
            <w:rStyle w:val="Hyperlink"/>
          </w:rPr>
          <w:t>http://fra.europa.eu/en/country-data/2012/racist-violence-15-eu-member-states</w:t>
        </w:r>
      </w:hyperlink>
      <w:r w:rsidRPr="000577B2">
        <w:t xml:space="preserve">. </w:t>
      </w:r>
    </w:p>
    <w:p w14:paraId="749649ED" w14:textId="77777777" w:rsidR="00FF19E0" w:rsidRDefault="00FF19E0" w:rsidP="00FF19E0">
      <w:pPr>
        <w:pStyle w:val="Jacobnormal"/>
        <w:spacing w:line="240" w:lineRule="auto"/>
        <w:ind w:left="567" w:hanging="567"/>
      </w:pPr>
      <w:r w:rsidRPr="000577B2">
        <w:t xml:space="preserve">European Network </w:t>
      </w:r>
      <w:proofErr w:type="gramStart"/>
      <w:r w:rsidRPr="000577B2">
        <w:t>Against</w:t>
      </w:r>
      <w:proofErr w:type="gramEnd"/>
      <w:r w:rsidRPr="000577B2">
        <w:t xml:space="preserve"> Racism (ENAR), “Racist Violence in </w:t>
      </w:r>
      <w:r>
        <w:t>the United Kingdom</w:t>
      </w:r>
      <w:r w:rsidRPr="000577B2">
        <w:t>”, available at:</w:t>
      </w:r>
      <w:r w:rsidRPr="00FF19E0">
        <w:t xml:space="preserve"> </w:t>
      </w:r>
      <w:hyperlink r:id="rId126" w:history="1">
        <w:r w:rsidRPr="000577B2">
          <w:rPr>
            <w:rStyle w:val="Hyperlink"/>
          </w:rPr>
          <w:t>http://www.ukren.org/uploads/files/publications/Racist_Violence_in_the_UK.pdf</w:t>
        </w:r>
      </w:hyperlink>
      <w:r>
        <w:rPr>
          <w:rStyle w:val="Hyperlink"/>
        </w:rPr>
        <w:t>.</w:t>
      </w:r>
    </w:p>
    <w:p w14:paraId="307B2908" w14:textId="77777777" w:rsidR="00FF19E0" w:rsidRDefault="00FF19E0" w:rsidP="00FF19E0">
      <w:pPr>
        <w:pStyle w:val="Jacobnormal"/>
        <w:spacing w:line="240" w:lineRule="auto"/>
        <w:ind w:left="567" w:hanging="567"/>
      </w:pPr>
      <w:r w:rsidRPr="000577B2">
        <w:t xml:space="preserve">Institute of Race Relations, </w:t>
      </w:r>
      <w:r>
        <w:t>“</w:t>
      </w:r>
      <w:r w:rsidRPr="000577B2">
        <w:t>Racial Violence in the UK</w:t>
      </w:r>
      <w:r>
        <w:t>”, available at</w:t>
      </w:r>
      <w:r w:rsidRPr="000577B2">
        <w:t xml:space="preserve">: </w:t>
      </w:r>
      <w:hyperlink r:id="rId127" w:history="1">
        <w:r w:rsidRPr="000577B2">
          <w:rPr>
            <w:rStyle w:val="Hyperlink"/>
          </w:rPr>
          <w:t>http://www.irr.org.uk/research/geographies-of-racism/</w:t>
        </w:r>
      </w:hyperlink>
      <w:r>
        <w:t xml:space="preserve"> </w:t>
      </w:r>
    </w:p>
    <w:p w14:paraId="70B15BB5" w14:textId="0FE5B70A" w:rsidR="00FF19E0" w:rsidRDefault="00FF19E0" w:rsidP="00FF19E0">
      <w:pPr>
        <w:pStyle w:val="Jacobnormal"/>
        <w:spacing w:line="240" w:lineRule="auto"/>
        <w:ind w:left="567" w:hanging="567"/>
      </w:pPr>
      <w:r w:rsidRPr="000577B2">
        <w:t xml:space="preserve">Institute of Race Relations, </w:t>
      </w:r>
      <w:r>
        <w:t>“</w:t>
      </w:r>
      <w:r w:rsidRPr="000577B2">
        <w:t xml:space="preserve">Deaths with a </w:t>
      </w:r>
      <w:r w:rsidR="00AA760A">
        <w:t>S</w:t>
      </w:r>
      <w:r w:rsidRPr="000577B2">
        <w:t xml:space="preserve">uspected </w:t>
      </w:r>
      <w:r w:rsidR="00AA760A">
        <w:t>R</w:t>
      </w:r>
      <w:r w:rsidRPr="000577B2">
        <w:t xml:space="preserve">acial </w:t>
      </w:r>
      <w:r w:rsidR="00AA760A">
        <w:t>E</w:t>
      </w:r>
      <w:r w:rsidRPr="000577B2">
        <w:t>lement</w:t>
      </w:r>
      <w:r>
        <w:t>”, available at</w:t>
      </w:r>
      <w:r w:rsidRPr="000577B2">
        <w:t xml:space="preserve">: </w:t>
      </w:r>
      <w:hyperlink r:id="rId128" w:history="1">
        <w:r w:rsidRPr="000577B2">
          <w:rPr>
            <w:rStyle w:val="Hyperlink"/>
          </w:rPr>
          <w:t>http://www.irr.org.uk/research/deaths/</w:t>
        </w:r>
      </w:hyperlink>
      <w:r>
        <w:rPr>
          <w:rStyle w:val="Hyperlink"/>
        </w:rPr>
        <w:t>.</w:t>
      </w:r>
      <w:r>
        <w:t xml:space="preserve"> </w:t>
      </w:r>
    </w:p>
    <w:p w14:paraId="614B41C4" w14:textId="7AABA557" w:rsidR="00FF19E0" w:rsidRDefault="00747FAC" w:rsidP="00FF19E0">
      <w:pPr>
        <w:pStyle w:val="Jacobnormal"/>
        <w:spacing w:line="240" w:lineRule="auto"/>
        <w:ind w:left="567" w:hanging="567"/>
      </w:pPr>
      <w:r w:rsidRPr="000577B2">
        <w:t xml:space="preserve">Human Rights </w:t>
      </w:r>
      <w:proofErr w:type="gramStart"/>
      <w:r w:rsidRPr="000577B2">
        <w:t>Watch</w:t>
      </w:r>
      <w:proofErr w:type="gramEnd"/>
      <w:r w:rsidRPr="000577B2">
        <w:t xml:space="preserve"> (1997) “Racist </w:t>
      </w:r>
      <w:r w:rsidR="00AA760A">
        <w:t>V</w:t>
      </w:r>
      <w:r w:rsidRPr="000577B2">
        <w:t xml:space="preserve">iolence in the UK”, </w:t>
      </w:r>
      <w:r w:rsidR="00FF19E0">
        <w:t xml:space="preserve">available at: </w:t>
      </w:r>
      <w:hyperlink r:id="rId129" w:history="1">
        <w:r w:rsidRPr="000577B2">
          <w:rPr>
            <w:rStyle w:val="Hyperlink"/>
          </w:rPr>
          <w:t>https://www.hrw.org/reports/1997/uk2/</w:t>
        </w:r>
      </w:hyperlink>
      <w:r w:rsidR="00FF19E0">
        <w:t xml:space="preserve"> </w:t>
      </w:r>
    </w:p>
    <w:p w14:paraId="24AFEBAA" w14:textId="2AC3BA4C" w:rsidR="00FF19E0" w:rsidRDefault="00747FAC" w:rsidP="00FF19E0">
      <w:pPr>
        <w:pStyle w:val="Jacobnormal"/>
        <w:spacing w:line="240" w:lineRule="auto"/>
        <w:ind w:left="567" w:hanging="567"/>
      </w:pPr>
      <w:proofErr w:type="spellStart"/>
      <w:r w:rsidRPr="000577B2">
        <w:t>Meleagrou</w:t>
      </w:r>
      <w:proofErr w:type="spellEnd"/>
      <w:r w:rsidRPr="000577B2">
        <w:t xml:space="preserve">-Hitchens, A., &amp; Standing, E. (2010). </w:t>
      </w:r>
      <w:r w:rsidRPr="004115DA">
        <w:rPr>
          <w:i/>
        </w:rPr>
        <w:t xml:space="preserve">Blood &amp; Honour: Britain’s </w:t>
      </w:r>
      <w:r w:rsidR="00AA760A" w:rsidRPr="004115DA">
        <w:rPr>
          <w:i/>
        </w:rPr>
        <w:t>F</w:t>
      </w:r>
      <w:r w:rsidRPr="004115DA">
        <w:rPr>
          <w:i/>
        </w:rPr>
        <w:t>ar-</w:t>
      </w:r>
      <w:r w:rsidR="00AA760A" w:rsidRPr="004115DA">
        <w:rPr>
          <w:i/>
        </w:rPr>
        <w:t>R</w:t>
      </w:r>
      <w:r w:rsidRPr="004115DA">
        <w:rPr>
          <w:i/>
        </w:rPr>
        <w:t xml:space="preserve">ight </w:t>
      </w:r>
      <w:r w:rsidR="00AA760A" w:rsidRPr="004115DA">
        <w:rPr>
          <w:i/>
        </w:rPr>
        <w:t>M</w:t>
      </w:r>
      <w:r w:rsidRPr="004115DA">
        <w:rPr>
          <w:i/>
        </w:rPr>
        <w:t>ilitants</w:t>
      </w:r>
      <w:r w:rsidRPr="000577B2">
        <w:t xml:space="preserve">. London: Centre for Social Cohesion, </w:t>
      </w:r>
      <w:hyperlink r:id="rId130" w:history="1">
        <w:r w:rsidRPr="000577B2">
          <w:rPr>
            <w:rStyle w:val="Hyperlink"/>
          </w:rPr>
          <w:t>http://henryjacksonsociety.org/wp-content/uploads/2013/01/BLOOD-AND-HNOUR.pdf</w:t>
        </w:r>
      </w:hyperlink>
      <w:r w:rsidR="00FF19E0">
        <w:rPr>
          <w:rStyle w:val="Hyperlink"/>
        </w:rPr>
        <w:t>.</w:t>
      </w:r>
      <w:r w:rsidR="00FF19E0">
        <w:t xml:space="preserve"> </w:t>
      </w:r>
    </w:p>
    <w:p w14:paraId="547B3607" w14:textId="33469DD8" w:rsidR="00FF19E0" w:rsidRDefault="00747FAC" w:rsidP="00FF19E0">
      <w:pPr>
        <w:pStyle w:val="Jacobnormal"/>
        <w:spacing w:line="240" w:lineRule="auto"/>
        <w:ind w:left="567" w:hanging="567"/>
      </w:pPr>
      <w:r w:rsidRPr="000577B2">
        <w:t xml:space="preserve">Ryan, N. (2003). </w:t>
      </w:r>
      <w:r w:rsidRPr="004115DA">
        <w:rPr>
          <w:i/>
        </w:rPr>
        <w:t xml:space="preserve">Homeland: </w:t>
      </w:r>
      <w:r w:rsidR="00AA760A" w:rsidRPr="004115DA">
        <w:rPr>
          <w:i/>
        </w:rPr>
        <w:t>I</w:t>
      </w:r>
      <w:r w:rsidRPr="004115DA">
        <w:rPr>
          <w:i/>
        </w:rPr>
        <w:t xml:space="preserve">nto a </w:t>
      </w:r>
      <w:r w:rsidR="00AA760A" w:rsidRPr="004115DA">
        <w:rPr>
          <w:i/>
        </w:rPr>
        <w:t>W</w:t>
      </w:r>
      <w:r w:rsidRPr="004115DA">
        <w:rPr>
          <w:i/>
        </w:rPr>
        <w:t xml:space="preserve">orld </w:t>
      </w:r>
      <w:r w:rsidR="00FF19E0" w:rsidRPr="004115DA">
        <w:rPr>
          <w:i/>
        </w:rPr>
        <w:t xml:space="preserve">of </w:t>
      </w:r>
      <w:r w:rsidR="00AA760A" w:rsidRPr="004115DA">
        <w:rPr>
          <w:i/>
        </w:rPr>
        <w:t>H</w:t>
      </w:r>
      <w:r w:rsidR="00FF19E0" w:rsidRPr="004115DA">
        <w:rPr>
          <w:i/>
        </w:rPr>
        <w:t>ate</w:t>
      </w:r>
      <w:r w:rsidR="003F7F49">
        <w:t xml:space="preserve">. Edinburgh: Mainstream, available at: </w:t>
      </w:r>
      <w:hyperlink r:id="rId131" w:history="1">
        <w:r w:rsidR="003F7F49" w:rsidRPr="00D62FEC">
          <w:rPr>
            <w:rStyle w:val="Hyperlink"/>
          </w:rPr>
          <w:t>https://books.google.no/books/about/Homeland.html?id=_I6iQgAACAAJ&amp;redir_esc=y</w:t>
        </w:r>
      </w:hyperlink>
      <w:r w:rsidR="003F7F49">
        <w:t xml:space="preserve">. </w:t>
      </w:r>
    </w:p>
    <w:p w14:paraId="747AA138" w14:textId="673DCFB1" w:rsidR="00FF19E0" w:rsidRDefault="00747FAC" w:rsidP="00FF19E0">
      <w:pPr>
        <w:pStyle w:val="Jacobnormal"/>
        <w:spacing w:line="240" w:lineRule="auto"/>
        <w:ind w:left="567" w:hanging="567"/>
      </w:pPr>
      <w:proofErr w:type="spellStart"/>
      <w:r w:rsidRPr="000577B2">
        <w:t>Lowles</w:t>
      </w:r>
      <w:proofErr w:type="spellEnd"/>
      <w:r w:rsidRPr="000577B2">
        <w:t xml:space="preserve">, N. (2001). </w:t>
      </w:r>
      <w:r w:rsidRPr="004115DA">
        <w:rPr>
          <w:i/>
        </w:rPr>
        <w:t xml:space="preserve">White </w:t>
      </w:r>
      <w:r w:rsidR="00AA760A" w:rsidRPr="004115DA">
        <w:rPr>
          <w:i/>
        </w:rPr>
        <w:t>R</w:t>
      </w:r>
      <w:r w:rsidRPr="004115DA">
        <w:rPr>
          <w:i/>
        </w:rPr>
        <w:t xml:space="preserve">iot: the </w:t>
      </w:r>
      <w:r w:rsidR="00AA760A" w:rsidRPr="004115DA">
        <w:rPr>
          <w:i/>
        </w:rPr>
        <w:t>V</w:t>
      </w:r>
      <w:r w:rsidRPr="004115DA">
        <w:rPr>
          <w:i/>
        </w:rPr>
        <w:t xml:space="preserve">iolent </w:t>
      </w:r>
      <w:r w:rsidR="00AA760A" w:rsidRPr="004115DA">
        <w:rPr>
          <w:i/>
        </w:rPr>
        <w:t>R</w:t>
      </w:r>
      <w:r w:rsidRPr="004115DA">
        <w:rPr>
          <w:i/>
        </w:rPr>
        <w:t xml:space="preserve">ise and </w:t>
      </w:r>
      <w:proofErr w:type="gramStart"/>
      <w:r w:rsidR="00AA760A" w:rsidRPr="004115DA">
        <w:rPr>
          <w:i/>
        </w:rPr>
        <w:t>F</w:t>
      </w:r>
      <w:r w:rsidR="00FF19E0" w:rsidRPr="004115DA">
        <w:rPr>
          <w:i/>
        </w:rPr>
        <w:t>all</w:t>
      </w:r>
      <w:proofErr w:type="gramEnd"/>
      <w:r w:rsidR="00FF19E0" w:rsidRPr="004115DA">
        <w:rPr>
          <w:i/>
        </w:rPr>
        <w:t xml:space="preserve"> of Combat 18</w:t>
      </w:r>
      <w:r w:rsidR="00FF19E0">
        <w:t>. London: Milo</w:t>
      </w:r>
      <w:r w:rsidR="003F7F49">
        <w:t xml:space="preserve">, available at </w:t>
      </w:r>
      <w:hyperlink r:id="rId132" w:history="1">
        <w:r w:rsidR="003F7F49" w:rsidRPr="00D62FEC">
          <w:rPr>
            <w:rStyle w:val="Hyperlink"/>
          </w:rPr>
          <w:t>https://www.amazon.com/White-Riot-Violent-Story-Combat/dp/1903854008</w:t>
        </w:r>
      </w:hyperlink>
      <w:r w:rsidR="00FF19E0">
        <w:t>.</w:t>
      </w:r>
    </w:p>
    <w:p w14:paraId="318333F4" w14:textId="4DAD936B" w:rsidR="00C91099" w:rsidRDefault="00747FAC" w:rsidP="00FF19E0">
      <w:pPr>
        <w:pStyle w:val="Jacobnormal"/>
        <w:spacing w:line="240" w:lineRule="auto"/>
        <w:ind w:left="567" w:hanging="567"/>
      </w:pPr>
      <w:r w:rsidRPr="000577B2">
        <w:t>Jackson, P. (2014). #</w:t>
      </w:r>
      <w:proofErr w:type="spellStart"/>
      <w:r w:rsidRPr="000577B2">
        <w:t>hitlerwasright</w:t>
      </w:r>
      <w:proofErr w:type="spellEnd"/>
      <w:r w:rsidRPr="000577B2">
        <w:t xml:space="preserve">: National Action and National Socialism for the 21st Century. </w:t>
      </w:r>
      <w:r w:rsidRPr="000577B2">
        <w:rPr>
          <w:i/>
        </w:rPr>
        <w:t xml:space="preserve">Journal for </w:t>
      </w:r>
      <w:proofErr w:type="spellStart"/>
      <w:r w:rsidRPr="000577B2">
        <w:rPr>
          <w:i/>
        </w:rPr>
        <w:t>Deradicalization</w:t>
      </w:r>
      <w:proofErr w:type="spellEnd"/>
      <w:r w:rsidR="00FF19E0">
        <w:t>, 0(1), 97–115</w:t>
      </w:r>
      <w:r w:rsidR="00A74B6A">
        <w:t>, available at:</w:t>
      </w:r>
      <w:r w:rsidR="00A74B6A" w:rsidRPr="00A74B6A">
        <w:t xml:space="preserve"> </w:t>
      </w:r>
      <w:hyperlink r:id="rId133" w:history="1">
        <w:r w:rsidR="00A74B6A" w:rsidRPr="00D62FEC">
          <w:rPr>
            <w:rStyle w:val="Hyperlink"/>
          </w:rPr>
          <w:t>http://journals.sfu.ca/jd/index.php/jd/article/view/7</w:t>
        </w:r>
      </w:hyperlink>
      <w:r w:rsidR="00A74B6A">
        <w:t xml:space="preserve"> </w:t>
      </w:r>
    </w:p>
    <w:p w14:paraId="50183E13" w14:textId="77777777" w:rsidR="00FF19E0" w:rsidRPr="000577B2" w:rsidRDefault="00FF19E0" w:rsidP="00FF19E0">
      <w:pPr>
        <w:pStyle w:val="Jacobnormal"/>
        <w:spacing w:line="240" w:lineRule="auto"/>
        <w:ind w:left="567" w:hanging="567"/>
        <w:rPr>
          <w:rStyle w:val="Hyperlink"/>
          <w:color w:val="auto"/>
          <w:u w:val="none"/>
        </w:rPr>
      </w:pPr>
      <w:r w:rsidRPr="000577B2">
        <w:t xml:space="preserve">European Commission against Racism and Intolerance (ECRI), country monitoring reports, available at: </w:t>
      </w:r>
      <w:hyperlink r:id="rId134" w:history="1">
        <w:r w:rsidRPr="000577B2">
          <w:rPr>
            <w:rStyle w:val="Hyperlink"/>
          </w:rPr>
          <w:t>http://www.coe.int/t/dghl/monitoring/ecri/library/publications.asp</w:t>
        </w:r>
      </w:hyperlink>
      <w:r w:rsidRPr="000577B2">
        <w:rPr>
          <w:rStyle w:val="Hyperlink"/>
        </w:rPr>
        <w:t>.</w:t>
      </w:r>
    </w:p>
    <w:p w14:paraId="5385450B" w14:textId="63CE54E8" w:rsidR="00FF19E0" w:rsidRPr="00A74B6A" w:rsidRDefault="00FF19E0" w:rsidP="00A74B6A">
      <w:pPr>
        <w:pStyle w:val="Jacobnormal"/>
        <w:spacing w:line="240" w:lineRule="auto"/>
        <w:ind w:left="567" w:hanging="567"/>
        <w:rPr>
          <w:color w:val="0000FF" w:themeColor="hyperlink"/>
          <w:u w:val="single"/>
        </w:rPr>
      </w:pPr>
      <w:r w:rsidRPr="000577B2">
        <w:t xml:space="preserve">European Network </w:t>
      </w:r>
      <w:proofErr w:type="gramStart"/>
      <w:r w:rsidRPr="000577B2">
        <w:t>Against</w:t>
      </w:r>
      <w:proofErr w:type="gramEnd"/>
      <w:r w:rsidRPr="000577B2">
        <w:t xml:space="preserve"> Racism (ENAR), shadow reports on racism in Europe, available at: </w:t>
      </w:r>
      <w:hyperlink r:id="rId135" w:history="1">
        <w:r w:rsidRPr="000577B2">
          <w:rPr>
            <w:rStyle w:val="Hyperlink"/>
          </w:rPr>
          <w:t>http://www.enar-eu.org/Shadow-Reports-on-racism-in-Europe-203</w:t>
        </w:r>
      </w:hyperlink>
      <w:r w:rsidRPr="000577B2">
        <w:rPr>
          <w:rStyle w:val="Hyperlink"/>
        </w:rPr>
        <w:t>.</w:t>
      </w:r>
    </w:p>
    <w:sectPr w:rsidR="00FF19E0" w:rsidRPr="00A74B6A" w:rsidSect="001A24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CA282" w14:textId="77777777" w:rsidR="00CC6FA4" w:rsidRDefault="00CC6FA4" w:rsidP="00F14AB3">
      <w:pPr>
        <w:spacing w:after="0" w:line="240" w:lineRule="auto"/>
      </w:pPr>
      <w:r>
        <w:separator/>
      </w:r>
    </w:p>
  </w:endnote>
  <w:endnote w:type="continuationSeparator" w:id="0">
    <w:p w14:paraId="3E24B224" w14:textId="77777777" w:rsidR="00CC6FA4" w:rsidRDefault="00CC6FA4" w:rsidP="00F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544646"/>
      <w:docPartObj>
        <w:docPartGallery w:val="Page Numbers (Bottom of Page)"/>
        <w:docPartUnique/>
      </w:docPartObj>
    </w:sdtPr>
    <w:sdtEndPr>
      <w:rPr>
        <w:noProof/>
      </w:rPr>
    </w:sdtEndPr>
    <w:sdtContent>
      <w:p w14:paraId="7C2C618D" w14:textId="49C4D376" w:rsidR="00B948EA" w:rsidRDefault="00B948EA">
        <w:pPr>
          <w:pStyle w:val="Footer"/>
          <w:jc w:val="right"/>
        </w:pPr>
        <w:r>
          <w:fldChar w:fldCharType="begin"/>
        </w:r>
        <w:r>
          <w:instrText xml:space="preserve"> PAGE   \* MERGEFORMAT </w:instrText>
        </w:r>
        <w:r>
          <w:fldChar w:fldCharType="separate"/>
        </w:r>
        <w:r w:rsidR="00452E27">
          <w:rPr>
            <w:noProof/>
          </w:rPr>
          <w:t>17</w:t>
        </w:r>
        <w:r>
          <w:rPr>
            <w:noProof/>
          </w:rPr>
          <w:fldChar w:fldCharType="end"/>
        </w:r>
      </w:p>
    </w:sdtContent>
  </w:sdt>
  <w:p w14:paraId="1C25E667" w14:textId="77777777" w:rsidR="00B948EA" w:rsidRDefault="00B94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22BDF" w14:textId="77777777" w:rsidR="00CC6FA4" w:rsidRDefault="00CC6FA4" w:rsidP="00F14AB3">
      <w:pPr>
        <w:spacing w:after="0" w:line="240" w:lineRule="auto"/>
      </w:pPr>
      <w:r>
        <w:separator/>
      </w:r>
    </w:p>
  </w:footnote>
  <w:footnote w:type="continuationSeparator" w:id="0">
    <w:p w14:paraId="389AB18A" w14:textId="77777777" w:rsidR="00CC6FA4" w:rsidRDefault="00CC6FA4" w:rsidP="00F14AB3">
      <w:pPr>
        <w:spacing w:after="0" w:line="240" w:lineRule="auto"/>
      </w:pPr>
      <w:r>
        <w:continuationSeparator/>
      </w:r>
    </w:p>
  </w:footnote>
  <w:footnote w:id="1">
    <w:p w14:paraId="7889DAEA" w14:textId="77777777" w:rsidR="00B948EA" w:rsidRPr="00D45165"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Severe abuse motivated by white power ideology.</w:t>
      </w:r>
      <w:r w:rsidRPr="00D45165">
        <w:rPr>
          <w:rFonts w:ascii="Times New Roman" w:hAnsi="Times New Roman" w:cs="Times New Roman"/>
          <w:i/>
          <w:sz w:val="18"/>
          <w:szCs w:val="18"/>
          <w:lang w:val="en-US"/>
        </w:rPr>
        <w:t xml:space="preserve">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Annual reports by the Swedish Security Service (SÄPO), </w:t>
      </w:r>
      <w:hyperlink r:id="rId1" w:history="1">
        <w:r w:rsidRPr="00D45165">
          <w:rPr>
            <w:rStyle w:val="Hyperlink"/>
            <w:sz w:val="18"/>
            <w:szCs w:val="18"/>
            <w:lang w:val="en-US"/>
          </w:rPr>
          <w:t>http://www.sakerhetspolisen.se/publikationer.html</w:t>
        </w:r>
      </w:hyperlink>
      <w:r w:rsidRPr="00D45165">
        <w:rPr>
          <w:rFonts w:ascii="Times New Roman" w:hAnsi="Times New Roman" w:cs="Times New Roman"/>
          <w:sz w:val="18"/>
          <w:szCs w:val="18"/>
          <w:lang w:val="en-US"/>
        </w:rPr>
        <w:t>.</w:t>
      </w:r>
    </w:p>
  </w:footnote>
  <w:footnote w:id="2">
    <w:p w14:paraId="5BA02949" w14:textId="77777777" w:rsidR="00B948EA" w:rsidRPr="00D45165"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w:t>
      </w:r>
      <w:r w:rsidRPr="00636A01">
        <w:rPr>
          <w:rFonts w:ascii="Times New Roman" w:hAnsi="Times New Roman" w:cs="Times New Roman"/>
          <w:sz w:val="18"/>
          <w:szCs w:val="18"/>
          <w:lang w:val="en-US"/>
        </w:rPr>
        <w:t xml:space="preserve">Violent crimes motivated by </w:t>
      </w:r>
      <w:r>
        <w:rPr>
          <w:rFonts w:ascii="Times New Roman" w:hAnsi="Times New Roman" w:cs="Times New Roman"/>
          <w:sz w:val="18"/>
          <w:szCs w:val="18"/>
          <w:lang w:val="en-US"/>
        </w:rPr>
        <w:t>w</w:t>
      </w:r>
      <w:r w:rsidRPr="00636A01">
        <w:rPr>
          <w:rFonts w:ascii="Times New Roman" w:hAnsi="Times New Roman" w:cs="Times New Roman"/>
          <w:sz w:val="18"/>
          <w:szCs w:val="18"/>
          <w:lang w:val="en-US"/>
        </w:rPr>
        <w:t xml:space="preserve">hite </w:t>
      </w:r>
      <w:r>
        <w:rPr>
          <w:rFonts w:ascii="Times New Roman" w:hAnsi="Times New Roman" w:cs="Times New Roman"/>
          <w:sz w:val="18"/>
          <w:szCs w:val="18"/>
          <w:lang w:val="en-US"/>
        </w:rPr>
        <w:t>p</w:t>
      </w:r>
      <w:r w:rsidRPr="00636A01">
        <w:rPr>
          <w:rFonts w:ascii="Times New Roman" w:hAnsi="Times New Roman" w:cs="Times New Roman"/>
          <w:sz w:val="18"/>
          <w:szCs w:val="18"/>
          <w:lang w:val="en-US"/>
        </w:rPr>
        <w:t xml:space="preserve">ower ideology. </w:t>
      </w:r>
      <w:r w:rsidRPr="00C12FC1">
        <w:rPr>
          <w:rFonts w:ascii="Times New Roman" w:hAnsi="Times New Roman" w:cs="Times New Roman"/>
          <w:b/>
          <w:sz w:val="18"/>
          <w:szCs w:val="18"/>
          <w:lang w:val="en-US"/>
        </w:rPr>
        <w:t>Source:</w:t>
      </w:r>
      <w:r w:rsidRPr="00636A01">
        <w:rPr>
          <w:rFonts w:ascii="Times New Roman" w:hAnsi="Times New Roman" w:cs="Times New Roman"/>
          <w:sz w:val="18"/>
          <w:szCs w:val="18"/>
          <w:lang w:val="en-US"/>
        </w:rPr>
        <w:t xml:space="preserve"> Annual reports by </w:t>
      </w:r>
      <w:r w:rsidRPr="00636A01">
        <w:rPr>
          <w:rStyle w:val="articlexintro"/>
          <w:rFonts w:ascii="Times New Roman" w:hAnsi="Times New Roman" w:cs="Times New Roman"/>
          <w:sz w:val="18"/>
          <w:szCs w:val="18"/>
          <w:lang w:val="en-US"/>
        </w:rPr>
        <w:t>The Swedish National Council for Crime Prevention (</w:t>
      </w:r>
      <w:proofErr w:type="spellStart"/>
      <w:r w:rsidRPr="00636A01">
        <w:rPr>
          <w:rStyle w:val="articlexintro"/>
          <w:rFonts w:ascii="Times New Roman" w:hAnsi="Times New Roman" w:cs="Times New Roman"/>
          <w:sz w:val="18"/>
          <w:szCs w:val="18"/>
          <w:lang w:val="en-US"/>
        </w:rPr>
        <w:t>Brå</w:t>
      </w:r>
      <w:proofErr w:type="spellEnd"/>
      <w:r w:rsidRPr="00636A01">
        <w:rPr>
          <w:rStyle w:val="articlexintro"/>
          <w:rFonts w:ascii="Times New Roman" w:hAnsi="Times New Roman" w:cs="Times New Roman"/>
          <w:sz w:val="18"/>
          <w:szCs w:val="18"/>
          <w:lang w:val="en-US"/>
        </w:rPr>
        <w:t xml:space="preserve">), </w:t>
      </w:r>
      <w:hyperlink r:id="rId2" w:history="1">
        <w:r w:rsidRPr="00636A01">
          <w:rPr>
            <w:rStyle w:val="Hyperlink"/>
            <w:sz w:val="18"/>
            <w:szCs w:val="18"/>
            <w:lang w:val="en-US"/>
          </w:rPr>
          <w:t>http://www.bra.se/bra/bra-in-english/home/crime-and-statistics/hate-crime.html</w:t>
        </w:r>
      </w:hyperlink>
      <w:r w:rsidRPr="00636A01">
        <w:rPr>
          <w:rStyle w:val="articlexintro"/>
          <w:rFonts w:ascii="Times New Roman" w:hAnsi="Times New Roman" w:cs="Times New Roman"/>
          <w:sz w:val="18"/>
          <w:szCs w:val="18"/>
          <w:lang w:val="en-US"/>
        </w:rPr>
        <w:t>.</w:t>
      </w:r>
      <w:r>
        <w:rPr>
          <w:rStyle w:val="articlexintro"/>
          <w:rFonts w:ascii="Times New Roman" w:hAnsi="Times New Roman" w:cs="Times New Roman"/>
          <w:sz w:val="18"/>
          <w:szCs w:val="18"/>
          <w:lang w:val="en-US"/>
        </w:rPr>
        <w:t xml:space="preserve"> </w:t>
      </w:r>
      <w:r w:rsidRPr="00C12FC1">
        <w:rPr>
          <w:rStyle w:val="articlexintro"/>
          <w:rFonts w:ascii="Times New Roman" w:hAnsi="Times New Roman" w:cs="Times New Roman"/>
          <w:b/>
          <w:sz w:val="18"/>
          <w:szCs w:val="18"/>
          <w:lang w:val="en-US"/>
        </w:rPr>
        <w:t>*</w:t>
      </w:r>
      <w:r>
        <w:rPr>
          <w:rStyle w:val="articlexintro"/>
          <w:rFonts w:ascii="Times New Roman" w:hAnsi="Times New Roman" w:cs="Times New Roman"/>
          <w:sz w:val="18"/>
          <w:szCs w:val="18"/>
          <w:lang w:val="en-US"/>
        </w:rPr>
        <w:t xml:space="preserve"> From 2014 onwards, </w:t>
      </w:r>
      <w:proofErr w:type="spellStart"/>
      <w:r>
        <w:rPr>
          <w:rStyle w:val="articlexintro"/>
          <w:rFonts w:ascii="Times New Roman" w:hAnsi="Times New Roman" w:cs="Times New Roman"/>
          <w:sz w:val="18"/>
          <w:szCs w:val="18"/>
          <w:lang w:val="en-US"/>
        </w:rPr>
        <w:t>Brå</w:t>
      </w:r>
      <w:proofErr w:type="spellEnd"/>
      <w:r>
        <w:rPr>
          <w:rStyle w:val="articlexintro"/>
          <w:rFonts w:ascii="Times New Roman" w:hAnsi="Times New Roman" w:cs="Times New Roman"/>
          <w:sz w:val="18"/>
          <w:szCs w:val="18"/>
          <w:lang w:val="en-US"/>
        </w:rPr>
        <w:t xml:space="preserve"> no longer provides information about violent crimes committed by the extreme right specifically. </w:t>
      </w:r>
    </w:p>
  </w:footnote>
  <w:footnote w:id="3">
    <w:p w14:paraId="2A5CAD1D" w14:textId="634FE35C" w:rsidR="00B948EA" w:rsidRPr="00DF6AFE"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Racially motivated violent incidents – may also include racial violence between minority groups (2003</w:t>
      </w:r>
      <w:r>
        <w:rPr>
          <w:rFonts w:ascii="Times New Roman" w:hAnsi="Times New Roman" w:cs="Times New Roman"/>
          <w:sz w:val="18"/>
          <w:szCs w:val="18"/>
          <w:lang w:val="en-US"/>
        </w:rPr>
        <w:t>–</w:t>
      </w:r>
      <w:r w:rsidRPr="00D45165">
        <w:rPr>
          <w:rFonts w:ascii="Times New Roman" w:hAnsi="Times New Roman" w:cs="Times New Roman"/>
          <w:sz w:val="18"/>
          <w:szCs w:val="18"/>
          <w:lang w:val="en-US"/>
        </w:rPr>
        <w:t xml:space="preserve">2006 manually counted by this author).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Annual reports by the Danish Secret S</w:t>
      </w:r>
      <w:r>
        <w:rPr>
          <w:rFonts w:ascii="Times New Roman" w:hAnsi="Times New Roman" w:cs="Times New Roman"/>
          <w:sz w:val="18"/>
          <w:szCs w:val="18"/>
          <w:lang w:val="en-US"/>
        </w:rPr>
        <w:t>ervice (PET),</w:t>
      </w:r>
      <w:r w:rsidRPr="00D45165">
        <w:rPr>
          <w:rFonts w:ascii="Times New Roman" w:hAnsi="Times New Roman" w:cs="Times New Roman"/>
          <w:sz w:val="18"/>
          <w:szCs w:val="18"/>
          <w:lang w:val="en-US"/>
        </w:rPr>
        <w:t xml:space="preserve"> </w:t>
      </w:r>
      <w:hyperlink r:id="rId3" w:history="1">
        <w:r w:rsidRPr="00D45165">
          <w:rPr>
            <w:rStyle w:val="Hyperlink"/>
            <w:sz w:val="18"/>
            <w:szCs w:val="18"/>
            <w:lang w:val="en-US"/>
          </w:rPr>
          <w:t>https://www.pet.dk/Publikationer/RACI-indberetning.aspx</w:t>
        </w:r>
      </w:hyperlink>
      <w:r w:rsidRPr="00D45165">
        <w:rPr>
          <w:rStyle w:val="Hyperlink"/>
          <w:sz w:val="18"/>
          <w:szCs w:val="18"/>
          <w:lang w:val="en-US"/>
        </w:rPr>
        <w:t>.</w:t>
      </w:r>
      <w:r w:rsidRPr="00DF6AFE">
        <w:rPr>
          <w:rStyle w:val="Hyperlink"/>
          <w:sz w:val="18"/>
          <w:szCs w:val="18"/>
          <w:lang w:val="en-US"/>
        </w:rPr>
        <w:t xml:space="preserve"> </w:t>
      </w:r>
      <w:r>
        <w:rPr>
          <w:rFonts w:ascii="Times New Roman" w:eastAsia="Times New Roman" w:hAnsi="Times New Roman" w:cs="Times New Roman"/>
          <w:color w:val="000000"/>
          <w:lang w:val="en-GB" w:eastAsia="nb-NO"/>
        </w:rPr>
        <w:t>*</w:t>
      </w:r>
      <w:r w:rsidRPr="00DF6AFE">
        <w:rPr>
          <w:rStyle w:val="Hyperlink"/>
          <w:sz w:val="18"/>
          <w:szCs w:val="18"/>
          <w:lang w:val="en-US"/>
        </w:rPr>
        <w:t xml:space="preserve"> </w:t>
      </w:r>
      <w:r w:rsidRPr="004115DA">
        <w:rPr>
          <w:lang w:val="en-US"/>
        </w:rPr>
        <w:t>In 2014, PET did not publish their annual hate crime report.</w:t>
      </w:r>
    </w:p>
  </w:footnote>
  <w:footnote w:id="4">
    <w:p w14:paraId="4069F1F9" w14:textId="77777777" w:rsidR="00B948EA" w:rsidRPr="00DF6AFE"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Politically (right and left) motivated violent incidents.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Annual reports by the Danish Secret Service (PET) </w:t>
      </w:r>
      <w:hyperlink r:id="rId4" w:history="1">
        <w:r w:rsidRPr="00D45165">
          <w:rPr>
            <w:rStyle w:val="Hyperlink"/>
            <w:sz w:val="18"/>
            <w:szCs w:val="18"/>
            <w:lang w:val="en-US"/>
          </w:rPr>
          <w:t>https://www.pet.dk/Publikationer/RACI-indberetning.aspx</w:t>
        </w:r>
      </w:hyperlink>
      <w:r w:rsidRPr="00D45165">
        <w:rPr>
          <w:rFonts w:ascii="Times New Roman" w:hAnsi="Times New Roman" w:cs="Times New Roman"/>
          <w:sz w:val="18"/>
          <w:szCs w:val="18"/>
          <w:lang w:val="en-US"/>
        </w:rPr>
        <w:t>.</w:t>
      </w:r>
      <w:r>
        <w:rPr>
          <w:rFonts w:ascii="Times New Roman" w:hAnsi="Times New Roman" w:cs="Times New Roman"/>
          <w:sz w:val="18"/>
          <w:szCs w:val="18"/>
          <w:lang w:val="en-US"/>
        </w:rPr>
        <w:t xml:space="preserve"> </w:t>
      </w:r>
    </w:p>
  </w:footnote>
  <w:footnote w:id="5">
    <w:p w14:paraId="3B74BF64" w14:textId="77777777" w:rsidR="00B948EA" w:rsidRPr="00D45165"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Violent assaults motivated racism and/or the extreme right.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Annual report (Racism and Extremism Monitor) by the Anne Frank House, </w:t>
      </w:r>
      <w:hyperlink r:id="rId5" w:history="1">
        <w:r w:rsidRPr="00D45165">
          <w:rPr>
            <w:rStyle w:val="Hyperlink"/>
            <w:sz w:val="18"/>
            <w:szCs w:val="18"/>
            <w:lang w:val="en-US"/>
          </w:rPr>
          <w:t>http://www.annefrank.org/en/Education/Monitor-Homepage/Racism-monitor/</w:t>
        </w:r>
      </w:hyperlink>
      <w:r w:rsidRPr="00D45165">
        <w:rPr>
          <w:rFonts w:ascii="Times New Roman" w:hAnsi="Times New Roman" w:cs="Times New Roman"/>
          <w:sz w:val="18"/>
          <w:szCs w:val="18"/>
          <w:lang w:val="en-US"/>
        </w:rPr>
        <w:t>.</w:t>
      </w:r>
    </w:p>
  </w:footnote>
  <w:footnote w:id="6">
    <w:p w14:paraId="08DF2251" w14:textId="77777777" w:rsidR="00B948EA" w:rsidRPr="00D45165"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Violent assaults motivated racism and/or the extreme right.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Report by the Anne Frank House, “Second report on racism, anti-Semitism, and right-wing extremist violence in the Netherlands”, </w:t>
      </w:r>
      <w:hyperlink r:id="rId6" w:history="1">
        <w:r w:rsidRPr="00D45165">
          <w:rPr>
            <w:rStyle w:val="Hyperlink"/>
            <w:sz w:val="18"/>
            <w:szCs w:val="18"/>
            <w:lang w:val="en-US"/>
          </w:rPr>
          <w:t>http://www.verwey-jonker.nl/doc/vitaliteit/7352%20Anne%20Frank%20English%20Monitor%20Web.pdf</w:t>
        </w:r>
      </w:hyperlink>
      <w:r w:rsidRPr="00D45165">
        <w:rPr>
          <w:rFonts w:ascii="Times New Roman" w:hAnsi="Times New Roman" w:cs="Times New Roman"/>
          <w:sz w:val="18"/>
          <w:szCs w:val="18"/>
          <w:lang w:val="en-US"/>
        </w:rPr>
        <w:t>.</w:t>
      </w:r>
    </w:p>
  </w:footnote>
  <w:footnote w:id="7">
    <w:p w14:paraId="73343FBC" w14:textId="77777777" w:rsidR="00B948EA" w:rsidRPr="00D45165"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Violent assaults </w:t>
      </w:r>
      <w:r>
        <w:rPr>
          <w:rFonts w:ascii="Times New Roman" w:hAnsi="Times New Roman" w:cs="Times New Roman"/>
          <w:sz w:val="18"/>
          <w:szCs w:val="18"/>
          <w:lang w:val="en-US"/>
        </w:rPr>
        <w:t>(</w:t>
      </w:r>
      <w:proofErr w:type="spellStart"/>
      <w:r>
        <w:rPr>
          <w:rFonts w:ascii="Times New Roman" w:hAnsi="Times New Roman" w:cs="Times New Roman"/>
          <w:i/>
          <w:sz w:val="18"/>
          <w:szCs w:val="18"/>
          <w:lang w:val="en-US"/>
        </w:rPr>
        <w:t>g</w:t>
      </w:r>
      <w:r w:rsidRPr="00E33628">
        <w:rPr>
          <w:rFonts w:ascii="Times New Roman" w:hAnsi="Times New Roman" w:cs="Times New Roman"/>
          <w:i/>
          <w:sz w:val="18"/>
          <w:szCs w:val="18"/>
          <w:lang w:val="en-US"/>
        </w:rPr>
        <w:t>ewalttaten</w:t>
      </w:r>
      <w:proofErr w:type="spellEnd"/>
      <w:r>
        <w:rPr>
          <w:rFonts w:ascii="Times New Roman" w:hAnsi="Times New Roman" w:cs="Times New Roman"/>
          <w:sz w:val="18"/>
          <w:szCs w:val="18"/>
          <w:lang w:val="en-US"/>
        </w:rPr>
        <w:t xml:space="preserve">) </w:t>
      </w:r>
      <w:r w:rsidRPr="00D45165">
        <w:rPr>
          <w:rFonts w:ascii="Times New Roman" w:hAnsi="Times New Roman" w:cs="Times New Roman"/>
          <w:sz w:val="18"/>
          <w:szCs w:val="18"/>
          <w:lang w:val="en-US"/>
        </w:rPr>
        <w:t xml:space="preserve">committed by right-wing activists.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Annual reports by German Security Service, </w:t>
      </w:r>
      <w:hyperlink r:id="rId7" w:history="1">
        <w:r w:rsidRPr="00D45165">
          <w:rPr>
            <w:rStyle w:val="Hyperlink"/>
            <w:sz w:val="18"/>
            <w:szCs w:val="18"/>
            <w:lang w:val="en-US"/>
          </w:rPr>
          <w:t>http://www.verfassungsschutz.de/de/oeffentlichkeitsarbeit/publikationen/verfassungsschutzberichte</w:t>
        </w:r>
      </w:hyperlink>
      <w:r w:rsidRPr="00D45165">
        <w:rPr>
          <w:rStyle w:val="Hyperlink"/>
          <w:sz w:val="18"/>
          <w:szCs w:val="18"/>
          <w:lang w:val="en-US"/>
        </w:rPr>
        <w:t>.</w:t>
      </w:r>
    </w:p>
  </w:footnote>
  <w:footnote w:id="8">
    <w:p w14:paraId="367E05FC" w14:textId="77777777" w:rsidR="00B948EA" w:rsidRPr="00025ADA"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Violent attacks </w:t>
      </w:r>
      <w:r>
        <w:rPr>
          <w:rFonts w:ascii="Times New Roman" w:hAnsi="Times New Roman" w:cs="Times New Roman"/>
          <w:sz w:val="18"/>
          <w:szCs w:val="18"/>
          <w:lang w:val="en-US"/>
        </w:rPr>
        <w:t>(</w:t>
      </w:r>
      <w:proofErr w:type="spellStart"/>
      <w:r w:rsidRPr="00791E59">
        <w:rPr>
          <w:rFonts w:ascii="Times New Roman" w:hAnsi="Times New Roman" w:cs="Times New Roman"/>
          <w:i/>
          <w:sz w:val="18"/>
          <w:szCs w:val="18"/>
          <w:lang w:val="en-US"/>
        </w:rPr>
        <w:t>actiones</w:t>
      </w:r>
      <w:proofErr w:type="spellEnd"/>
      <w:r w:rsidRPr="00791E59">
        <w:rPr>
          <w:rFonts w:ascii="Times New Roman" w:hAnsi="Times New Roman" w:cs="Times New Roman"/>
          <w:i/>
          <w:sz w:val="18"/>
          <w:szCs w:val="18"/>
          <w:lang w:val="en-US"/>
        </w:rPr>
        <w:t xml:space="preserve"> </w:t>
      </w:r>
      <w:proofErr w:type="spellStart"/>
      <w:r w:rsidRPr="00791E59">
        <w:rPr>
          <w:rFonts w:ascii="Times New Roman" w:hAnsi="Times New Roman" w:cs="Times New Roman"/>
          <w:i/>
          <w:sz w:val="18"/>
          <w:szCs w:val="18"/>
          <w:lang w:val="en-US"/>
        </w:rPr>
        <w:t>violentes</w:t>
      </w:r>
      <w:proofErr w:type="spellEnd"/>
      <w:r>
        <w:rPr>
          <w:rFonts w:ascii="Times New Roman" w:hAnsi="Times New Roman" w:cs="Times New Roman"/>
          <w:sz w:val="18"/>
          <w:szCs w:val="18"/>
          <w:lang w:val="en-US"/>
        </w:rPr>
        <w:t xml:space="preserve">) </w:t>
      </w:r>
      <w:r w:rsidRPr="00D45165">
        <w:rPr>
          <w:rFonts w:ascii="Times New Roman" w:hAnsi="Times New Roman" w:cs="Times New Roman"/>
          <w:sz w:val="18"/>
          <w:szCs w:val="18"/>
          <w:lang w:val="en-US"/>
        </w:rPr>
        <w:t xml:space="preserve">committed by right-wing activists. </w:t>
      </w:r>
      <w:r w:rsidRPr="00C12FC1">
        <w:rPr>
          <w:rFonts w:ascii="Times New Roman" w:hAnsi="Times New Roman" w:cs="Times New Roman"/>
          <w:b/>
          <w:sz w:val="18"/>
          <w:szCs w:val="18"/>
          <w:lang w:val="fr-FR"/>
        </w:rPr>
        <w:t>Source:</w:t>
      </w:r>
      <w:r w:rsidRPr="00C12FC1">
        <w:rPr>
          <w:rFonts w:ascii="Times New Roman" w:hAnsi="Times New Roman" w:cs="Times New Roman"/>
          <w:sz w:val="18"/>
          <w:szCs w:val="18"/>
          <w:lang w:val="fr-FR"/>
        </w:rPr>
        <w:t xml:space="preserve"> Annal reports by </w:t>
      </w:r>
      <w:r w:rsidRPr="00C12FC1">
        <w:rPr>
          <w:rFonts w:ascii="Times New Roman" w:hAnsi="Times New Roman" w:cs="Times New Roman"/>
          <w:i/>
          <w:sz w:val="18"/>
          <w:szCs w:val="18"/>
          <w:lang w:val="fr-FR"/>
        </w:rPr>
        <w:t xml:space="preserve">La Commission nationale consultative des droits de l’homme </w:t>
      </w:r>
      <w:r w:rsidRPr="00C12FC1">
        <w:rPr>
          <w:rFonts w:ascii="Times New Roman" w:hAnsi="Times New Roman" w:cs="Times New Roman"/>
          <w:sz w:val="18"/>
          <w:szCs w:val="18"/>
          <w:lang w:val="fr-FR"/>
        </w:rPr>
        <w:t xml:space="preserve">(CNCDH), </w:t>
      </w:r>
      <w:hyperlink r:id="rId8" w:history="1">
        <w:r w:rsidRPr="00C12FC1">
          <w:rPr>
            <w:rStyle w:val="Hyperlink"/>
            <w:sz w:val="18"/>
            <w:szCs w:val="18"/>
            <w:lang w:val="fr-FR"/>
          </w:rPr>
          <w:t>http://www.cncdh.fr/fr/publications/?f[0]=im_field_theme%3A139&amp;f[1]=im_field_type_de_document%3A147</w:t>
        </w:r>
      </w:hyperlink>
      <w:r w:rsidRPr="00C12FC1">
        <w:rPr>
          <w:rStyle w:val="Hyperlink"/>
          <w:sz w:val="18"/>
          <w:szCs w:val="18"/>
          <w:lang w:val="fr-FR"/>
        </w:rPr>
        <w:t>.</w:t>
      </w:r>
      <w:r>
        <w:rPr>
          <w:rStyle w:val="Hyperlink"/>
          <w:sz w:val="18"/>
          <w:szCs w:val="18"/>
          <w:lang w:val="fr-FR"/>
        </w:rPr>
        <w:t xml:space="preserve"> </w:t>
      </w:r>
      <w:r w:rsidRPr="00C12FC1">
        <w:rPr>
          <w:rStyle w:val="Hyperlink"/>
          <w:b/>
          <w:sz w:val="18"/>
          <w:szCs w:val="18"/>
          <w:lang w:val="fr-FR"/>
        </w:rPr>
        <w:t>*</w:t>
      </w:r>
      <w:r w:rsidRPr="00C12FC1">
        <w:rPr>
          <w:rStyle w:val="Hyperlink"/>
          <w:sz w:val="18"/>
          <w:szCs w:val="18"/>
          <w:lang w:val="fr-FR"/>
        </w:rPr>
        <w:t xml:space="preserve"> </w:t>
      </w:r>
      <w:r w:rsidRPr="00025ADA">
        <w:rPr>
          <w:rStyle w:val="Hyperlink"/>
          <w:sz w:val="18"/>
          <w:szCs w:val="18"/>
          <w:lang w:val="en-US"/>
        </w:rPr>
        <w:t xml:space="preserve">From 2014 onwards, CNDCH no longer </w:t>
      </w:r>
      <w:r>
        <w:rPr>
          <w:rStyle w:val="Hyperlink"/>
          <w:sz w:val="18"/>
          <w:szCs w:val="18"/>
          <w:lang w:val="en-US"/>
        </w:rPr>
        <w:t>specifies</w:t>
      </w:r>
      <w:r w:rsidRPr="00025ADA">
        <w:rPr>
          <w:rStyle w:val="Hyperlink"/>
          <w:sz w:val="18"/>
          <w:szCs w:val="18"/>
          <w:lang w:val="en-US"/>
        </w:rPr>
        <w:t xml:space="preserve"> violent acts.</w:t>
      </w:r>
    </w:p>
  </w:footnote>
  <w:footnote w:id="9">
    <w:p w14:paraId="1BB86399" w14:textId="77777777" w:rsidR="00B948EA" w:rsidRPr="00D45165" w:rsidRDefault="00B948EA" w:rsidP="001A2456">
      <w:pPr>
        <w:pStyle w:val="FootnoteText"/>
        <w:ind w:left="-142" w:right="-455"/>
        <w:rPr>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Bodily injury </w:t>
      </w:r>
      <w:r>
        <w:rPr>
          <w:rFonts w:ascii="Times New Roman" w:hAnsi="Times New Roman" w:cs="Times New Roman"/>
          <w:sz w:val="18"/>
          <w:szCs w:val="18"/>
          <w:lang w:val="en-US"/>
        </w:rPr>
        <w:t>(</w:t>
      </w:r>
      <w:proofErr w:type="spellStart"/>
      <w:r w:rsidRPr="00791E59">
        <w:rPr>
          <w:rFonts w:ascii="Times New Roman" w:hAnsi="Times New Roman" w:cs="Times New Roman"/>
          <w:i/>
          <w:sz w:val="18"/>
          <w:szCs w:val="18"/>
          <w:lang w:val="en-US"/>
        </w:rPr>
        <w:t>Körperverletzung</w:t>
      </w:r>
      <w:proofErr w:type="spellEnd"/>
      <w:r>
        <w:rPr>
          <w:rFonts w:ascii="Times New Roman" w:hAnsi="Times New Roman" w:cs="Times New Roman"/>
          <w:sz w:val="18"/>
          <w:szCs w:val="18"/>
          <w:lang w:val="en-US"/>
        </w:rPr>
        <w:t>)</w:t>
      </w:r>
      <w:r w:rsidRPr="00791E59">
        <w:rPr>
          <w:rFonts w:ascii="Times New Roman" w:hAnsi="Times New Roman" w:cs="Times New Roman"/>
          <w:sz w:val="18"/>
          <w:szCs w:val="18"/>
          <w:lang w:val="en-US"/>
        </w:rPr>
        <w:t xml:space="preserve"> </w:t>
      </w:r>
      <w:r w:rsidRPr="00D45165">
        <w:rPr>
          <w:rFonts w:ascii="Times New Roman" w:hAnsi="Times New Roman" w:cs="Times New Roman"/>
          <w:sz w:val="18"/>
          <w:szCs w:val="18"/>
          <w:lang w:val="en-US"/>
        </w:rPr>
        <w:t xml:space="preserve">perpetrated by right-wing activists.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Austrian Security Service, </w:t>
      </w:r>
      <w:hyperlink r:id="rId9" w:history="1">
        <w:r w:rsidRPr="00D45165">
          <w:rPr>
            <w:rStyle w:val="Hyperlink"/>
            <w:sz w:val="18"/>
            <w:szCs w:val="18"/>
            <w:lang w:val="en-US"/>
          </w:rPr>
          <w:t>http://www.bmi.gv.at/cms/bmi_verfassungsschutz/</w:t>
        </w:r>
      </w:hyperlink>
      <w:r w:rsidRPr="00D45165">
        <w:rPr>
          <w:rFonts w:ascii="Times New Roman" w:hAnsi="Times New Roman" w:cs="Times New Roman"/>
          <w:sz w:val="18"/>
          <w:szCs w:val="18"/>
          <w:lang w:val="en-US"/>
        </w:rPr>
        <w:t>.</w:t>
      </w:r>
    </w:p>
  </w:footnote>
  <w:footnote w:id="10">
    <w:p w14:paraId="0BD1B043" w14:textId="21CFC12A" w:rsidR="00B948EA" w:rsidRPr="00BD471D" w:rsidRDefault="00B948EA" w:rsidP="001A2456">
      <w:pPr>
        <w:pStyle w:val="FootnoteText"/>
        <w:ind w:left="-142" w:right="-455"/>
        <w:rPr>
          <w:rFonts w:ascii="Times New Roman" w:hAnsi="Times New Roman" w:cs="Times New Roman"/>
          <w:lang w:val="en-US"/>
        </w:rPr>
      </w:pPr>
      <w:r w:rsidRPr="007F6DC3">
        <w:rPr>
          <w:rStyle w:val="FootnoteReference"/>
        </w:rPr>
        <w:footnoteRef/>
      </w:r>
      <w:r w:rsidRPr="00D45165">
        <w:rPr>
          <w:lang w:val="en-US"/>
        </w:rPr>
        <w:t xml:space="preserve"> </w:t>
      </w:r>
      <w:r w:rsidRPr="00C12FC1">
        <w:rPr>
          <w:rFonts w:ascii="Times New Roman" w:hAnsi="Times New Roman" w:cs="Times New Roman"/>
          <w:b/>
          <w:sz w:val="18"/>
          <w:szCs w:val="18"/>
          <w:lang w:val="en-US"/>
        </w:rPr>
        <w:t>Unit of analysis:</w:t>
      </w:r>
      <w:r w:rsidRPr="00D45165">
        <w:rPr>
          <w:rFonts w:ascii="Times New Roman" w:hAnsi="Times New Roman" w:cs="Times New Roman"/>
          <w:sz w:val="18"/>
          <w:szCs w:val="18"/>
          <w:lang w:val="en-US"/>
        </w:rPr>
        <w:t xml:space="preserve"> </w:t>
      </w:r>
      <w:r>
        <w:rPr>
          <w:rFonts w:ascii="Times New Roman" w:hAnsi="Times New Roman" w:cs="Times New Roman"/>
          <w:sz w:val="18"/>
          <w:szCs w:val="18"/>
          <w:lang w:val="en-US"/>
        </w:rPr>
        <w:t>Violence-related incidents motivated by right-wing extremism</w:t>
      </w:r>
      <w:r w:rsidRPr="00D45165">
        <w:rPr>
          <w:rFonts w:ascii="Times New Roman" w:hAnsi="Times New Roman" w:cs="Times New Roman"/>
          <w:sz w:val="18"/>
          <w:szCs w:val="18"/>
          <w:lang w:val="en-US"/>
        </w:rPr>
        <w:t xml:space="preserve">. </w:t>
      </w:r>
      <w:r w:rsidRPr="00C12FC1">
        <w:rPr>
          <w:rFonts w:ascii="Times New Roman" w:hAnsi="Times New Roman" w:cs="Times New Roman"/>
          <w:b/>
          <w:sz w:val="18"/>
          <w:szCs w:val="18"/>
          <w:lang w:val="en-US"/>
        </w:rPr>
        <w:t>Source:</w:t>
      </w:r>
      <w:r w:rsidRPr="00D45165">
        <w:rPr>
          <w:rFonts w:ascii="Times New Roman" w:hAnsi="Times New Roman" w:cs="Times New Roman"/>
          <w:sz w:val="18"/>
          <w:szCs w:val="18"/>
          <w:lang w:val="en-US"/>
        </w:rPr>
        <w:t xml:space="preserve"> </w:t>
      </w:r>
      <w:r>
        <w:rPr>
          <w:rFonts w:ascii="Times New Roman" w:hAnsi="Times New Roman" w:cs="Times New Roman"/>
          <w:sz w:val="18"/>
          <w:szCs w:val="18"/>
          <w:lang w:val="en-US"/>
        </w:rPr>
        <w:t>Swiss Federal Intelligence Service</w:t>
      </w:r>
      <w:r w:rsidRPr="00D45165">
        <w:rPr>
          <w:rFonts w:ascii="Times New Roman" w:hAnsi="Times New Roman" w:cs="Times New Roman"/>
          <w:sz w:val="18"/>
          <w:szCs w:val="18"/>
          <w:lang w:val="en-US"/>
        </w:rPr>
        <w:t xml:space="preserve">, </w:t>
      </w:r>
      <w:hyperlink r:id="rId10" w:history="1">
        <w:r w:rsidRPr="00FF19E0">
          <w:rPr>
            <w:rStyle w:val="Hyperlink"/>
            <w:lang w:val="en-US"/>
          </w:rPr>
          <w:t>http://www.vbs.admin.ch/en/documents/search.html</w:t>
        </w:r>
      </w:hyperlink>
      <w:r w:rsidRPr="00BD471D">
        <w:rPr>
          <w:rFonts w:ascii="Times New Roman" w:hAnsi="Times New Roman"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49078" w14:textId="77777777" w:rsidR="00B948EA" w:rsidRDefault="00B948EA" w:rsidP="00E63457">
    <w:pPr>
      <w:pStyle w:val="Header"/>
      <w:jc w:val="center"/>
    </w:pPr>
  </w:p>
  <w:p w14:paraId="6E07226F" w14:textId="77777777" w:rsidR="00B948EA" w:rsidRDefault="00B94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09C8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C7906"/>
    <w:multiLevelType w:val="hybridMultilevel"/>
    <w:tmpl w:val="59E89020"/>
    <w:lvl w:ilvl="0" w:tplc="04140001">
      <w:start w:val="1"/>
      <w:numFmt w:val="bullet"/>
      <w:lvlText w:val=""/>
      <w:lvlJc w:val="left"/>
      <w:pPr>
        <w:ind w:left="783" w:hanging="360"/>
      </w:pPr>
      <w:rPr>
        <w:rFonts w:ascii="Symbol" w:hAnsi="Symbol" w:hint="default"/>
      </w:rPr>
    </w:lvl>
    <w:lvl w:ilvl="1" w:tplc="04140003" w:tentative="1">
      <w:start w:val="1"/>
      <w:numFmt w:val="bullet"/>
      <w:lvlText w:val="o"/>
      <w:lvlJc w:val="left"/>
      <w:pPr>
        <w:ind w:left="1503" w:hanging="360"/>
      </w:pPr>
      <w:rPr>
        <w:rFonts w:ascii="Courier New" w:hAnsi="Courier New" w:cs="Courier New" w:hint="default"/>
      </w:rPr>
    </w:lvl>
    <w:lvl w:ilvl="2" w:tplc="04140005" w:tentative="1">
      <w:start w:val="1"/>
      <w:numFmt w:val="bullet"/>
      <w:lvlText w:val=""/>
      <w:lvlJc w:val="left"/>
      <w:pPr>
        <w:ind w:left="2223" w:hanging="360"/>
      </w:pPr>
      <w:rPr>
        <w:rFonts w:ascii="Wingdings" w:hAnsi="Wingdings" w:hint="default"/>
      </w:rPr>
    </w:lvl>
    <w:lvl w:ilvl="3" w:tplc="04140001" w:tentative="1">
      <w:start w:val="1"/>
      <w:numFmt w:val="bullet"/>
      <w:lvlText w:val=""/>
      <w:lvlJc w:val="left"/>
      <w:pPr>
        <w:ind w:left="2943" w:hanging="360"/>
      </w:pPr>
      <w:rPr>
        <w:rFonts w:ascii="Symbol" w:hAnsi="Symbol" w:hint="default"/>
      </w:rPr>
    </w:lvl>
    <w:lvl w:ilvl="4" w:tplc="04140003" w:tentative="1">
      <w:start w:val="1"/>
      <w:numFmt w:val="bullet"/>
      <w:lvlText w:val="o"/>
      <w:lvlJc w:val="left"/>
      <w:pPr>
        <w:ind w:left="3663" w:hanging="360"/>
      </w:pPr>
      <w:rPr>
        <w:rFonts w:ascii="Courier New" w:hAnsi="Courier New" w:cs="Courier New" w:hint="default"/>
      </w:rPr>
    </w:lvl>
    <w:lvl w:ilvl="5" w:tplc="04140005" w:tentative="1">
      <w:start w:val="1"/>
      <w:numFmt w:val="bullet"/>
      <w:lvlText w:val=""/>
      <w:lvlJc w:val="left"/>
      <w:pPr>
        <w:ind w:left="4383" w:hanging="360"/>
      </w:pPr>
      <w:rPr>
        <w:rFonts w:ascii="Wingdings" w:hAnsi="Wingdings" w:hint="default"/>
      </w:rPr>
    </w:lvl>
    <w:lvl w:ilvl="6" w:tplc="04140001" w:tentative="1">
      <w:start w:val="1"/>
      <w:numFmt w:val="bullet"/>
      <w:lvlText w:val=""/>
      <w:lvlJc w:val="left"/>
      <w:pPr>
        <w:ind w:left="5103" w:hanging="360"/>
      </w:pPr>
      <w:rPr>
        <w:rFonts w:ascii="Symbol" w:hAnsi="Symbol" w:hint="default"/>
      </w:rPr>
    </w:lvl>
    <w:lvl w:ilvl="7" w:tplc="04140003" w:tentative="1">
      <w:start w:val="1"/>
      <w:numFmt w:val="bullet"/>
      <w:lvlText w:val="o"/>
      <w:lvlJc w:val="left"/>
      <w:pPr>
        <w:ind w:left="5823" w:hanging="360"/>
      </w:pPr>
      <w:rPr>
        <w:rFonts w:ascii="Courier New" w:hAnsi="Courier New" w:cs="Courier New" w:hint="default"/>
      </w:rPr>
    </w:lvl>
    <w:lvl w:ilvl="8" w:tplc="04140005" w:tentative="1">
      <w:start w:val="1"/>
      <w:numFmt w:val="bullet"/>
      <w:lvlText w:val=""/>
      <w:lvlJc w:val="left"/>
      <w:pPr>
        <w:ind w:left="6543" w:hanging="360"/>
      </w:pPr>
      <w:rPr>
        <w:rFonts w:ascii="Wingdings" w:hAnsi="Wingdings" w:hint="default"/>
      </w:rPr>
    </w:lvl>
  </w:abstractNum>
  <w:abstractNum w:abstractNumId="2" w15:restartNumberingAfterBreak="0">
    <w:nsid w:val="0CC22D3C"/>
    <w:multiLevelType w:val="hybridMultilevel"/>
    <w:tmpl w:val="30FE0B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5B59B4"/>
    <w:multiLevelType w:val="hybridMultilevel"/>
    <w:tmpl w:val="3E2699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430371B"/>
    <w:multiLevelType w:val="hybridMultilevel"/>
    <w:tmpl w:val="86FCED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8535FC5"/>
    <w:multiLevelType w:val="hybridMultilevel"/>
    <w:tmpl w:val="C95ECC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BA843AD"/>
    <w:multiLevelType w:val="hybridMultilevel"/>
    <w:tmpl w:val="1098F6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2511581"/>
    <w:multiLevelType w:val="hybridMultilevel"/>
    <w:tmpl w:val="665EBB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3A628E4"/>
    <w:multiLevelType w:val="hybridMultilevel"/>
    <w:tmpl w:val="BCD0F4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EE31BD"/>
    <w:multiLevelType w:val="hybridMultilevel"/>
    <w:tmpl w:val="163A13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B421707"/>
    <w:multiLevelType w:val="hybridMultilevel"/>
    <w:tmpl w:val="588C8D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EA574A3"/>
    <w:multiLevelType w:val="hybridMultilevel"/>
    <w:tmpl w:val="B37631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C495BB5"/>
    <w:multiLevelType w:val="hybridMultilevel"/>
    <w:tmpl w:val="F9F4AB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4353B6D"/>
    <w:multiLevelType w:val="hybridMultilevel"/>
    <w:tmpl w:val="DD3267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8BF53AA"/>
    <w:multiLevelType w:val="hybridMultilevel"/>
    <w:tmpl w:val="C362FD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8FE3F9D"/>
    <w:multiLevelType w:val="hybridMultilevel"/>
    <w:tmpl w:val="6234C4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174659B"/>
    <w:multiLevelType w:val="hybridMultilevel"/>
    <w:tmpl w:val="55D89C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4862CC4"/>
    <w:multiLevelType w:val="hybridMultilevel"/>
    <w:tmpl w:val="499097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E4E7789"/>
    <w:multiLevelType w:val="hybridMultilevel"/>
    <w:tmpl w:val="4F142F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07D2FB8"/>
    <w:multiLevelType w:val="hybridMultilevel"/>
    <w:tmpl w:val="D90A0C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2A61627"/>
    <w:multiLevelType w:val="hybridMultilevel"/>
    <w:tmpl w:val="333CF7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9"/>
  </w:num>
  <w:num w:numId="4">
    <w:abstractNumId w:val="3"/>
  </w:num>
  <w:num w:numId="5">
    <w:abstractNumId w:val="5"/>
  </w:num>
  <w:num w:numId="6">
    <w:abstractNumId w:val="10"/>
  </w:num>
  <w:num w:numId="7">
    <w:abstractNumId w:val="11"/>
  </w:num>
  <w:num w:numId="8">
    <w:abstractNumId w:val="15"/>
  </w:num>
  <w:num w:numId="9">
    <w:abstractNumId w:val="19"/>
  </w:num>
  <w:num w:numId="10">
    <w:abstractNumId w:val="8"/>
  </w:num>
  <w:num w:numId="11">
    <w:abstractNumId w:val="14"/>
  </w:num>
  <w:num w:numId="12">
    <w:abstractNumId w:val="18"/>
  </w:num>
  <w:num w:numId="13">
    <w:abstractNumId w:val="13"/>
  </w:num>
  <w:num w:numId="14">
    <w:abstractNumId w:val="2"/>
  </w:num>
  <w:num w:numId="15">
    <w:abstractNumId w:val="1"/>
  </w:num>
  <w:num w:numId="16">
    <w:abstractNumId w:val="17"/>
  </w:num>
  <w:num w:numId="17">
    <w:abstractNumId w:val="20"/>
  </w:num>
  <w:num w:numId="18">
    <w:abstractNumId w:val="6"/>
  </w:num>
  <w:num w:numId="19">
    <w:abstractNumId w:val="7"/>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nb-NO" w:vendorID="64" w:dllVersion="131078" w:nlCheck="1" w:checkStyle="0"/>
  <w:activeWritingStyle w:appName="MSWord" w:lang="fr-FR" w:vendorID="64" w:dllVersion="131078" w:nlCheck="1" w:checkStyle="0"/>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AB3"/>
    <w:rsid w:val="00015582"/>
    <w:rsid w:val="00034C7D"/>
    <w:rsid w:val="00042734"/>
    <w:rsid w:val="000465EA"/>
    <w:rsid w:val="00050169"/>
    <w:rsid w:val="000544C7"/>
    <w:rsid w:val="000553ED"/>
    <w:rsid w:val="000577B2"/>
    <w:rsid w:val="000609C6"/>
    <w:rsid w:val="000703EE"/>
    <w:rsid w:val="00082EB9"/>
    <w:rsid w:val="000B73C0"/>
    <w:rsid w:val="000D50EE"/>
    <w:rsid w:val="000E3788"/>
    <w:rsid w:val="000F3CDB"/>
    <w:rsid w:val="00107C21"/>
    <w:rsid w:val="001330D1"/>
    <w:rsid w:val="00143176"/>
    <w:rsid w:val="001444D2"/>
    <w:rsid w:val="001735B0"/>
    <w:rsid w:val="001A2456"/>
    <w:rsid w:val="001A72EC"/>
    <w:rsid w:val="001B2660"/>
    <w:rsid w:val="001B67C7"/>
    <w:rsid w:val="001D6FFF"/>
    <w:rsid w:val="001E49F7"/>
    <w:rsid w:val="0021130F"/>
    <w:rsid w:val="00211F6E"/>
    <w:rsid w:val="002165F3"/>
    <w:rsid w:val="00226123"/>
    <w:rsid w:val="00231D66"/>
    <w:rsid w:val="002323F7"/>
    <w:rsid w:val="0025455C"/>
    <w:rsid w:val="00256B37"/>
    <w:rsid w:val="002576C2"/>
    <w:rsid w:val="00261B07"/>
    <w:rsid w:val="00265802"/>
    <w:rsid w:val="00272CDC"/>
    <w:rsid w:val="00276497"/>
    <w:rsid w:val="00276AE0"/>
    <w:rsid w:val="002816BC"/>
    <w:rsid w:val="002A28E2"/>
    <w:rsid w:val="002A4EDC"/>
    <w:rsid w:val="002A5CAA"/>
    <w:rsid w:val="002B5951"/>
    <w:rsid w:val="00300D42"/>
    <w:rsid w:val="0031642D"/>
    <w:rsid w:val="00326354"/>
    <w:rsid w:val="00330611"/>
    <w:rsid w:val="00336594"/>
    <w:rsid w:val="00342DC3"/>
    <w:rsid w:val="00352363"/>
    <w:rsid w:val="00371F2E"/>
    <w:rsid w:val="00372FC5"/>
    <w:rsid w:val="0038188C"/>
    <w:rsid w:val="00384092"/>
    <w:rsid w:val="0039260B"/>
    <w:rsid w:val="003A6D79"/>
    <w:rsid w:val="003C7529"/>
    <w:rsid w:val="003D313B"/>
    <w:rsid w:val="003E2FCD"/>
    <w:rsid w:val="003F7F49"/>
    <w:rsid w:val="00403369"/>
    <w:rsid w:val="004045AE"/>
    <w:rsid w:val="00404744"/>
    <w:rsid w:val="004115DA"/>
    <w:rsid w:val="00412B9C"/>
    <w:rsid w:val="004146D6"/>
    <w:rsid w:val="00421D83"/>
    <w:rsid w:val="00452E27"/>
    <w:rsid w:val="0047517F"/>
    <w:rsid w:val="00480814"/>
    <w:rsid w:val="00484058"/>
    <w:rsid w:val="004B1E48"/>
    <w:rsid w:val="004F31F5"/>
    <w:rsid w:val="004F4655"/>
    <w:rsid w:val="0051264F"/>
    <w:rsid w:val="00527636"/>
    <w:rsid w:val="00530760"/>
    <w:rsid w:val="0057670B"/>
    <w:rsid w:val="005A3EA2"/>
    <w:rsid w:val="005B74DF"/>
    <w:rsid w:val="005B7E92"/>
    <w:rsid w:val="005C6E17"/>
    <w:rsid w:val="005D46C2"/>
    <w:rsid w:val="005E294B"/>
    <w:rsid w:val="005E6611"/>
    <w:rsid w:val="005F26B1"/>
    <w:rsid w:val="00621C05"/>
    <w:rsid w:val="00653332"/>
    <w:rsid w:val="00675A30"/>
    <w:rsid w:val="00680410"/>
    <w:rsid w:val="00695636"/>
    <w:rsid w:val="006A17AA"/>
    <w:rsid w:val="006A4280"/>
    <w:rsid w:val="006E4391"/>
    <w:rsid w:val="0070399C"/>
    <w:rsid w:val="00715A23"/>
    <w:rsid w:val="00720093"/>
    <w:rsid w:val="00724067"/>
    <w:rsid w:val="00747FAC"/>
    <w:rsid w:val="00754C02"/>
    <w:rsid w:val="00763F19"/>
    <w:rsid w:val="00773143"/>
    <w:rsid w:val="0077712B"/>
    <w:rsid w:val="007A2563"/>
    <w:rsid w:val="007B0E49"/>
    <w:rsid w:val="007B5E6E"/>
    <w:rsid w:val="007C0312"/>
    <w:rsid w:val="007C0384"/>
    <w:rsid w:val="007C5801"/>
    <w:rsid w:val="007D26EC"/>
    <w:rsid w:val="007F02D7"/>
    <w:rsid w:val="0081215D"/>
    <w:rsid w:val="00812837"/>
    <w:rsid w:val="00814EA7"/>
    <w:rsid w:val="00827B40"/>
    <w:rsid w:val="0083729A"/>
    <w:rsid w:val="00882B04"/>
    <w:rsid w:val="00897667"/>
    <w:rsid w:val="008A03AB"/>
    <w:rsid w:val="008A1605"/>
    <w:rsid w:val="008A286C"/>
    <w:rsid w:val="008D5DC3"/>
    <w:rsid w:val="00901358"/>
    <w:rsid w:val="00917900"/>
    <w:rsid w:val="00934B0F"/>
    <w:rsid w:val="00935AA1"/>
    <w:rsid w:val="009542A1"/>
    <w:rsid w:val="00956853"/>
    <w:rsid w:val="00960E58"/>
    <w:rsid w:val="00980048"/>
    <w:rsid w:val="0099642F"/>
    <w:rsid w:val="009D1D3D"/>
    <w:rsid w:val="009E030A"/>
    <w:rsid w:val="009F79C9"/>
    <w:rsid w:val="00A15777"/>
    <w:rsid w:val="00A16EF6"/>
    <w:rsid w:val="00A267A9"/>
    <w:rsid w:val="00A60F38"/>
    <w:rsid w:val="00A74B6A"/>
    <w:rsid w:val="00A9390A"/>
    <w:rsid w:val="00AA760A"/>
    <w:rsid w:val="00AB0A76"/>
    <w:rsid w:val="00AB1B5B"/>
    <w:rsid w:val="00AC022B"/>
    <w:rsid w:val="00AE4F02"/>
    <w:rsid w:val="00B55B58"/>
    <w:rsid w:val="00B6383D"/>
    <w:rsid w:val="00B7692E"/>
    <w:rsid w:val="00B86712"/>
    <w:rsid w:val="00B948EA"/>
    <w:rsid w:val="00BA1E73"/>
    <w:rsid w:val="00BB2841"/>
    <w:rsid w:val="00BB38E3"/>
    <w:rsid w:val="00BB6CA6"/>
    <w:rsid w:val="00BC2FDD"/>
    <w:rsid w:val="00BC41B2"/>
    <w:rsid w:val="00BF451F"/>
    <w:rsid w:val="00C049C7"/>
    <w:rsid w:val="00C2321A"/>
    <w:rsid w:val="00C232AC"/>
    <w:rsid w:val="00C367C2"/>
    <w:rsid w:val="00C45669"/>
    <w:rsid w:val="00C5511B"/>
    <w:rsid w:val="00C65E6B"/>
    <w:rsid w:val="00C82201"/>
    <w:rsid w:val="00C91099"/>
    <w:rsid w:val="00CA0EB3"/>
    <w:rsid w:val="00CA5693"/>
    <w:rsid w:val="00CC33A9"/>
    <w:rsid w:val="00CC535B"/>
    <w:rsid w:val="00CC5D6A"/>
    <w:rsid w:val="00CC645A"/>
    <w:rsid w:val="00CC6FA4"/>
    <w:rsid w:val="00CD416E"/>
    <w:rsid w:val="00CD74EF"/>
    <w:rsid w:val="00CE2818"/>
    <w:rsid w:val="00CE3CFA"/>
    <w:rsid w:val="00CE5F52"/>
    <w:rsid w:val="00D37A03"/>
    <w:rsid w:val="00D51869"/>
    <w:rsid w:val="00D71F2D"/>
    <w:rsid w:val="00D735A7"/>
    <w:rsid w:val="00D93EAB"/>
    <w:rsid w:val="00DA03FE"/>
    <w:rsid w:val="00DA2F6F"/>
    <w:rsid w:val="00DB31CD"/>
    <w:rsid w:val="00DB539E"/>
    <w:rsid w:val="00DC43D2"/>
    <w:rsid w:val="00DD613A"/>
    <w:rsid w:val="00DE575B"/>
    <w:rsid w:val="00DE6B05"/>
    <w:rsid w:val="00E159A0"/>
    <w:rsid w:val="00E37D2B"/>
    <w:rsid w:val="00E625C7"/>
    <w:rsid w:val="00E63457"/>
    <w:rsid w:val="00E6544C"/>
    <w:rsid w:val="00E81FED"/>
    <w:rsid w:val="00E952A7"/>
    <w:rsid w:val="00EA1847"/>
    <w:rsid w:val="00EA2637"/>
    <w:rsid w:val="00EF772F"/>
    <w:rsid w:val="00F10A79"/>
    <w:rsid w:val="00F14AB3"/>
    <w:rsid w:val="00F26AA0"/>
    <w:rsid w:val="00F440FB"/>
    <w:rsid w:val="00F644C4"/>
    <w:rsid w:val="00F65C4E"/>
    <w:rsid w:val="00F821D6"/>
    <w:rsid w:val="00FC0A94"/>
    <w:rsid w:val="00FF19E0"/>
    <w:rsid w:val="00FF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D0166"/>
  <w15:docId w15:val="{774E53B9-BF97-4F18-A4C7-3CD64F63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B3"/>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F14AB3"/>
    <w:pPr>
      <w:keepNext/>
      <w:keepLines/>
      <w:spacing w:before="480" w:after="0"/>
      <w:outlineLvl w:val="0"/>
    </w:pPr>
    <w:rPr>
      <w:rFonts w:asciiTheme="majorHAnsi" w:eastAsiaTheme="majorEastAsia" w:hAnsiTheme="majorHAnsi" w:cstheme="majorBidi"/>
      <w:b/>
      <w:bCs/>
      <w:color w:val="365F91" w:themeColor="accent1" w:themeShade="BF"/>
      <w:sz w:val="28"/>
      <w:szCs w:val="28"/>
      <w:lang w:val="nb-NO"/>
    </w:rPr>
  </w:style>
  <w:style w:type="paragraph" w:styleId="Heading2">
    <w:name w:val="heading 2"/>
    <w:basedOn w:val="Normal"/>
    <w:next w:val="Normal"/>
    <w:link w:val="Heading2Char"/>
    <w:uiPriority w:val="9"/>
    <w:semiHidden/>
    <w:unhideWhenUsed/>
    <w:qFormat/>
    <w:rsid w:val="00F14AB3"/>
    <w:pPr>
      <w:keepNext/>
      <w:keepLines/>
      <w:spacing w:before="200" w:after="0"/>
      <w:outlineLvl w:val="1"/>
    </w:pPr>
    <w:rPr>
      <w:rFonts w:asciiTheme="majorHAnsi" w:eastAsiaTheme="majorEastAsia" w:hAnsiTheme="majorHAnsi" w:cstheme="majorBidi"/>
      <w:b/>
      <w:bCs/>
      <w:color w:val="4F81BD" w:themeColor="accent1"/>
      <w:sz w:val="26"/>
      <w:szCs w:val="26"/>
      <w:lang w:val="nb-NO"/>
    </w:rPr>
  </w:style>
  <w:style w:type="paragraph" w:styleId="Heading3">
    <w:name w:val="heading 3"/>
    <w:basedOn w:val="Normal"/>
    <w:next w:val="Normal"/>
    <w:link w:val="Heading3Char"/>
    <w:uiPriority w:val="9"/>
    <w:semiHidden/>
    <w:unhideWhenUsed/>
    <w:qFormat/>
    <w:rsid w:val="00F14A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B3"/>
    <w:rPr>
      <w:rFonts w:asciiTheme="majorHAnsi" w:eastAsiaTheme="majorEastAsia" w:hAnsiTheme="majorHAnsi" w:cstheme="majorBidi"/>
      <w:b/>
      <w:bCs/>
      <w:color w:val="365F91" w:themeColor="accent1" w:themeShade="BF"/>
      <w:sz w:val="28"/>
      <w:szCs w:val="28"/>
      <w:lang w:val="nb-NO"/>
    </w:rPr>
  </w:style>
  <w:style w:type="character" w:customStyle="1" w:styleId="Heading2Char">
    <w:name w:val="Heading 2 Char"/>
    <w:basedOn w:val="DefaultParagraphFont"/>
    <w:link w:val="Heading2"/>
    <w:uiPriority w:val="9"/>
    <w:semiHidden/>
    <w:rsid w:val="00F14AB3"/>
    <w:rPr>
      <w:rFonts w:asciiTheme="majorHAnsi" w:eastAsiaTheme="majorEastAsia" w:hAnsiTheme="majorHAnsi" w:cstheme="majorBidi"/>
      <w:b/>
      <w:bCs/>
      <w:color w:val="4F81BD" w:themeColor="accent1"/>
      <w:sz w:val="26"/>
      <w:szCs w:val="26"/>
      <w:lang w:val="nb-NO"/>
    </w:rPr>
  </w:style>
  <w:style w:type="character" w:customStyle="1" w:styleId="Heading3Char">
    <w:name w:val="Heading 3 Char"/>
    <w:basedOn w:val="DefaultParagraphFont"/>
    <w:link w:val="Heading3"/>
    <w:uiPriority w:val="9"/>
    <w:semiHidden/>
    <w:rsid w:val="00F14AB3"/>
    <w:rPr>
      <w:rFonts w:asciiTheme="majorHAnsi" w:eastAsiaTheme="majorEastAsia" w:hAnsiTheme="majorHAnsi" w:cstheme="majorBidi"/>
      <w:b/>
      <w:bCs/>
      <w:color w:val="4F81BD" w:themeColor="accent1"/>
      <w:sz w:val="24"/>
      <w:szCs w:val="24"/>
      <w:lang w:val="en-GB"/>
    </w:rPr>
  </w:style>
  <w:style w:type="paragraph" w:customStyle="1" w:styleId="Stil1">
    <w:name w:val="Stil1"/>
    <w:basedOn w:val="Heading1"/>
    <w:qFormat/>
    <w:rsid w:val="00F14AB3"/>
    <w:rPr>
      <w:rFonts w:ascii="Times New Roman" w:hAnsi="Times New Roman" w:cs="Times New Roman"/>
      <w:color w:val="auto"/>
      <w:lang w:val="en-US"/>
    </w:rPr>
  </w:style>
  <w:style w:type="paragraph" w:customStyle="1" w:styleId="Stil2">
    <w:name w:val="Stil2"/>
    <w:basedOn w:val="Heading2"/>
    <w:qFormat/>
    <w:rsid w:val="00F14AB3"/>
    <w:rPr>
      <w:rFonts w:ascii="Times New Roman" w:hAnsi="Times New Roman" w:cs="Times New Roman"/>
      <w:color w:val="auto"/>
      <w:sz w:val="24"/>
      <w:lang w:val="en-US"/>
    </w:rPr>
  </w:style>
  <w:style w:type="paragraph" w:customStyle="1" w:styleId="Stil3">
    <w:name w:val="Stil3"/>
    <w:basedOn w:val="Normal"/>
    <w:qFormat/>
    <w:rsid w:val="00F14AB3"/>
    <w:pPr>
      <w:spacing w:line="480" w:lineRule="auto"/>
    </w:pPr>
    <w:rPr>
      <w:lang w:val="en-US"/>
    </w:rPr>
  </w:style>
  <w:style w:type="paragraph" w:customStyle="1" w:styleId="Jacobnormal">
    <w:name w:val="Jacob normal"/>
    <w:basedOn w:val="Normal"/>
    <w:qFormat/>
    <w:rsid w:val="00F14AB3"/>
    <w:pPr>
      <w:spacing w:line="480" w:lineRule="auto"/>
    </w:pPr>
  </w:style>
  <w:style w:type="paragraph" w:customStyle="1" w:styleId="Jacoboverskrift1">
    <w:name w:val="Jacob overskrift 1"/>
    <w:basedOn w:val="Heading1"/>
    <w:qFormat/>
    <w:rsid w:val="00F14AB3"/>
    <w:pPr>
      <w:spacing w:line="480" w:lineRule="auto"/>
    </w:pPr>
    <w:rPr>
      <w:rFonts w:ascii="Times New Roman" w:hAnsi="Times New Roman"/>
      <w:color w:val="auto"/>
      <w:lang w:val="en-GB"/>
    </w:rPr>
  </w:style>
  <w:style w:type="paragraph" w:customStyle="1" w:styleId="Jacoboverskrift2">
    <w:name w:val="Jacob overskrift 2"/>
    <w:basedOn w:val="Heading2"/>
    <w:qFormat/>
    <w:rsid w:val="00F14AB3"/>
    <w:pPr>
      <w:spacing w:before="120" w:after="120" w:line="480" w:lineRule="auto"/>
    </w:pPr>
    <w:rPr>
      <w:rFonts w:ascii="Times New Roman" w:hAnsi="Times New Roman"/>
      <w:color w:val="auto"/>
      <w:sz w:val="24"/>
      <w:lang w:val="en-GB"/>
    </w:rPr>
  </w:style>
  <w:style w:type="paragraph" w:styleId="ListParagraph">
    <w:name w:val="List Paragraph"/>
    <w:basedOn w:val="Normal"/>
    <w:uiPriority w:val="34"/>
    <w:qFormat/>
    <w:rsid w:val="00F14AB3"/>
    <w:pPr>
      <w:ind w:left="720"/>
      <w:contextualSpacing/>
    </w:pPr>
  </w:style>
  <w:style w:type="paragraph" w:styleId="Header">
    <w:name w:val="header"/>
    <w:basedOn w:val="Normal"/>
    <w:link w:val="HeaderChar"/>
    <w:uiPriority w:val="99"/>
    <w:unhideWhenUsed/>
    <w:rsid w:val="00F14A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4AB3"/>
    <w:rPr>
      <w:rFonts w:ascii="Times New Roman" w:hAnsi="Times New Roman" w:cs="Times New Roman"/>
      <w:sz w:val="24"/>
      <w:szCs w:val="24"/>
      <w:lang w:val="en-GB"/>
    </w:rPr>
  </w:style>
  <w:style w:type="paragraph" w:styleId="Footer">
    <w:name w:val="footer"/>
    <w:basedOn w:val="Normal"/>
    <w:link w:val="FooterChar"/>
    <w:uiPriority w:val="99"/>
    <w:unhideWhenUsed/>
    <w:rsid w:val="00F14A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4AB3"/>
    <w:rPr>
      <w:rFonts w:ascii="Times New Roman" w:hAnsi="Times New Roman" w:cs="Times New Roman"/>
      <w:sz w:val="24"/>
      <w:szCs w:val="24"/>
      <w:lang w:val="en-GB"/>
    </w:rPr>
  </w:style>
  <w:style w:type="paragraph" w:styleId="FootnoteText">
    <w:name w:val="footnote text"/>
    <w:basedOn w:val="Normal"/>
    <w:link w:val="FootnoteTextChar"/>
    <w:uiPriority w:val="99"/>
    <w:unhideWhenUsed/>
    <w:rsid w:val="00F14AB3"/>
    <w:pPr>
      <w:spacing w:after="0" w:line="240" w:lineRule="auto"/>
    </w:pPr>
    <w:rPr>
      <w:rFonts w:asciiTheme="minorHAnsi" w:hAnsiTheme="minorHAnsi" w:cstheme="minorBidi"/>
      <w:sz w:val="20"/>
      <w:szCs w:val="20"/>
      <w:lang w:val="nb-NO"/>
    </w:rPr>
  </w:style>
  <w:style w:type="character" w:customStyle="1" w:styleId="FootnoteTextChar">
    <w:name w:val="Footnote Text Char"/>
    <w:basedOn w:val="DefaultParagraphFont"/>
    <w:link w:val="FootnoteText"/>
    <w:uiPriority w:val="99"/>
    <w:rsid w:val="00F14AB3"/>
    <w:rPr>
      <w:sz w:val="20"/>
      <w:szCs w:val="20"/>
      <w:lang w:val="nb-NO"/>
    </w:rPr>
  </w:style>
  <w:style w:type="character" w:styleId="FootnoteReference">
    <w:name w:val="footnote reference"/>
    <w:basedOn w:val="DefaultParagraphFont"/>
    <w:uiPriority w:val="99"/>
    <w:semiHidden/>
    <w:unhideWhenUsed/>
    <w:rsid w:val="00F14AB3"/>
    <w:rPr>
      <w:vertAlign w:val="superscript"/>
    </w:rPr>
  </w:style>
  <w:style w:type="table" w:styleId="TableGrid">
    <w:name w:val="Table Grid"/>
    <w:basedOn w:val="TableNormal"/>
    <w:uiPriority w:val="59"/>
    <w:rsid w:val="00F14AB3"/>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AB3"/>
    <w:rPr>
      <w:color w:val="0000FF" w:themeColor="hyperlink"/>
      <w:u w:val="single"/>
    </w:rPr>
  </w:style>
  <w:style w:type="character" w:customStyle="1" w:styleId="Hyperkobling1">
    <w:name w:val="Hyperkobling1"/>
    <w:basedOn w:val="DefaultParagraphFont"/>
    <w:rsid w:val="00F14AB3"/>
  </w:style>
  <w:style w:type="paragraph" w:styleId="BalloonText">
    <w:name w:val="Balloon Text"/>
    <w:basedOn w:val="Normal"/>
    <w:link w:val="BalloonTextChar"/>
    <w:uiPriority w:val="99"/>
    <w:semiHidden/>
    <w:unhideWhenUsed/>
    <w:rsid w:val="00F14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B3"/>
    <w:rPr>
      <w:rFonts w:ascii="Tahoma" w:hAnsi="Tahoma" w:cs="Tahoma"/>
      <w:sz w:val="16"/>
      <w:szCs w:val="16"/>
      <w:lang w:val="en-GB"/>
    </w:rPr>
  </w:style>
  <w:style w:type="paragraph" w:customStyle="1" w:styleId="Jacoboverskrift3">
    <w:name w:val="Jacob overskrift 3"/>
    <w:basedOn w:val="Heading3"/>
    <w:qFormat/>
    <w:rsid w:val="00F14AB3"/>
    <w:pPr>
      <w:spacing w:before="120" w:after="120" w:line="480" w:lineRule="auto"/>
    </w:pPr>
    <w:rPr>
      <w:rFonts w:ascii="Times New Roman" w:hAnsi="Times New Roman"/>
      <w:i/>
      <w:color w:val="auto"/>
    </w:rPr>
  </w:style>
  <w:style w:type="paragraph" w:styleId="Bibliography">
    <w:name w:val="Bibliography"/>
    <w:basedOn w:val="Normal"/>
    <w:next w:val="Normal"/>
    <w:uiPriority w:val="37"/>
    <w:unhideWhenUsed/>
    <w:rsid w:val="00F14AB3"/>
    <w:pPr>
      <w:spacing w:after="0" w:line="480" w:lineRule="auto"/>
      <w:ind w:left="720" w:hanging="720"/>
    </w:pPr>
  </w:style>
  <w:style w:type="character" w:styleId="EndnoteReference">
    <w:name w:val="endnote reference"/>
    <w:basedOn w:val="DefaultParagraphFont"/>
    <w:uiPriority w:val="99"/>
    <w:semiHidden/>
    <w:unhideWhenUsed/>
    <w:rsid w:val="00F14AB3"/>
    <w:rPr>
      <w:vertAlign w:val="superscript"/>
    </w:rPr>
  </w:style>
  <w:style w:type="character" w:customStyle="1" w:styleId="tgc">
    <w:name w:val="_tgc"/>
    <w:basedOn w:val="DefaultParagraphFont"/>
    <w:rsid w:val="00F14AB3"/>
  </w:style>
  <w:style w:type="character" w:styleId="FollowedHyperlink">
    <w:name w:val="FollowedHyperlink"/>
    <w:basedOn w:val="DefaultParagraphFont"/>
    <w:uiPriority w:val="99"/>
    <w:semiHidden/>
    <w:unhideWhenUsed/>
    <w:rsid w:val="00F14AB3"/>
    <w:rPr>
      <w:color w:val="800080" w:themeColor="followedHyperlink"/>
      <w:u w:val="single"/>
    </w:rPr>
  </w:style>
  <w:style w:type="paragraph" w:customStyle="1" w:styleId="Normal1">
    <w:name w:val="Normal1"/>
    <w:link w:val="Normal1Char"/>
    <w:rsid w:val="00F14AB3"/>
    <w:rPr>
      <w:rFonts w:ascii="Calibri" w:eastAsia="Calibri" w:hAnsi="Calibri" w:cs="Calibri"/>
      <w:color w:val="000000"/>
      <w:lang w:val="sv-SE" w:eastAsia="sv-SE"/>
    </w:rPr>
  </w:style>
  <w:style w:type="character" w:customStyle="1" w:styleId="Normal1Char">
    <w:name w:val="Normal1 Char"/>
    <w:basedOn w:val="DefaultParagraphFont"/>
    <w:link w:val="Normal1"/>
    <w:rsid w:val="00F14AB3"/>
    <w:rPr>
      <w:rFonts w:ascii="Calibri" w:eastAsia="Calibri" w:hAnsi="Calibri" w:cs="Calibri"/>
      <w:color w:val="000000"/>
      <w:lang w:val="sv-SE" w:eastAsia="sv-SE"/>
    </w:rPr>
  </w:style>
  <w:style w:type="character" w:customStyle="1" w:styleId="articlexintro">
    <w:name w:val="articlexintro"/>
    <w:basedOn w:val="DefaultParagraphFont"/>
    <w:rsid w:val="00E63457"/>
  </w:style>
  <w:style w:type="paragraph" w:styleId="EndnoteText">
    <w:name w:val="endnote text"/>
    <w:basedOn w:val="Normal"/>
    <w:link w:val="EndnoteTextChar"/>
    <w:uiPriority w:val="99"/>
    <w:semiHidden/>
    <w:unhideWhenUsed/>
    <w:rsid w:val="00E634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457"/>
    <w:rPr>
      <w:rFonts w:ascii="Times New Roman" w:hAnsi="Times New Roman" w:cs="Times New Roman"/>
      <w:sz w:val="20"/>
      <w:szCs w:val="20"/>
      <w:lang w:val="en-GB"/>
    </w:rPr>
  </w:style>
  <w:style w:type="paragraph" w:styleId="TOCHeading">
    <w:name w:val="TOC Heading"/>
    <w:basedOn w:val="Heading1"/>
    <w:next w:val="Normal"/>
    <w:uiPriority w:val="39"/>
    <w:semiHidden/>
    <w:unhideWhenUsed/>
    <w:qFormat/>
    <w:rsid w:val="00980048"/>
    <w:pPr>
      <w:outlineLvl w:val="9"/>
    </w:pPr>
    <w:rPr>
      <w:lang w:val="en-US" w:eastAsia="ja-JP"/>
    </w:rPr>
  </w:style>
  <w:style w:type="paragraph" w:styleId="TOC1">
    <w:name w:val="toc 1"/>
    <w:basedOn w:val="Normal"/>
    <w:next w:val="Normal"/>
    <w:autoRedefine/>
    <w:uiPriority w:val="39"/>
    <w:unhideWhenUsed/>
    <w:rsid w:val="00980048"/>
    <w:pPr>
      <w:spacing w:after="100"/>
    </w:pPr>
  </w:style>
  <w:style w:type="paragraph" w:styleId="Caption">
    <w:name w:val="caption"/>
    <w:basedOn w:val="Normal"/>
    <w:next w:val="Normal"/>
    <w:uiPriority w:val="35"/>
    <w:unhideWhenUsed/>
    <w:qFormat/>
    <w:rsid w:val="00107C21"/>
    <w:pPr>
      <w:spacing w:line="240" w:lineRule="auto"/>
    </w:pPr>
    <w:rPr>
      <w:b/>
      <w:bCs/>
      <w:color w:val="4F81BD" w:themeColor="accent1"/>
      <w:sz w:val="18"/>
      <w:szCs w:val="18"/>
    </w:rPr>
  </w:style>
  <w:style w:type="paragraph" w:styleId="TOC2">
    <w:name w:val="toc 2"/>
    <w:basedOn w:val="Normal"/>
    <w:next w:val="Normal"/>
    <w:autoRedefine/>
    <w:uiPriority w:val="39"/>
    <w:unhideWhenUsed/>
    <w:rsid w:val="001A2456"/>
    <w:pPr>
      <w:spacing w:after="100"/>
      <w:ind w:left="240"/>
    </w:pPr>
  </w:style>
  <w:style w:type="character" w:styleId="CommentReference">
    <w:name w:val="annotation reference"/>
    <w:basedOn w:val="DefaultParagraphFont"/>
    <w:uiPriority w:val="99"/>
    <w:semiHidden/>
    <w:unhideWhenUsed/>
    <w:rsid w:val="00D71F2D"/>
    <w:rPr>
      <w:sz w:val="18"/>
      <w:szCs w:val="18"/>
    </w:rPr>
  </w:style>
  <w:style w:type="paragraph" w:styleId="CommentText">
    <w:name w:val="annotation text"/>
    <w:basedOn w:val="Normal"/>
    <w:link w:val="CommentTextChar"/>
    <w:uiPriority w:val="99"/>
    <w:semiHidden/>
    <w:unhideWhenUsed/>
    <w:rsid w:val="00D71F2D"/>
    <w:pPr>
      <w:spacing w:line="240" w:lineRule="auto"/>
    </w:pPr>
  </w:style>
  <w:style w:type="character" w:customStyle="1" w:styleId="CommentTextChar">
    <w:name w:val="Comment Text Char"/>
    <w:basedOn w:val="DefaultParagraphFont"/>
    <w:link w:val="CommentText"/>
    <w:uiPriority w:val="99"/>
    <w:semiHidden/>
    <w:rsid w:val="00D71F2D"/>
    <w:rPr>
      <w:rFonts w:ascii="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D71F2D"/>
    <w:rPr>
      <w:b/>
      <w:bCs/>
      <w:sz w:val="20"/>
      <w:szCs w:val="20"/>
    </w:rPr>
  </w:style>
  <w:style w:type="character" w:customStyle="1" w:styleId="CommentSubjectChar">
    <w:name w:val="Comment Subject Char"/>
    <w:basedOn w:val="CommentTextChar"/>
    <w:link w:val="CommentSubject"/>
    <w:uiPriority w:val="99"/>
    <w:semiHidden/>
    <w:rsid w:val="00D71F2D"/>
    <w:rPr>
      <w:rFonts w:ascii="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8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unia.be/fr/publications-et-statistiques/publications/rapport-annuel-2011-discrimination-diversite" TargetMode="External"/><Relationship Id="rId117" Type="http://schemas.openxmlformats.org/officeDocument/2006/relationships/hyperlink" Target="http://www.tandfonline.com/doi/abs/10.1080/09546559508427287?journalCode=ftpv20" TargetMode="External"/><Relationship Id="rId21" Type="http://schemas.openxmlformats.org/officeDocument/2006/relationships/hyperlink" Target="http://www.bmi.gv.at/cms/bmi_verfassungsschutz/" TargetMode="External"/><Relationship Id="rId42" Type="http://schemas.openxmlformats.org/officeDocument/2006/relationships/hyperlink" Target="http://expo.se/www/download/Organiserad%20intolerans%20i%20Finland%20och%20Sverige_SLUTLIG.pdf" TargetMode="External"/><Relationship Id="rId47" Type="http://schemas.openxmlformats.org/officeDocument/2006/relationships/hyperlink" Target="http://cms.horus.be/files/99935/MediaArchive/Racist%20Violence%20Report%20France%20-%20online.pdf" TargetMode="External"/><Relationship Id="rId63" Type="http://schemas.openxmlformats.org/officeDocument/2006/relationships/hyperlink" Target="http://fra.europa.eu/en/country-data/2012/racist-violence-15-eu-member-states" TargetMode="External"/><Relationship Id="rId68" Type="http://schemas.openxmlformats.org/officeDocument/2006/relationships/hyperlink" Target="http://www.enar-eu.org/Shadow-Reports-on-racism-in-Europe-203" TargetMode="External"/><Relationship Id="rId84" Type="http://schemas.openxmlformats.org/officeDocument/2006/relationships/hyperlink" Target="http://cms.horus.be/files/99935/MediaArchive/pdf/luxembourg_en.pdf" TargetMode="External"/><Relationship Id="rId89" Type="http://schemas.openxmlformats.org/officeDocument/2006/relationships/hyperlink" Target="http://fra.europa.eu/en/country-data/2012/racist-violence-15-eu-member-states" TargetMode="External"/><Relationship Id="rId112" Type="http://schemas.openxmlformats.org/officeDocument/2006/relationships/hyperlink" Target="http://www.regeringen.se/contentassets/a76118e6b4fc49bfba45804f6bb3c956/valdsbejakande-extremism-i-sverige--nulage-och-tendenser-ds-20144" TargetMode="External"/><Relationship Id="rId133" Type="http://schemas.openxmlformats.org/officeDocument/2006/relationships/hyperlink" Target="http://journals.sfu.ca/jd/index.php/jd/article/view/7" TargetMode="External"/><Relationship Id="rId16" Type="http://schemas.openxmlformats.org/officeDocument/2006/relationships/hyperlink" Target="https://www.europol.europa.eu/activities-services/main-reports/eu-terrorism-situation-and-trend-report" TargetMode="External"/><Relationship Id="rId107" Type="http://schemas.openxmlformats.org/officeDocument/2006/relationships/hyperlink" Target="http://www.rojoynegro.info/articulo/cultura-libre/ojos-no-ven-documental-creative-commons-sobre-las-victima-del-fascismo-espana" TargetMode="External"/><Relationship Id="rId11" Type="http://schemas.openxmlformats.org/officeDocument/2006/relationships/hyperlink" Target="http://ec.europa.eu/eurostat/statistics-explained/index.php/Asylum_statistics" TargetMode="External"/><Relationship Id="rId32" Type="http://schemas.openxmlformats.org/officeDocument/2006/relationships/hyperlink" Target="http://fra.europa.eu/en/country-data/2012/racist-violence-15-eu-member-states" TargetMode="External"/><Relationship Id="rId37" Type="http://schemas.openxmlformats.org/officeDocument/2006/relationships/hyperlink" Target="http://www.tandfonline.com/doi/full/10.1080/1057610X.2016.1234313" TargetMode="External"/><Relationship Id="rId53" Type="http://schemas.openxmlformats.org/officeDocument/2006/relationships/hyperlink" Target="http://fra.europa.eu/en/country-data/2012/racist-violence-15-eu-member-states" TargetMode="External"/><Relationship Id="rId58" Type="http://schemas.openxmlformats.org/officeDocument/2006/relationships/hyperlink" Target="http://www.jstor.org/stable/10.1086/386271?seq=1" TargetMode="External"/><Relationship Id="rId74" Type="http://schemas.openxmlformats.org/officeDocument/2006/relationships/hyperlink" Target="http://www.cronachediordinariorazzismo.org/wp-content/uploads/rapportosulrazzismo.pdf" TargetMode="External"/><Relationship Id="rId79" Type="http://schemas.openxmlformats.org/officeDocument/2006/relationships/hyperlink" Target="http://fra.europa.eu/en/country-data/2012/racist-violence-15-eu-member-states" TargetMode="External"/><Relationship Id="rId102" Type="http://schemas.openxmlformats.org/officeDocument/2006/relationships/hyperlink" Target="http://www.enar-eu.org/Shadow-Reports-on-racism-in-Europe-203" TargetMode="External"/><Relationship Id="rId123" Type="http://schemas.openxmlformats.org/officeDocument/2006/relationships/hyperlink" Target="http://www.nomos-shop.de/Niggli-Right-wing-Extremism-Switzerland/productview.aspx?product=11035" TargetMode="External"/><Relationship Id="rId128" Type="http://schemas.openxmlformats.org/officeDocument/2006/relationships/hyperlink" Target="http://www.irr.org.uk/research/deaths/" TargetMode="External"/><Relationship Id="rId5" Type="http://schemas.openxmlformats.org/officeDocument/2006/relationships/webSettings" Target="webSettings.xml"/><Relationship Id="rId90" Type="http://schemas.openxmlformats.org/officeDocument/2006/relationships/hyperlink" Target="http://www.burojansen.nl/observant/discrimineert-de-politie-2/" TargetMode="External"/><Relationship Id="rId95" Type="http://schemas.openxmlformats.org/officeDocument/2006/relationships/hyperlink" Target="http://www.coe.int/t/dghl/monitoring/ecri/library/publications.asp" TargetMode="External"/><Relationship Id="rId14" Type="http://schemas.openxmlformats.org/officeDocument/2006/relationships/hyperlink" Target="http://folk.uib.no/sspje/tweed.htm" TargetMode="External"/><Relationship Id="rId22" Type="http://schemas.openxmlformats.org/officeDocument/2006/relationships/hyperlink" Target="http://cms.horus.be/files/99935/MediaArchive/publications/Racist%20Violence%20Report%20Austria%20-%20online.pdf" TargetMode="External"/><Relationship Id="rId27" Type="http://schemas.openxmlformats.org/officeDocument/2006/relationships/hyperlink" Target="http://aff.skynetblogs.be/" TargetMode="External"/><Relationship Id="rId30" Type="http://schemas.openxmlformats.org/officeDocument/2006/relationships/hyperlink" Target="http://www.enar-eu.org/Shadow-Reports-on-racism-in-Europe-203" TargetMode="External"/><Relationship Id="rId35" Type="http://schemas.openxmlformats.org/officeDocument/2006/relationships/hyperlink" Target="http://www.enar-eu.org/Shadow-Reports-on-racism-in-Europe-203" TargetMode="External"/><Relationship Id="rId43" Type="http://schemas.openxmlformats.org/officeDocument/2006/relationships/hyperlink" Target="http://www.nuorisotutkimusseura.fi/images/julkaisuja/virtanen/1/1.html" TargetMode="External"/><Relationship Id="rId48" Type="http://schemas.openxmlformats.org/officeDocument/2006/relationships/hyperlink" Target="http://fra.europa.eu/en/country-data/2012/racist-violence-15-eu-member-states" TargetMode="External"/><Relationship Id="rId56" Type="http://schemas.openxmlformats.org/officeDocument/2006/relationships/hyperlink" Target="http://journals.sagepub.com/doi/abs/10.1177/2053168016679590" TargetMode="External"/><Relationship Id="rId64" Type="http://schemas.openxmlformats.org/officeDocument/2006/relationships/hyperlink" Target="http://www.hrw.org/sites/default/files/reports/greece0712ForUpload.pdf" TargetMode="External"/><Relationship Id="rId69" Type="http://schemas.openxmlformats.org/officeDocument/2006/relationships/hyperlink" Target="http://www.coe.int/t/dghl/monitoring/ecri/library/publications.asp" TargetMode="External"/><Relationship Id="rId77" Type="http://schemas.openxmlformats.org/officeDocument/2006/relationships/hyperlink" Target="http://www.enar-eu.org/Shadow-Reports-on-racism-in-Europe-203" TargetMode="External"/><Relationship Id="rId100" Type="http://schemas.openxmlformats.org/officeDocument/2006/relationships/hyperlink" Target="http://fra.europa.eu/en/country-data/2012/racist-violence-15-eu-member-states" TargetMode="External"/><Relationship Id="rId105" Type="http://schemas.openxmlformats.org/officeDocument/2006/relationships/hyperlink" Target="http://www.movimientocontralaintolerancia.com" TargetMode="External"/><Relationship Id="rId113" Type="http://schemas.openxmlformats.org/officeDocument/2006/relationships/hyperlink" Target="http://www.sakerhetspolisen.se/download/18.635d23c2141933256ea1d1c/1381154798451/valdsam_polextr_2009.pdf" TargetMode="External"/><Relationship Id="rId118" Type="http://schemas.openxmlformats.org/officeDocument/2006/relationships/hyperlink" Target="http://www.coe.int/t/dghl/monitoring/ecri/library/publications.asp" TargetMode="External"/><Relationship Id="rId126" Type="http://schemas.openxmlformats.org/officeDocument/2006/relationships/hyperlink" Target="http://www.ukren.org/uploads/files/publications/Racist_Violence_in_the_UK.pdf" TargetMode="External"/><Relationship Id="rId134" Type="http://schemas.openxmlformats.org/officeDocument/2006/relationships/hyperlink" Target="http://www.coe.int/t/dghl/monitoring/ecri/library/publications.asp" TargetMode="External"/><Relationship Id="rId8" Type="http://schemas.openxmlformats.org/officeDocument/2006/relationships/header" Target="header1.xml"/><Relationship Id="rId51" Type="http://schemas.openxmlformats.org/officeDocument/2006/relationships/hyperlink" Target="http://www.verfassungsschutz.de/de/oeffentlichkeitsarbeit/publikationen/verfassungsschutzberichte" TargetMode="External"/><Relationship Id="rId72" Type="http://schemas.openxmlformats.org/officeDocument/2006/relationships/hyperlink" Target="http://www.ijcv.org/earlyview/339.pdf" TargetMode="External"/><Relationship Id="rId80" Type="http://schemas.openxmlformats.org/officeDocument/2006/relationships/hyperlink" Target="http://www.irr.org.uk/news/racial-violence-in-ireland/" TargetMode="External"/><Relationship Id="rId85" Type="http://schemas.openxmlformats.org/officeDocument/2006/relationships/hyperlink" Target="http://www.coe.int/t/dghl/monitoring/ecri/library/publications.asp" TargetMode="External"/><Relationship Id="rId93" Type="http://schemas.openxmlformats.org/officeDocument/2006/relationships/hyperlink" Target="http://journals.sagepub.com/doi/abs/10.1177/0022343311419238" TargetMode="External"/><Relationship Id="rId98" Type="http://schemas.openxmlformats.org/officeDocument/2006/relationships/hyperlink" Target="http://www.nuorisotutkimusseura.fi/images/julkaisuja/virtanen/3/6.html" TargetMode="External"/><Relationship Id="rId121" Type="http://schemas.openxmlformats.org/officeDocument/2006/relationships/hyperlink" Target="http://www.vbs.admin.ch/en/documents/search.html" TargetMode="External"/><Relationship Id="rId3" Type="http://schemas.openxmlformats.org/officeDocument/2006/relationships/styles" Target="styles.xml"/><Relationship Id="rId12" Type="http://schemas.openxmlformats.org/officeDocument/2006/relationships/hyperlink" Target="http://ecpr.eu/Filestore/PaperProposal/37f31939-2ecb-4a71-9026-928ef890c1ed.pdf" TargetMode="External"/><Relationship Id="rId17" Type="http://schemas.openxmlformats.org/officeDocument/2006/relationships/hyperlink" Target="http://ec.europa.eu/eurostat/statistics-explained/images/7/79/Foreign-born_population_by_country_of_birth%2C_1_January_2014_%28%C2%B9%29_YB15.png" TargetMode="External"/><Relationship Id="rId25" Type="http://schemas.openxmlformats.org/officeDocument/2006/relationships/hyperlink" Target="http://www.enar-eu.org/Shadow-Reports-on-racism-in-Europe-203" TargetMode="External"/><Relationship Id="rId33" Type="http://schemas.openxmlformats.org/officeDocument/2006/relationships/hyperlink" Target="http://cms.horus.be/files/99935/MediaArchive/Racist%20Violence%20Denmark%20-%20online.pdf" TargetMode="External"/><Relationship Id="rId38" Type="http://schemas.openxmlformats.org/officeDocument/2006/relationships/hyperlink" Target="http://demos.dk/nyhedsbrev/1190-demos-nyhedsbrev-nr-106-hojreekstremisme-blodig-alvor-sp-431" TargetMode="External"/><Relationship Id="rId46" Type="http://schemas.openxmlformats.org/officeDocument/2006/relationships/hyperlink" Target="http://www.cncdh.fr/fr/publications/?f%5b0%5d=im_field_theme%3A139&amp;f%5b1%5d=im_field_type_de_document%3A147" TargetMode="External"/><Relationship Id="rId59" Type="http://schemas.openxmlformats.org/officeDocument/2006/relationships/hyperlink" Target="https://www.jstor.org/stable/42863880" TargetMode="External"/><Relationship Id="rId67" Type="http://schemas.openxmlformats.org/officeDocument/2006/relationships/hyperlink" Target="http://www.coe.int/t/dghl/monitoring/ecri/library/publications.asp" TargetMode="External"/><Relationship Id="rId103" Type="http://schemas.openxmlformats.org/officeDocument/2006/relationships/hyperlink" Target="http://fra.europa.eu/en/country-data/2012/racist-violence-15-eu-member-states" TargetMode="External"/><Relationship Id="rId108" Type="http://schemas.openxmlformats.org/officeDocument/2006/relationships/hyperlink" Target="http://www.coe.int/t/dghl/monitoring/ecri/library/publications.asp" TargetMode="External"/><Relationship Id="rId116" Type="http://schemas.openxmlformats.org/officeDocument/2006/relationships/hyperlink" Target="http://expo.se/www/download/Organiserad%20intolerans%20i%20Finland%20och%20Sverige_SLUTLIG.pdf" TargetMode="External"/><Relationship Id="rId124" Type="http://schemas.openxmlformats.org/officeDocument/2006/relationships/hyperlink" Target="http://www.coe.int/t/dghl/monitoring/ecri/library/publications.asp" TargetMode="External"/><Relationship Id="rId129" Type="http://schemas.openxmlformats.org/officeDocument/2006/relationships/hyperlink" Target="https://www.hrw.org/reports/1997/uk2/" TargetMode="External"/><Relationship Id="rId137" Type="http://schemas.openxmlformats.org/officeDocument/2006/relationships/theme" Target="theme/theme1.xml"/><Relationship Id="rId20" Type="http://schemas.openxmlformats.org/officeDocument/2006/relationships/hyperlink" Target="http://www.nsd.uib.no/european_election_database/about/about_data.html" TargetMode="External"/><Relationship Id="rId41" Type="http://schemas.openxmlformats.org/officeDocument/2006/relationships/hyperlink" Target="http://fra.europa.eu/en/country-data/2012/racist-violence-15-eu-member-states" TargetMode="External"/><Relationship Id="rId54" Type="http://schemas.openxmlformats.org/officeDocument/2006/relationships/hyperlink" Target="http://de.wikipedia.org/wiki/Todesopfer_rechtsextremer_Gewalt_in_Deutschland" TargetMode="External"/><Relationship Id="rId62" Type="http://schemas.openxmlformats.org/officeDocument/2006/relationships/hyperlink" Target="http://www.enar-eu.org/Shadow-Reports-on-racism-in-Europe-203" TargetMode="External"/><Relationship Id="rId70" Type="http://schemas.openxmlformats.org/officeDocument/2006/relationships/hyperlink" Target="http://cms.horus.be/files/99935/MediaArchive/Racist%20Violence%20Report%20Italy%20-%20online.pdf" TargetMode="External"/><Relationship Id="rId75" Type="http://schemas.openxmlformats.org/officeDocument/2006/relationships/hyperlink" Target="http://www.ecn.org/antifa/article/357/AZIONI%20FASCISTE" TargetMode="External"/><Relationship Id="rId83" Type="http://schemas.openxmlformats.org/officeDocument/2006/relationships/hyperlink" Target="http://fra.europa.eu/en/country-data/2012/racist-violence-15-eu-member-states" TargetMode="External"/><Relationship Id="rId88" Type="http://schemas.openxmlformats.org/officeDocument/2006/relationships/hyperlink" Target="https://www.aivd.nl/publish/pages/2327/brochure_extreemrechts_engels.pdf" TargetMode="External"/><Relationship Id="rId91" Type="http://schemas.openxmlformats.org/officeDocument/2006/relationships/hyperlink" Target="http://www.annefrank.org/en/Education/Monitor-Homepage/Racism-monitor/" TargetMode="External"/><Relationship Id="rId96" Type="http://schemas.openxmlformats.org/officeDocument/2006/relationships/hyperlink" Target="http://www.enar-eu.org/Shadow-Reports-on-racism-in-Europe-203" TargetMode="External"/><Relationship Id="rId111" Type="http://schemas.openxmlformats.org/officeDocument/2006/relationships/hyperlink" Target="http://www.bra.se/bra/bra-in-english/home/crime-and-statistics/hate-crime.html" TargetMode="External"/><Relationship Id="rId132" Type="http://schemas.openxmlformats.org/officeDocument/2006/relationships/hyperlink" Target="https://www.amazon.com/White-Riot-Violent-Story-Combat/dp/190385400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verse.harvard.edu/dataset.xhtml?persistentId=hdl:1902.1/14717" TargetMode="External"/><Relationship Id="rId23" Type="http://schemas.openxmlformats.org/officeDocument/2006/relationships/hyperlink" Target="http://fra.europa.eu/en/country-data/2012/racist-violence-15-eu-member-states" TargetMode="External"/><Relationship Id="rId28" Type="http://schemas.openxmlformats.org/officeDocument/2006/relationships/hyperlink" Target="http://fra.europa.eu/en/country-data/2012/racist-violence-15-eu-member-states" TargetMode="External"/><Relationship Id="rId36" Type="http://schemas.openxmlformats.org/officeDocument/2006/relationships/hyperlink" Target="http://libsoc.dk/wp-content/uploads/2014/09/Politisk-ekstremisme-i-Danmark-april-2012.pdf" TargetMode="External"/><Relationship Id="rId49" Type="http://schemas.openxmlformats.org/officeDocument/2006/relationships/hyperlink" Target="http://www.coe.int/t/dghl/monitoring/ecri/library/publications.asp" TargetMode="External"/><Relationship Id="rId57" Type="http://schemas.openxmlformats.org/officeDocument/2006/relationships/hyperlink" Target="http://www.terrorismanalysts.com/pt/index.php/pot/article/view/377" TargetMode="External"/><Relationship Id="rId106" Type="http://schemas.openxmlformats.org/officeDocument/2006/relationships/hyperlink" Target="http://www.cgt.org.es/" TargetMode="External"/><Relationship Id="rId114" Type="http://schemas.openxmlformats.org/officeDocument/2006/relationships/hyperlink" Target="http://fra.europa.eu/en/country-data/2012/racist-violence-15-eu-member-states" TargetMode="External"/><Relationship Id="rId119" Type="http://schemas.openxmlformats.org/officeDocument/2006/relationships/hyperlink" Target="http://www.enar-eu.org/Shadow-Reports-on-racism-in-Europe-203" TargetMode="External"/><Relationship Id="rId127" Type="http://schemas.openxmlformats.org/officeDocument/2006/relationships/hyperlink" Target="http://www.irr.org.uk/research/geographies-of-racism/" TargetMode="External"/><Relationship Id="rId10" Type="http://schemas.openxmlformats.org/officeDocument/2006/relationships/hyperlink" Target="http://ec.europa.eu/eurostat/statistics-explained/images/7/79/Foreign-born_population_by_country_of_birth%2C_1_January_2014_%28%C2%B9%29_YB15.png" TargetMode="External"/><Relationship Id="rId31" Type="http://schemas.openxmlformats.org/officeDocument/2006/relationships/hyperlink" Target="https://www.pet.dk/Publikationer/RACI-indberetning.aspx" TargetMode="External"/><Relationship Id="rId44" Type="http://schemas.openxmlformats.org/officeDocument/2006/relationships/hyperlink" Target="http://www.coe.int/t/dghl/monitoring/ecri/library/publications.asp" TargetMode="External"/><Relationship Id="rId52" Type="http://schemas.openxmlformats.org/officeDocument/2006/relationships/hyperlink" Target="http://cms.horus.be/files/99935/MediaArchive/Racist%20Violence%20Report%20Germany%20-%20online.pdf" TargetMode="External"/><Relationship Id="rId60" Type="http://schemas.openxmlformats.org/officeDocument/2006/relationships/hyperlink" Target="http://www.tandfonline.com/doi/abs/10.1080/09546559508427288" TargetMode="External"/><Relationship Id="rId65" Type="http://schemas.openxmlformats.org/officeDocument/2006/relationships/hyperlink" Target="http://map.crisis-scape.net/page/index/2" TargetMode="External"/><Relationship Id="rId73" Type="http://schemas.openxmlformats.org/officeDocument/2006/relationships/hyperlink" Target="https://www.hrw.org/sites/default/files/reports/italy0311WebRevised.pdf" TargetMode="External"/><Relationship Id="rId78" Type="http://schemas.openxmlformats.org/officeDocument/2006/relationships/hyperlink" Target="http://cms.horus.be/files/99935/MediaArchive/Racist%20Violence%20Report%20Ireland%20-%20online.pdf" TargetMode="External"/><Relationship Id="rId81" Type="http://schemas.openxmlformats.org/officeDocument/2006/relationships/hyperlink" Target="http://www.coe.int/t/dghl/monitoring/ecri/library/publications.asp" TargetMode="External"/><Relationship Id="rId86" Type="http://schemas.openxmlformats.org/officeDocument/2006/relationships/hyperlink" Target="http://www.enar-eu.org/Shadow-Reports-on-racism-in-Europe-203" TargetMode="External"/><Relationship Id="rId94" Type="http://schemas.openxmlformats.org/officeDocument/2006/relationships/hyperlink" Target="https://english.wodc.nl/onderzoeksdatabase/w00160-racistisch-geweld-in-nederland-aard-en-omvang-strafrechtelijke-afdoening-dadertypen.aspx" TargetMode="External"/><Relationship Id="rId99" Type="http://schemas.openxmlformats.org/officeDocument/2006/relationships/hyperlink" Target="http://www.coe.int/t/dghl/monitoring/ecri/library/publications.asp" TargetMode="External"/><Relationship Id="rId101" Type="http://schemas.openxmlformats.org/officeDocument/2006/relationships/hyperlink" Target="http://www.coe.int/t/dghl/monitoring/ecri/library/publications.asp" TargetMode="External"/><Relationship Id="rId122" Type="http://schemas.openxmlformats.org/officeDocument/2006/relationships/hyperlink" Target="http://www.berghahnbooks.com/title.php?rowtag=SkenderovicRadical" TargetMode="External"/><Relationship Id="rId130" Type="http://schemas.openxmlformats.org/officeDocument/2006/relationships/hyperlink" Target="http://henryjacksonsociety.org/wp-content/uploads/2013/01/BLOOD-AND-HNOUR.pdf" TargetMode="External"/><Relationship Id="rId135" Type="http://schemas.openxmlformats.org/officeDocument/2006/relationships/hyperlink" Target="http://www.enar-eu.org/Shadow-Reports-on-racism-in-Europe-203"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nsd.uib.no/european_election_database/about/about_data.html" TargetMode="External"/><Relationship Id="rId18" Type="http://schemas.openxmlformats.org/officeDocument/2006/relationships/hyperlink" Target="http://ec.europa.eu/eurostat/statistics-explained/index.php/Asylum_statistics" TargetMode="External"/><Relationship Id="rId39" Type="http://schemas.openxmlformats.org/officeDocument/2006/relationships/hyperlink" Target="http://cms.horus.be/files/99935/MediaArchive/Racist%20Violence%20Report%20Finland%20-%20online.pdf" TargetMode="External"/><Relationship Id="rId109" Type="http://schemas.openxmlformats.org/officeDocument/2006/relationships/hyperlink" Target="http://www.enar-eu.org/Shadow-Reports-on-racism-in-Europe-203" TargetMode="External"/><Relationship Id="rId34" Type="http://schemas.openxmlformats.org/officeDocument/2006/relationships/hyperlink" Target="http://www.coe.int/t/dghl/monitoring/ecri/library/publications.asp" TargetMode="External"/><Relationship Id="rId50" Type="http://schemas.openxmlformats.org/officeDocument/2006/relationships/hyperlink" Target="http://www.enar-eu.org/Shadow-Reports-on-racism-in-Europe-203" TargetMode="External"/><Relationship Id="rId55" Type="http://schemas.openxmlformats.org/officeDocument/2006/relationships/hyperlink" Target="https://books.google.no/books?id=1w8xDQAAQBAJ&amp;redir_esc=y" TargetMode="External"/><Relationship Id="rId76" Type="http://schemas.openxmlformats.org/officeDocument/2006/relationships/hyperlink" Target="http://www.coe.int/t/dghl/monitoring/ecri/library/publications.asp" TargetMode="External"/><Relationship Id="rId97" Type="http://schemas.openxmlformats.org/officeDocument/2006/relationships/hyperlink" Target="https://www.politi.no/oslo/strategier_og_analyser/statistikker_og_analyser/Tema_1793.xml" TargetMode="External"/><Relationship Id="rId104" Type="http://schemas.openxmlformats.org/officeDocument/2006/relationships/hyperlink" Target="http://cms.horus.be/files/99935/MediaArchive/Racist%20Violence%20Spain%20-online.pdf" TargetMode="External"/><Relationship Id="rId120" Type="http://schemas.openxmlformats.org/officeDocument/2006/relationships/hyperlink" Target="https://www.fedpol.admin.ch/fedpol/de/home/publiservice/publikationen/berichte/weitere_berichte/bericht_innere_sicherheit.html" TargetMode="External"/><Relationship Id="rId125" Type="http://schemas.openxmlformats.org/officeDocument/2006/relationships/hyperlink" Target="http://fra.europa.eu/en/country-data/2012/racist-violence-15-eu-member-states" TargetMode="External"/><Relationship Id="rId7" Type="http://schemas.openxmlformats.org/officeDocument/2006/relationships/endnotes" Target="endnotes.xml"/><Relationship Id="rId71" Type="http://schemas.openxmlformats.org/officeDocument/2006/relationships/hyperlink" Target="http://fra.europa.eu/en/country-data/2012/racist-violence-15-eu-member-states" TargetMode="External"/><Relationship Id="rId92" Type="http://schemas.openxmlformats.org/officeDocument/2006/relationships/hyperlink" Target="http://www.annefrank.org/ImageVaultFiles/id_17077/cf_21/AFS_VJI_Report_2012_English.PDF" TargetMode="External"/><Relationship Id="rId2" Type="http://schemas.openxmlformats.org/officeDocument/2006/relationships/numbering" Target="numbering.xml"/><Relationship Id="rId29" Type="http://schemas.openxmlformats.org/officeDocument/2006/relationships/hyperlink" Target="http://www.coe.int/t/dghl/monitoring/ecri/library/publications.asp" TargetMode="External"/><Relationship Id="rId24" Type="http://schemas.openxmlformats.org/officeDocument/2006/relationships/hyperlink" Target="http://www.coe.int/t/dghl/monitoring/ecri/library/publications.asp" TargetMode="External"/><Relationship Id="rId40" Type="http://schemas.openxmlformats.org/officeDocument/2006/relationships/hyperlink" Target="https://www.theseus.fi/bitstream/handle/10024/86712/raportti_85_en.pdf?sequence=1" TargetMode="External"/><Relationship Id="rId45" Type="http://schemas.openxmlformats.org/officeDocument/2006/relationships/hyperlink" Target="http://www.enar-eu.org/Shadow-Reports-on-racism-in-Europe-203" TargetMode="External"/><Relationship Id="rId66" Type="http://schemas.openxmlformats.org/officeDocument/2006/relationships/hyperlink" Target="http://cms.horus.be/files/99935/MediaArchive/Racist%20Violence%20Report%20Greece%20-%20online.pdf" TargetMode="External"/><Relationship Id="rId87" Type="http://schemas.openxmlformats.org/officeDocument/2006/relationships/hyperlink" Target="http://cms.horus.be/files/99935/MediaArchive/Racist%20Violence%20The%20Netherlands%20-%20online.pdf" TargetMode="External"/><Relationship Id="rId110" Type="http://schemas.openxmlformats.org/officeDocument/2006/relationships/hyperlink" Target="http://www.sakerhetspolisen.se/publikationer.html" TargetMode="External"/><Relationship Id="rId115" Type="http://schemas.openxmlformats.org/officeDocument/2006/relationships/hyperlink" Target="http://cms.horus.be/files/99935/MediaArchive/Racist%20Violence%20Sweden%20-online.pdf" TargetMode="External"/><Relationship Id="rId131" Type="http://schemas.openxmlformats.org/officeDocument/2006/relationships/hyperlink" Target="https://books.google.no/books/about/Homeland.html?id=_I6iQgAACAAJ&amp;redir_esc=y" TargetMode="External"/><Relationship Id="rId136" Type="http://schemas.openxmlformats.org/officeDocument/2006/relationships/fontTable" Target="fontTable.xml"/><Relationship Id="rId61" Type="http://schemas.openxmlformats.org/officeDocument/2006/relationships/hyperlink" Target="http://www.coe.int/t/dghl/monitoring/ecri/library/publications.asp" TargetMode="External"/><Relationship Id="rId82" Type="http://schemas.openxmlformats.org/officeDocument/2006/relationships/hyperlink" Target="http://www.enar-eu.org/Shadow-Reports-on-racism-in-Europe-203" TargetMode="External"/><Relationship Id="rId19" Type="http://schemas.openxmlformats.org/officeDocument/2006/relationships/hyperlink" Target="http://ecpr.eu/Filestore/PaperProposal/37f31939-2ecb-4a71-9026-928ef890c1ed.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cncdh.fr/fr/publications/?f%5b0%5d=im_field_theme%3A139&amp;f%5b1%5d=im_field_type_de_document%3A147" TargetMode="External"/><Relationship Id="rId3" Type="http://schemas.openxmlformats.org/officeDocument/2006/relationships/hyperlink" Target="https://www.pet.dk/Publikationer/RACI-indberetning.aspx" TargetMode="External"/><Relationship Id="rId7" Type="http://schemas.openxmlformats.org/officeDocument/2006/relationships/hyperlink" Target="http://www.verfassungsschutz.de/de/oeffentlichkeitsarbeit/publikationen/verfassungsschutzberichte" TargetMode="External"/><Relationship Id="rId2" Type="http://schemas.openxmlformats.org/officeDocument/2006/relationships/hyperlink" Target="http://www.bra.se/bra/bra-in-english/home/crime-and-statistics/hate-crime.html" TargetMode="External"/><Relationship Id="rId1" Type="http://schemas.openxmlformats.org/officeDocument/2006/relationships/hyperlink" Target="http://www.sakerhetspolisen.se/publikationer.html" TargetMode="External"/><Relationship Id="rId6" Type="http://schemas.openxmlformats.org/officeDocument/2006/relationships/hyperlink" Target="http://www.verwey-jonker.nl/doc/vitaliteit/7352%20Anne%20Frank%20English%20Monitor%20Web.pdf" TargetMode="External"/><Relationship Id="rId5" Type="http://schemas.openxmlformats.org/officeDocument/2006/relationships/hyperlink" Target="http://www.annefrank.org/en/Education/Monitor-Homepage/Racism-monitor/" TargetMode="External"/><Relationship Id="rId10" Type="http://schemas.openxmlformats.org/officeDocument/2006/relationships/hyperlink" Target="http://www.vbs.admin.ch/en/documents/search.html" TargetMode="External"/><Relationship Id="rId4" Type="http://schemas.openxmlformats.org/officeDocument/2006/relationships/hyperlink" Target="https://www.pet.dk/Publikationer/RACI-indberetning.aspx" TargetMode="External"/><Relationship Id="rId9" Type="http://schemas.openxmlformats.org/officeDocument/2006/relationships/hyperlink" Target="http://www.bmi.gv.at/cms/bmi_verfassungsschu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46662-8765-4F88-9BC0-BC8F267B5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F8372D91.dotm</Template>
  <TotalTime>107</TotalTime>
  <Pages>25</Pages>
  <Words>8899</Words>
  <Characters>47167</Characters>
  <Application>Microsoft Office Word</Application>
  <DocSecurity>0</DocSecurity>
  <Lines>393</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Aasland Ravndal</dc:creator>
  <cp:keywords/>
  <dc:description/>
  <cp:lastModifiedBy>Jacob Aasland Ravndal</cp:lastModifiedBy>
  <cp:revision>10</cp:revision>
  <cp:lastPrinted>2017-03-18T20:41:00Z</cp:lastPrinted>
  <dcterms:created xsi:type="dcterms:W3CDTF">2017-09-15T12:53:00Z</dcterms:created>
  <dcterms:modified xsi:type="dcterms:W3CDTF">2017-10-26T13:20:00Z</dcterms:modified>
</cp:coreProperties>
</file>