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02638" w14:textId="09EF1A79" w:rsidR="008172E6" w:rsidRDefault="00707A25" w:rsidP="00707A25">
      <w:pPr>
        <w:pStyle w:val="ListParagraph"/>
        <w:numPr>
          <w:ilvl w:val="0"/>
          <w:numId w:val="1"/>
        </w:numPr>
      </w:pPr>
      <w:r>
        <w:t xml:space="preserve">The full dataset </w:t>
      </w:r>
      <w:r w:rsidR="0071498B">
        <w:t xml:space="preserve">and a complete dataset comparison </w:t>
      </w:r>
      <w:r>
        <w:t xml:space="preserve">is available in the </w:t>
      </w:r>
      <w:r w:rsidR="0071498B">
        <w:t xml:space="preserve">Online Appendix </w:t>
      </w:r>
    </w:p>
    <w:p w14:paraId="61FE8667" w14:textId="5ADFF7E2" w:rsidR="00707A25" w:rsidRDefault="00707A25" w:rsidP="00707A25">
      <w:pPr>
        <w:pStyle w:val="ListParagraph"/>
        <w:numPr>
          <w:ilvl w:val="0"/>
          <w:numId w:val="1"/>
        </w:numPr>
      </w:pPr>
      <w:r>
        <w:t xml:space="preserve">The commands used for </w:t>
      </w:r>
      <w:proofErr w:type="spellStart"/>
      <w:r>
        <w:t>stata</w:t>
      </w:r>
      <w:proofErr w:type="spellEnd"/>
      <w:r>
        <w:t xml:space="preserve"> are available in the “</w:t>
      </w:r>
      <w:r w:rsidR="0071498B">
        <w:t>RFFD</w:t>
      </w:r>
      <w:r>
        <w:t>” do-file</w:t>
      </w:r>
    </w:p>
    <w:p w14:paraId="707AC46A" w14:textId="0DD2F8A9" w:rsidR="00707A25" w:rsidRDefault="00707A25" w:rsidP="00707A25">
      <w:pPr>
        <w:pStyle w:val="ListParagraph"/>
        <w:numPr>
          <w:ilvl w:val="1"/>
          <w:numId w:val="1"/>
        </w:numPr>
      </w:pPr>
      <w:r>
        <w:t>The commands take from the previous article (Doctor 2021) are included in the do-file</w:t>
      </w:r>
      <w:r w:rsidR="0071498B">
        <w:t xml:space="preserve"> – use the “</w:t>
      </w:r>
      <w:r w:rsidR="0071498B" w:rsidRPr="0071498B">
        <w:t>Doctor (2021) Data and Ordinal Code</w:t>
      </w:r>
      <w:r w:rsidR="0071498B">
        <w:t xml:space="preserve">” document to conduct the analysis </w:t>
      </w:r>
    </w:p>
    <w:p w14:paraId="21E290DC" w14:textId="7B5AB47B" w:rsidR="00707A25" w:rsidRDefault="00707A25" w:rsidP="00707A25">
      <w:pPr>
        <w:pStyle w:val="ListParagraph"/>
        <w:numPr>
          <w:ilvl w:val="0"/>
          <w:numId w:val="1"/>
        </w:numPr>
      </w:pPr>
      <w:r>
        <w:t xml:space="preserve">The codebook describing the foreign fighter coding mechanism and the reliability coding </w:t>
      </w:r>
    </w:p>
    <w:p w14:paraId="61CADFEC" w14:textId="2A49E381" w:rsidR="00707A25" w:rsidRDefault="0071498B" w:rsidP="00707A25">
      <w:pPr>
        <w:pStyle w:val="ListParagraph"/>
        <w:numPr>
          <w:ilvl w:val="0"/>
          <w:numId w:val="1"/>
        </w:numPr>
      </w:pPr>
      <w:r>
        <w:t>The outputs are included in “RFFD Output”</w:t>
      </w:r>
    </w:p>
    <w:sectPr w:rsidR="00707A25" w:rsidSect="008602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3C7F09"/>
    <w:multiLevelType w:val="hybridMultilevel"/>
    <w:tmpl w:val="8EBE8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804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309"/>
    <w:rsid w:val="00436309"/>
    <w:rsid w:val="00510958"/>
    <w:rsid w:val="00707A25"/>
    <w:rsid w:val="0071498B"/>
    <w:rsid w:val="008172E6"/>
    <w:rsid w:val="0086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96857"/>
  <w15:chartTrackingRefBased/>
  <w15:docId w15:val="{96171E92-7B66-014F-88A5-8151198B1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7A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Schwartz</dc:creator>
  <cp:keywords/>
  <dc:description/>
  <cp:lastModifiedBy>Jack Schwartz</cp:lastModifiedBy>
  <cp:revision>2</cp:revision>
  <dcterms:created xsi:type="dcterms:W3CDTF">2022-09-14T12:18:00Z</dcterms:created>
  <dcterms:modified xsi:type="dcterms:W3CDTF">2022-09-14T15:59:00Z</dcterms:modified>
</cp:coreProperties>
</file>