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F3864"/>
          <w:sz w:val="52"/>
          <w:szCs w:val="52"/>
        </w:rPr>
        <w:t xml:space="preserve">LANA Immigration</w:t>
      </w:r>
    </w:p>
    <w:p>
      <w:pPr>
        <w:spacing w:before="0" w:after="60"/>
        <w:jc w:val="center"/>
      </w:pPr>
      <w:r>
        <w:rPr>
          <w:rFonts w:ascii="Arial" w:cs="Arial" w:eastAsia="Arial" w:hAnsi="Arial"/>
          <w:color w:val="595959"/>
          <w:sz w:val="36"/>
          <w:szCs w:val="36"/>
        </w:rPr>
        <w:t xml:space="preserve">Website Audit Report</w:t>
      </w:r>
    </w:p>
    <w:p>
      <w:pPr>
        <w:spacing w:before="0" w:after="60"/>
        <w:jc w:val="center"/>
      </w:pPr>
      <w:r>
        <w:rPr>
          <w:rFonts w:ascii="Arial" w:cs="Arial" w:eastAsia="Arial" w:hAnsi="Arial"/>
          <w:i/>
          <w:iCs/>
          <w:color w:val="595959"/>
          <w:sz w:val="24"/>
          <w:szCs w:val="24"/>
        </w:rPr>
        <w:t xml:space="preserve">lanacanada — Consistency, Clarity &amp; Factual Accuracy Review</w:t>
      </w:r>
    </w:p>
    <w:p>
      <w:pPr>
        <w:spacing w:before="0" w:after="360"/>
        <w:jc w:val="center"/>
      </w:pPr>
      <w:r>
        <w:rPr>
          <w:rFonts w:ascii="Arial" w:cs="Arial" w:eastAsia="Arial" w:hAnsi="Arial"/>
          <w:color w:val="595959"/>
          <w:sz w:val="22"/>
          <w:szCs w:val="22"/>
        </w:rPr>
        <w:t xml:space="preserve">March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CE4D6" w:val="clear"/>
            <w:tcMar>
              <w:top w:type="dxa" w:w="160"/>
              <w:left w:type="dxa" w:w="200"/>
              <w:bottom w:type="dxa" w:w="160"/>
              <w:right w:type="dxa" w:w="200"/>
            </w:tcMar>
          </w:tcPr>
          <w:p>
            <w:pPr>
              <w:jc w:val="center"/>
            </w:pPr>
            <w:r>
              <w:rPr>
                <w:rFonts w:ascii="Arial" w:cs="Arial" w:eastAsia="Arial" w:hAnsi="Arial"/>
                <w:b/>
                <w:bCs/>
                <w:color w:val="C00000"/>
                <w:sz w:val="52"/>
                <w:szCs w:val="52"/>
              </w:rPr>
              <w:t xml:space="preserve">2</w:t>
            </w:r>
          </w:p>
          <w:p>
            <w:pPr>
              <w:jc w:val="center"/>
            </w:pPr>
            <w:r>
              <w:rPr>
                <w:rFonts w:ascii="Arial" w:cs="Arial" w:eastAsia="Arial" w:hAnsi="Arial"/>
                <w:b/>
                <w:bCs/>
                <w:color w:val="C00000"/>
                <w:sz w:val="18"/>
                <w:szCs w:val="18"/>
              </w:rPr>
              <w:t xml:space="preserve">FACTUAL ERRORS</w:t>
            </w:r>
          </w:p>
        </w:tc>
        <w:tc>
          <w:tcPr>
            <w:tcW w:type="dxa" w:w="2340"/>
            <w:tcBorders>
              <w:top w:val="single" w:color="CCCCCC" w:sz="1"/>
              <w:left w:val="single" w:color="CCCCCC" w:sz="1"/>
              <w:bottom w:val="single" w:color="CCCCCC" w:sz="1"/>
              <w:right w:val="single" w:color="CCCCCC" w:sz="1"/>
            </w:tcBorders>
            <w:shd w:fill="FFF2CC" w:val="clear"/>
            <w:tcMar>
              <w:top w:type="dxa" w:w="160"/>
              <w:left w:type="dxa" w:w="200"/>
              <w:bottom w:type="dxa" w:w="160"/>
              <w:right w:type="dxa" w:w="200"/>
            </w:tcMar>
          </w:tcPr>
          <w:p>
            <w:pPr>
              <w:jc w:val="center"/>
            </w:pPr>
            <w:r>
              <w:rPr>
                <w:rFonts w:ascii="Arial" w:cs="Arial" w:eastAsia="Arial" w:hAnsi="Arial"/>
                <w:b/>
                <w:bCs/>
                <w:color w:val="E26B0A"/>
                <w:sz w:val="52"/>
                <w:szCs w:val="52"/>
              </w:rPr>
              <w:t xml:space="preserve">4</w:t>
            </w:r>
          </w:p>
          <w:p>
            <w:pPr>
              <w:jc w:val="center"/>
            </w:pPr>
            <w:r>
              <w:rPr>
                <w:rFonts w:ascii="Arial" w:cs="Arial" w:eastAsia="Arial" w:hAnsi="Arial"/>
                <w:b/>
                <w:bCs/>
                <w:color w:val="E26B0A"/>
                <w:sz w:val="18"/>
                <w:szCs w:val="18"/>
              </w:rPr>
              <w:t xml:space="preserve">IMPORTANT GAPS</w:t>
            </w:r>
          </w:p>
        </w:tc>
        <w:tc>
          <w:tcPr>
            <w:tcW w:type="dxa" w:w="234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jc w:val="center"/>
            </w:pPr>
            <w:r>
              <w:rPr>
                <w:rFonts w:ascii="Arial" w:cs="Arial" w:eastAsia="Arial" w:hAnsi="Arial"/>
                <w:b/>
                <w:bCs/>
                <w:color w:val="1F3864"/>
                <w:sz w:val="52"/>
                <w:szCs w:val="52"/>
              </w:rPr>
              <w:t xml:space="preserve">4</w:t>
            </w:r>
          </w:p>
          <w:p>
            <w:pPr>
              <w:jc w:val="center"/>
            </w:pPr>
            <w:r>
              <w:rPr>
                <w:rFonts w:ascii="Arial" w:cs="Arial" w:eastAsia="Arial" w:hAnsi="Arial"/>
                <w:b/>
                <w:bCs/>
                <w:color w:val="1F3864"/>
                <w:sz w:val="18"/>
                <w:szCs w:val="18"/>
              </w:rPr>
              <w:t xml:space="preserve">MINOR ISSUES</w:t>
            </w:r>
          </w:p>
        </w:tc>
        <w:tc>
          <w:tcPr>
            <w:tcW w:type="dxa" w:w="2340"/>
            <w:tcBorders>
              <w:top w:val="single" w:color="CCCCCC" w:sz="1"/>
              <w:left w:val="single" w:color="CCCCCC" w:sz="1"/>
              <w:bottom w:val="single" w:color="CCCCCC" w:sz="1"/>
              <w:right w:val="single" w:color="CCCCCC" w:sz="1"/>
            </w:tcBorders>
            <w:shd w:fill="E2EFDA" w:val="clear"/>
            <w:tcMar>
              <w:top w:type="dxa" w:w="160"/>
              <w:left w:type="dxa" w:w="200"/>
              <w:bottom w:type="dxa" w:w="160"/>
              <w:right w:type="dxa" w:w="200"/>
            </w:tcMar>
          </w:tcPr>
          <w:p>
            <w:pPr>
              <w:jc w:val="center"/>
            </w:pPr>
            <w:r>
              <w:rPr>
                <w:rFonts w:ascii="Arial" w:cs="Arial" w:eastAsia="Arial" w:hAnsi="Arial"/>
                <w:b/>
                <w:bCs/>
                <w:color w:val="375623"/>
                <w:sz w:val="52"/>
                <w:szCs w:val="52"/>
              </w:rPr>
              <w:t xml:space="preserve">10+</w:t>
            </w:r>
          </w:p>
          <w:p>
            <w:pPr>
              <w:jc w:val="center"/>
            </w:pPr>
            <w:r>
              <w:rPr>
                <w:rFonts w:ascii="Arial" w:cs="Arial" w:eastAsia="Arial" w:hAnsi="Arial"/>
                <w:b/>
                <w:bCs/>
                <w:color w:val="375623"/>
                <w:sz w:val="18"/>
                <w:szCs w:val="18"/>
              </w:rPr>
              <w:t xml:space="preserve">PAGES REVIEWED</w:t>
            </w:r>
          </w:p>
        </w:tc>
      </w:tr>
    </w:tbl>
    <w:p>
      <w:pPr>
        <w:spacing w:before="80" w:after="80"/>
      </w:pPr>
      <w:r>
        <w:t xml:space="preserve"/>
      </w:r>
    </w:p>
    <w:p>
      <w:pPr>
        <w:pBdr>
          <w:bottom w:val="single" w:color="CCCCCC" w:sz="4" w:space="1"/>
        </w:pBdr>
        <w:spacing w:before="120" w:after="120"/>
      </w:pPr>
    </w:p>
    <w:p>
      <w:pPr>
        <w:pStyle w:val="Heading1"/>
        <w:spacing w:before="360" w:after="120"/>
      </w:pPr>
      <w:r>
        <w:rPr>
          <w:rFonts w:ascii="Arial" w:cs="Arial" w:eastAsia="Arial" w:hAnsi="Arial"/>
          <w:b/>
          <w:bCs/>
          <w:color w:val="1F3864"/>
          <w:sz w:val="36"/>
          <w:szCs w:val="36"/>
        </w:rPr>
        <w:t xml:space="preserve">1. Audit Scope &amp; Methodology</w:t>
      </w:r>
    </w:p>
    <w:p>
      <w:pPr>
        <w:spacing w:before="60" w:after="60"/>
      </w:pPr>
      <w:r>
        <w:rPr>
          <w:rFonts w:ascii="Arial" w:cs="Arial" w:eastAsia="Arial" w:hAnsi="Arial"/>
          <w:color w:val="333333"/>
          <w:sz w:val="22"/>
          <w:szCs w:val="22"/>
        </w:rPr>
        <w:t xml:space="preserve">All publicly accessible pages on https://michaeldemb.github.io/lanacanada/ were reviewed for factual accuracy, internal consistency, clarity, and completeness. Claims were cross-referenced against official Canadian government sources (IRCC, canada.ca) and the College of Immigration and Citizenship Consultants (CICC).</w:t>
      </w:r>
    </w:p>
    <w:p>
      <w:pPr>
        <w:spacing w:before="80" w:after="80"/>
      </w:pPr>
      <w:r>
        <w:t xml:space="preserve"/>
      </w:r>
    </w:p>
    <w:p>
      <w:pPr>
        <w:spacing w:before="60" w:after="60"/>
      </w:pPr>
      <w:r>
        <w:rPr>
          <w:rFonts w:ascii="Arial" w:cs="Arial" w:eastAsia="Arial" w:hAnsi="Arial"/>
          <w:b/>
          <w:bCs/>
          <w:color w:val="1F3864"/>
          <w:sz w:val="22"/>
          <w:szCs w:val="22"/>
        </w:rPr>
        <w:t xml:space="preserve">Pages Audited:</w:t>
      </w:r>
    </w:p>
    <w:p>
      <w:pPr>
        <w:pStyle w:val="ListParagraph"/>
        <w:numPr>
          <w:ilvl w:val="0"/>
          <w:numId w:val="2"/>
        </w:numPr>
        <w:spacing w:before="40" w:after="40"/>
      </w:pPr>
      <w:r>
        <w:rPr>
          <w:rFonts w:ascii="Arial" w:cs="Arial" w:eastAsia="Arial" w:hAnsi="Arial"/>
          <w:b w:val="false"/>
          <w:bCs w:val="false"/>
          <w:color w:val="333333"/>
          <w:sz w:val="22"/>
          <w:szCs w:val="22"/>
        </w:rPr>
        <w:t xml:space="preserve">index.html — Homepage</w:t>
      </w:r>
    </w:p>
    <w:p>
      <w:pPr>
        <w:pStyle w:val="ListParagraph"/>
        <w:numPr>
          <w:ilvl w:val="0"/>
          <w:numId w:val="2"/>
        </w:numPr>
        <w:spacing w:before="40" w:after="40"/>
      </w:pPr>
      <w:r>
        <w:rPr>
          <w:rFonts w:ascii="Arial" w:cs="Arial" w:eastAsia="Arial" w:hAnsi="Arial"/>
          <w:b w:val="false"/>
          <w:bCs w:val="false"/>
          <w:color w:val="333333"/>
          <w:sz w:val="22"/>
          <w:szCs w:val="22"/>
        </w:rPr>
        <w:t xml:space="preserve">how-immigration-works.html — Immigration overview</w:t>
      </w:r>
    </w:p>
    <w:p>
      <w:pPr>
        <w:pStyle w:val="ListParagraph"/>
        <w:numPr>
          <w:ilvl w:val="0"/>
          <w:numId w:val="2"/>
        </w:numPr>
        <w:spacing w:before="40" w:after="40"/>
      </w:pPr>
      <w:r>
        <w:rPr>
          <w:rFonts w:ascii="Arial" w:cs="Arial" w:eastAsia="Arial" w:hAnsi="Arial"/>
          <w:b w:val="false"/>
          <w:bCs w:val="false"/>
          <w:color w:val="333333"/>
          <w:sz w:val="22"/>
          <w:szCs w:val="22"/>
        </w:rPr>
        <w:t xml:space="preserve">pathway-express-entry.html — Express Entry pathway</w:t>
      </w:r>
    </w:p>
    <w:p>
      <w:pPr>
        <w:pStyle w:val="ListParagraph"/>
        <w:numPr>
          <w:ilvl w:val="0"/>
          <w:numId w:val="2"/>
        </w:numPr>
        <w:spacing w:before="40" w:after="40"/>
      </w:pPr>
      <w:r>
        <w:rPr>
          <w:rFonts w:ascii="Arial" w:cs="Arial" w:eastAsia="Arial" w:hAnsi="Arial"/>
          <w:b w:val="false"/>
          <w:bCs w:val="false"/>
          <w:color w:val="333333"/>
          <w:sz w:val="22"/>
          <w:szCs w:val="22"/>
        </w:rPr>
        <w:t xml:space="preserve">pathway-pnp.html — Provincial Nominee Programs</w:t>
      </w:r>
    </w:p>
    <w:p>
      <w:pPr>
        <w:pStyle w:val="ListParagraph"/>
        <w:numPr>
          <w:ilvl w:val="0"/>
          <w:numId w:val="2"/>
        </w:numPr>
        <w:spacing w:before="40" w:after="40"/>
      </w:pPr>
      <w:r>
        <w:rPr>
          <w:rFonts w:ascii="Arial" w:cs="Arial" w:eastAsia="Arial" w:hAnsi="Arial"/>
          <w:b w:val="false"/>
          <w:bCs w:val="false"/>
          <w:color w:val="333333"/>
          <w:sz w:val="22"/>
          <w:szCs w:val="22"/>
        </w:rPr>
        <w:t xml:space="preserve">citizenship.html — Citizenship overview</w:t>
      </w:r>
    </w:p>
    <w:p>
      <w:pPr>
        <w:pStyle w:val="ListParagraph"/>
        <w:numPr>
          <w:ilvl w:val="0"/>
          <w:numId w:val="2"/>
        </w:numPr>
        <w:spacing w:before="40" w:after="40"/>
      </w:pPr>
      <w:r>
        <w:rPr>
          <w:rFonts w:ascii="Arial" w:cs="Arial" w:eastAsia="Arial" w:hAnsi="Arial"/>
          <w:b w:val="false"/>
          <w:bCs w:val="false"/>
          <w:color w:val="333333"/>
          <w:sz w:val="22"/>
          <w:szCs w:val="22"/>
        </w:rPr>
        <w:t xml:space="preserve">citizenship-grant.html — Citizenship grant</w:t>
      </w:r>
    </w:p>
    <w:p>
      <w:pPr>
        <w:pStyle w:val="ListParagraph"/>
        <w:numPr>
          <w:ilvl w:val="0"/>
          <w:numId w:val="2"/>
        </w:numPr>
        <w:spacing w:before="40" w:after="40"/>
      </w:pPr>
      <w:r>
        <w:rPr>
          <w:rFonts w:ascii="Arial" w:cs="Arial" w:eastAsia="Arial" w:hAnsi="Arial"/>
          <w:b w:val="false"/>
          <w:bCs w:val="false"/>
          <w:color w:val="333333"/>
          <w:sz w:val="22"/>
          <w:szCs w:val="22"/>
        </w:rPr>
        <w:t xml:space="preserve">citizenship-certificate.html — Citizenship certificate</w:t>
      </w:r>
    </w:p>
    <w:p>
      <w:pPr>
        <w:pStyle w:val="ListParagraph"/>
        <w:numPr>
          <w:ilvl w:val="0"/>
          <w:numId w:val="2"/>
        </w:numPr>
        <w:spacing w:before="40" w:after="40"/>
      </w:pPr>
      <w:r>
        <w:rPr>
          <w:rFonts w:ascii="Arial" w:cs="Arial" w:eastAsia="Arial" w:hAnsi="Arial"/>
          <w:b w:val="false"/>
          <w:bCs w:val="false"/>
          <w:color w:val="333333"/>
          <w:sz w:val="22"/>
          <w:szCs w:val="22"/>
        </w:rPr>
        <w:t xml:space="preserve">coming-to-canada-temporarily.html — Temporary residence</w:t>
      </w:r>
    </w:p>
    <w:p>
      <w:pPr>
        <w:pStyle w:val="ListParagraph"/>
        <w:numPr>
          <w:ilvl w:val="0"/>
          <w:numId w:val="2"/>
        </w:numPr>
        <w:spacing w:before="40" w:after="40"/>
      </w:pPr>
      <w:r>
        <w:rPr>
          <w:rFonts w:ascii="Arial" w:cs="Arial" w:eastAsia="Arial" w:hAnsi="Arial"/>
          <w:b w:val="false"/>
          <w:bCs w:val="false"/>
          <w:color w:val="333333"/>
          <w:sz w:val="22"/>
          <w:szCs w:val="22"/>
        </w:rPr>
        <w:t xml:space="preserve">why-work-with-consultant.html — Why use a consultant</w:t>
      </w:r>
    </w:p>
    <w:p>
      <w:pPr>
        <w:pStyle w:val="ListParagraph"/>
        <w:numPr>
          <w:ilvl w:val="0"/>
          <w:numId w:val="2"/>
        </w:numPr>
        <w:spacing w:before="40" w:after="40"/>
      </w:pPr>
      <w:r>
        <w:rPr>
          <w:rFonts w:ascii="Arial" w:cs="Arial" w:eastAsia="Arial" w:hAnsi="Arial"/>
          <w:b w:val="false"/>
          <w:bCs w:val="false"/>
          <w:color w:val="333333"/>
          <w:sz w:val="22"/>
          <w:szCs w:val="22"/>
        </w:rPr>
        <w:t xml:space="preserve">blog/blog.html — Blog &amp; News index</w:t>
      </w:r>
    </w:p>
    <w:p>
      <w:pPr>
        <w:spacing w:before="80" w:after="80"/>
      </w:pPr>
      <w:r>
        <w:t xml:space="preserve"/>
      </w:r>
    </w:p>
    <w:p>
      <w:pPr>
        <w:spacing w:before="60" w:after="60"/>
      </w:pPr>
      <w:r>
        <w:rPr>
          <w:rFonts w:ascii="Arial" w:cs="Arial" w:eastAsia="Arial" w:hAnsi="Arial"/>
          <w:color w:val="333333"/>
          <w:sz w:val="22"/>
          <w:szCs w:val="22"/>
        </w:rPr>
        <w:t xml:space="preserve">Official sources used for verification: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canada.ca/immigration-refugees-citizenship (IRCC)</w:t>
      </w:r>
    </w:p>
    <w:p>
      <w:pPr>
        <w:pStyle w:val="ListParagraph"/>
        <w:numPr>
          <w:ilvl w:val="0"/>
          <w:numId w:val="2"/>
        </w:numPr>
        <w:spacing w:before="40" w:after="40"/>
      </w:pPr>
      <w:r>
        <w:rPr>
          <w:rFonts w:ascii="Arial" w:cs="Arial" w:eastAsia="Arial" w:hAnsi="Arial"/>
          <w:b w:val="false"/>
          <w:bCs w:val="false"/>
          <w:color w:val="333333"/>
          <w:sz w:val="22"/>
          <w:szCs w:val="22"/>
        </w:rPr>
        <w:t xml:space="preserve">college-ic.ca (CICC — College of Immigration and Citizenship Consultants)</w:t>
      </w:r>
    </w:p>
    <w:p>
      <w:pPr>
        <w:pStyle w:val="ListParagraph"/>
        <w:numPr>
          <w:ilvl w:val="0"/>
          <w:numId w:val="2"/>
        </w:numPr>
        <w:spacing w:before="40" w:after="40"/>
      </w:pPr>
      <w:r>
        <w:rPr>
          <w:rFonts w:ascii="Arial" w:cs="Arial" w:eastAsia="Arial" w:hAnsi="Arial"/>
          <w:b w:val="false"/>
          <w:bCs w:val="false"/>
          <w:color w:val="333333"/>
          <w:sz w:val="22"/>
          <w:szCs w:val="22"/>
        </w:rPr>
        <w:t xml:space="preserve">canada.ca/canadian-citizenship (IRCC Citizenship pages)</w:t>
      </w:r>
    </w:p>
    <w:p>
      <w:pPr>
        <w:pBdr>
          <w:bottom w:val="single" w:color="CCCCCC" w:sz="4" w:space="1"/>
        </w:pBdr>
        <w:spacing w:before="120" w:after="120"/>
      </w:pPr>
    </w:p>
    <w:p>
      <w:pPr>
        <w:pStyle w:val="Heading1"/>
        <w:spacing w:before="360" w:after="120"/>
      </w:pPr>
      <w:r>
        <w:rPr>
          <w:rFonts w:ascii="Arial" w:cs="Arial" w:eastAsia="Arial" w:hAnsi="Arial"/>
          <w:b/>
          <w:bCs/>
          <w:color w:val="1F3864"/>
          <w:sz w:val="36"/>
          <w:szCs w:val="36"/>
        </w:rPr>
        <w:t xml:space="preserve">2. Issues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why-work-with-consultant.html</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RCIC entry-to-practice exam stated as "over 200 questions" — official CICC sources confirm it is 135 questions.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  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why-work-with-consultant.html</w:t>
            </w:r>
          </w:p>
        </w:tc>
        <w:tc>
          <w:tcPr>
            <w:tcW w:type="dxa" w:w="6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333333"/>
                <w:sz w:val="20"/>
                <w:szCs w:val="20"/>
              </w:rPr>
              <w:t xml:space="preserve">RCIC program described as a "two-year full-time graduate diploma" — the program length varies by institution; it is not universally a two-year program. Some accredited programs are one year.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citizenship-grant.html</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20"/>
                <w:szCs w:val="20"/>
              </w:rPr>
              <w:t xml:space="preserve">Missing: Temporary resident days count as 0.5 days toward physical presence (up to 365 days max). This is a key rule that significantly affects many applicants' eligibility calculations.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citizenship-grant.html</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20"/>
                <w:szCs w:val="20"/>
              </w:rPr>
              <w:t xml:space="preserve">Missing: Applicants must not be inadmissible on criminal or security grounds — an important eligibility requirement not mentioned on the page.</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citizenship-certificate.html</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20"/>
                <w:szCs w:val="20"/>
              </w:rPr>
              <w:t xml:space="preserve">The section on citizenship by descent should note Bill C-71 (2024 Royal Assent), which restored citizenship to certain 'Lost Canadians' affected by the first-generation limit. This is a recent and material change.</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  GAP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index.html</w:t>
            </w:r>
          </w:p>
        </w:tc>
        <w:tc>
          <w:tcPr>
            <w:tcW w:type="dxa" w:w="6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333333"/>
                <w:sz w:val="20"/>
                <w:szCs w:val="20"/>
              </w:rPr>
              <w:t xml:space="preserve">"9+ years of immigration expertise" with "Independent Practice Since 2019" (~6 years) could appear contradictory. Recommend clarifying that the 9+ years refers to total industry experience, while 2019 is when LANA Immigration was founded.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ℹ  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why-work-with-consultant.html</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Heading typo: "### aAdapting the Plan" and "### bChoosing the Right Province" — the lowercase 'a' and 'b' prefixes appear to be formatting artifacts and render visibly on the page.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ℹ  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blog/blog.html</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The contact CTA in the blog footer links to "/blog/contact.html" — this path appears broken as no contact.html exists in the blog subfolder. Should link to the main /contact.html.</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ℹ  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pathway-pnp.html</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The page states job offers are required "in most cases" for PNP — this is accurate overall, but some PNP streams (e.g., Expression of Interest streams) don't require a job offer. A brief clarification would prevent confusion.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ℹ  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pathway-express-entry.html</w:t>
            </w:r>
          </w:p>
        </w:tc>
        <w:tc>
          <w:tcPr>
            <w:tcW w:type="dxa" w:w="6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The page notes bilingual applicants need "French at least CLB 7." This is correct for the Francophone stream, but the French Strong Proficiency draws have been using higher minimums (CLB 9). Worth clarifying the threshold may vary by draw type.</w:t>
            </w:r>
          </w:p>
        </w:tc>
      </w:tr>
    </w:tbl>
    <w:p>
      <w:pPr>
        <w:spacing w:before="80" w:after="80"/>
      </w:pPr>
      <w:r>
        <w:t xml:space="preserve"/>
      </w:r>
    </w:p>
    <w:p>
      <w:pPr>
        <w:pBdr>
          <w:bottom w:val="single" w:color="CCCCCC" w:sz="4" w:space="1"/>
        </w:pBdr>
        <w:spacing w:before="120" w:after="120"/>
      </w:pPr>
    </w:p>
    <w:p>
      <w:pPr>
        <w:pStyle w:val="Heading1"/>
        <w:spacing w:before="360" w:after="120"/>
      </w:pPr>
      <w:r>
        <w:rPr>
          <w:rFonts w:ascii="Arial" w:cs="Arial" w:eastAsia="Arial" w:hAnsi="Arial"/>
          <w:b/>
          <w:bCs/>
          <w:color w:val="1F3864"/>
          <w:sz w:val="36"/>
          <w:szCs w:val="36"/>
        </w:rPr>
        <w:t xml:space="preserve">3. Detailed Findings</w:t>
      </w:r>
    </w:p>
    <w:p>
      <w:pPr>
        <w:pStyle w:val="Heading2"/>
        <w:spacing w:before="240" w:after="80"/>
      </w:pPr>
      <w:r>
        <w:rPr>
          <w:rFonts w:ascii="Arial" w:cs="Arial" w:eastAsia="Arial" w:hAnsi="Arial"/>
          <w:b/>
          <w:bCs/>
          <w:color w:val="C00000"/>
          <w:sz w:val="28"/>
          <w:szCs w:val="28"/>
        </w:rPr>
        <w:t xml:space="preserve">3.1  FACTUAL ERROR — RCIC Exam Question Count</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why-work-with-consultant.html</w:t>
      </w:r>
    </w:p>
    <w:p>
      <w:pPr>
        <w:spacing w:before="80" w:after="80"/>
      </w:pPr>
      <w:r>
        <w:t xml:space="preserve"/>
      </w:r>
    </w:p>
    <w:p>
      <w:pPr>
        <w:spacing w:before="60" w:after="60"/>
      </w:pPr>
      <w:r>
        <w:rPr>
          <w:rFonts w:ascii="Arial" w:cs="Arial" w:eastAsia="Arial" w:hAnsi="Arial"/>
          <w:b/>
          <w:bCs/>
          <w:sz w:val="22"/>
          <w:szCs w:val="22"/>
        </w:rPr>
        <w:t xml:space="preserve">What the site says: </w:t>
      </w:r>
      <w:r>
        <w:rPr>
          <w:rFonts w:ascii="Arial" w:cs="Arial" w:eastAsia="Arial" w:hAnsi="Arial"/>
          <w:i/>
          <w:iCs/>
          <w:sz w:val="22"/>
          <w:szCs w:val="22"/>
        </w:rPr>
        <w:t xml:space="preserve">"...pass a rigorous entry-to-practice exam containing over 200 questions covering every area of Canadian immigration law..."</w:t>
      </w:r>
    </w:p>
    <w:p>
      <w:pPr>
        <w:spacing w:before="80" w:after="80"/>
      </w:pPr>
      <w:r>
        <w:t xml:space="preserve"/>
      </w:r>
    </w:p>
    <w:p>
      <w:pPr>
        <w:spacing w:before="60" w:after="60"/>
      </w:pPr>
      <w:r>
        <w:rPr>
          <w:rFonts w:ascii="Arial" w:cs="Arial" w:eastAsia="Arial" w:hAnsi="Arial"/>
          <w:b/>
          <w:bCs/>
          <w:sz w:val="22"/>
          <w:szCs w:val="22"/>
        </w:rPr>
        <w:t xml:space="preserve">What official sources confirm: </w:t>
      </w:r>
      <w:r>
        <w:rPr>
          <w:rFonts w:ascii="Arial" w:cs="Arial" w:eastAsia="Arial" w:hAnsi="Arial"/>
          <w:sz w:val="22"/>
          <w:szCs w:val="22"/>
        </w:rPr>
        <w:t xml:space="preserve">The CICC Entry-to-Practice Exam (EPE) consists of </w:t>
      </w:r>
      <w:r>
        <w:rPr>
          <w:rFonts w:ascii="Arial" w:cs="Arial" w:eastAsia="Arial" w:hAnsi="Arial"/>
          <w:b/>
          <w:bCs/>
          <w:color w:val="C00000"/>
          <w:sz w:val="22"/>
          <w:szCs w:val="22"/>
        </w:rPr>
        <w:t xml:space="preserve">135 multiple-choice questions</w:t>
      </w:r>
      <w:r>
        <w:rPr>
          <w:rFonts w:ascii="Arial" w:cs="Arial" w:eastAsia="Arial" w:hAnsi="Arial"/>
          <w:sz w:val="22"/>
          <w:szCs w:val="22"/>
        </w:rPr>
        <w:t xml:space="preserve">, administered in a 3-hour closed-book format. This is confirmed by the official CICC Candidate Guide and multiple accredited exam preparation providers (Emond Publishing, CAPIC).</w:t>
      </w:r>
    </w:p>
    <w:p>
      <w:pPr>
        <w:spacing w:before="80" w:after="80"/>
      </w:pPr>
      <w:r>
        <w:t xml:space="preserve"/>
      </w:r>
    </w:p>
    <w:p>
      <w:pPr>
        <w:spacing w:before="60" w:after="60"/>
      </w:pPr>
      <w:r>
        <w:rPr>
          <w:rFonts w:ascii="Arial" w:cs="Arial" w:eastAsia="Arial" w:hAnsi="Arial"/>
          <w:b/>
          <w:bCs/>
          <w:color w:val="C00000"/>
          <w:sz w:val="22"/>
          <w:szCs w:val="22"/>
        </w:rPr>
        <w:t xml:space="preserve">Impact: </w:t>
      </w:r>
      <w:r>
        <w:rPr>
          <w:rFonts w:ascii="Arial" w:cs="Arial" w:eastAsia="Arial" w:hAnsi="Arial"/>
          <w:sz w:val="22"/>
          <w:szCs w:val="22"/>
        </w:rPr>
        <w:t xml:space="preserve">This is a verifiable factual error. Because this page is specifically designed to build trust and credibility, overstating the exam rigor in a way that is factually incorrect could undermine credibility with sophisticated readers or professionals who know the actual exam details.</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Change "over 200 questions" to "135 questions." The rigor of the exam is real and well-documented — accuracy strengthens the point more than exaggeration does.</w:t>
      </w:r>
    </w:p>
    <w:p>
      <w:pPr>
        <w:spacing w:before="80" w:after="80"/>
      </w:pPr>
      <w:r>
        <w:t xml:space="preserve"/>
      </w:r>
    </w:p>
    <w:p>
      <w:pPr>
        <w:pStyle w:val="Heading2"/>
        <w:spacing w:before="240" w:after="80"/>
      </w:pPr>
      <w:r>
        <w:rPr>
          <w:rFonts w:ascii="Arial" w:cs="Arial" w:eastAsia="Arial" w:hAnsi="Arial"/>
          <w:b/>
          <w:bCs/>
          <w:color w:val="E26B0A"/>
          <w:sz w:val="28"/>
          <w:szCs w:val="28"/>
        </w:rPr>
        <w:t xml:space="preserve">3.2  FACTUAL CONCERN — RCIC Program Description</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why-work-with-consultant.html</w:t>
      </w:r>
    </w:p>
    <w:p>
      <w:pPr>
        <w:spacing w:before="80" w:after="80"/>
      </w:pPr>
      <w:r>
        <w:t xml:space="preserve"/>
      </w:r>
    </w:p>
    <w:p>
      <w:pPr>
        <w:spacing w:before="60" w:after="60"/>
      </w:pPr>
      <w:r>
        <w:rPr>
          <w:rFonts w:ascii="Arial" w:cs="Arial" w:eastAsia="Arial" w:hAnsi="Arial"/>
          <w:b/>
          <w:bCs/>
          <w:sz w:val="22"/>
          <w:szCs w:val="22"/>
        </w:rPr>
        <w:t xml:space="preserve">What the site says: </w:t>
      </w:r>
      <w:r>
        <w:rPr>
          <w:rFonts w:ascii="Arial" w:cs="Arial" w:eastAsia="Arial" w:hAnsi="Arial"/>
          <w:i/>
          <w:iCs/>
          <w:sz w:val="22"/>
          <w:szCs w:val="22"/>
        </w:rPr>
        <w:t xml:space="preserve">"Licensed Immigration Consultants (RCICs) complete a dedicated two-year full-time graduate diploma focused entirely on Canadian immigration law..."</w:t>
      </w:r>
    </w:p>
    <w:p>
      <w:pPr>
        <w:spacing w:before="80" w:after="80"/>
      </w:pPr>
      <w:r>
        <w:t xml:space="preserve"/>
      </w:r>
    </w:p>
    <w:p>
      <w:pPr>
        <w:spacing w:before="60" w:after="60"/>
      </w:pPr>
      <w:r>
        <w:rPr>
          <w:rFonts w:ascii="Arial" w:cs="Arial" w:eastAsia="Arial" w:hAnsi="Arial"/>
          <w:b/>
          <w:bCs/>
          <w:sz w:val="22"/>
          <w:szCs w:val="22"/>
        </w:rPr>
        <w:t xml:space="preserve">The concern: </w:t>
      </w:r>
      <w:r>
        <w:rPr>
          <w:rFonts w:ascii="Arial" w:cs="Arial" w:eastAsia="Arial" w:hAnsi="Arial"/>
          <w:sz w:val="22"/>
          <w:szCs w:val="22"/>
        </w:rPr>
        <w:t xml:space="preserve">While the CICC mandates an accredited Immigration Practitioner Program (IPP), the program duration is not uniformly two years across all CICC-approved institutions. Some approved programs are completed in one year. Describing it categorically as "two-year" is an overgeneralization.</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Change to: "...complete a dedicated graduate-level diploma program fully focused on Canadian immigration law, policy, and procedure." This is accurate without over-specifying program length.</w:t>
      </w:r>
    </w:p>
    <w:p>
      <w:pPr>
        <w:spacing w:before="80" w:after="80"/>
      </w:pPr>
      <w:r>
        <w:t xml:space="preserve"/>
      </w:r>
    </w:p>
    <w:p>
      <w:pPr>
        <w:pStyle w:val="Heading2"/>
        <w:spacing w:before="240" w:after="80"/>
      </w:pPr>
      <w:r>
        <w:rPr>
          <w:rFonts w:ascii="Arial" w:cs="Arial" w:eastAsia="Arial" w:hAnsi="Arial"/>
          <w:b/>
          <w:bCs/>
          <w:color w:val="E26B0A"/>
          <w:sz w:val="28"/>
          <w:szCs w:val="28"/>
        </w:rPr>
        <w:t xml:space="preserve">3.3  IMPORTANT GAP — Temporary Resident Days in Citizenship Calculation</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citizenship-grant.html</w:t>
      </w:r>
    </w:p>
    <w:p>
      <w:pPr>
        <w:spacing w:before="80" w:after="80"/>
      </w:pPr>
      <w:r>
        <w:t xml:space="preserve"/>
      </w:r>
    </w:p>
    <w:p>
      <w:pPr>
        <w:spacing w:before="60" w:after="60"/>
      </w:pPr>
      <w:r>
        <w:rPr>
          <w:rFonts w:ascii="Arial" w:cs="Arial" w:eastAsia="Arial" w:hAnsi="Arial"/>
          <w:color w:val="333333"/>
          <w:sz w:val="22"/>
          <w:szCs w:val="22"/>
        </w:rPr>
        <w:t xml:space="preserve">The page correctly states the 1,095-day physical presence requirement in the last 5 years. However, it does not mention a critically important rule under the Citizenship Act: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E26B0A"/>
                <w:sz w:val="22"/>
                <w:szCs w:val="22"/>
              </w:rPr>
              <w:t xml:space="preserve">Official IRCC Rule (canada.ca):</w:t>
            </w:r>
          </w:p>
          <w:p>
            <w:pPr>
              <w:spacing w:before="80" w:after="80"/>
            </w:pPr>
            <w:r>
              <w:t xml:space="preserve"/>
            </w:r>
          </w:p>
          <w:p>
            <w:r>
              <w:rPr>
                <w:rFonts w:ascii="Arial" w:cs="Arial" w:eastAsia="Arial" w:hAnsi="Arial"/>
                <w:sz w:val="22"/>
                <w:szCs w:val="22"/>
              </w:rPr>
              <w:t xml:space="preserve">Days spent in Canada as a temporary resident or protected person (before becoming a permanent resident) count as 0.5 days each toward physical presence — up to a maximum credit of 365 days.</w:t>
            </w:r>
          </w:p>
        </w:tc>
      </w:tr>
    </w:tbl>
    <w:p>
      <w:pPr>
        <w:spacing w:before="80" w:after="80"/>
      </w:pPr>
      <w:r>
        <w:t xml:space="preserve"/>
      </w:r>
    </w:p>
    <w:p>
      <w:pPr>
        <w:spacing w:before="60" w:after="60"/>
      </w:pPr>
      <w:r>
        <w:rPr>
          <w:rFonts w:ascii="Arial" w:cs="Arial" w:eastAsia="Arial" w:hAnsi="Arial"/>
          <w:color w:val="333333"/>
          <w:sz w:val="22"/>
          <w:szCs w:val="22"/>
        </w:rPr>
        <w:t xml:space="preserve">This rule is highly relevant for international graduates, former temporary foreign workers, and many other typical clients of an immigration firm. Omitting it means applicants may incorrectly calculate their own eligibility — or may not realize they qualify sooner than expected.</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a note such as: "Note: Days spent in Canada as a temporary resident or protected person before becoming a PR count as half-days (0.5), up to a maximum of 365 credited days. This means some applicants may qualify sooner than they expect."</w:t>
      </w:r>
    </w:p>
    <w:p>
      <w:pPr>
        <w:spacing w:before="80" w:after="80"/>
      </w:pPr>
      <w:r>
        <w:t xml:space="preserve"/>
      </w:r>
    </w:p>
    <w:p>
      <w:pPr>
        <w:pStyle w:val="Heading2"/>
        <w:spacing w:before="240" w:after="80"/>
      </w:pPr>
      <w:r>
        <w:rPr>
          <w:rFonts w:ascii="Arial" w:cs="Arial" w:eastAsia="Arial" w:hAnsi="Arial"/>
          <w:b/>
          <w:bCs/>
          <w:color w:val="E26B0A"/>
          <w:sz w:val="28"/>
          <w:szCs w:val="28"/>
        </w:rPr>
        <w:t xml:space="preserve">3.4  IMPORTANT GAP — Inadmissibility Requirement Missing from Citizenship Page</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citizenship-grant.html</w:t>
      </w:r>
    </w:p>
    <w:p>
      <w:pPr>
        <w:spacing w:before="80" w:after="80"/>
      </w:pPr>
      <w:r>
        <w:t xml:space="preserve"/>
      </w:r>
    </w:p>
    <w:p>
      <w:pPr>
        <w:spacing w:before="60" w:after="60"/>
      </w:pPr>
      <w:r>
        <w:rPr>
          <w:rFonts w:ascii="Arial" w:cs="Arial" w:eastAsia="Arial" w:hAnsi="Arial"/>
          <w:color w:val="333333"/>
          <w:sz w:val="22"/>
          <w:szCs w:val="22"/>
        </w:rPr>
        <w:t xml:space="preserve">The eligibility criteria listed on this page include PR status, physical presence, tax filing, language, and the citizenship test. However, a key statutory requirement is missing:</w:t>
      </w:r>
    </w:p>
    <w:p>
      <w:pPr>
        <w:pStyle w:val="ListParagraph"/>
        <w:numPr>
          <w:ilvl w:val="0"/>
          <w:numId w:val="2"/>
        </w:numPr>
        <w:spacing w:before="40" w:after="40"/>
      </w:pPr>
      <w:r>
        <w:rPr>
          <w:rFonts w:ascii="Arial" w:cs="Arial" w:eastAsia="Arial" w:hAnsi="Arial"/>
          <w:b w:val="false"/>
          <w:bCs w:val="false"/>
          <w:color w:val="333333"/>
          <w:sz w:val="22"/>
          <w:szCs w:val="22"/>
        </w:rPr>
        <w:t xml:space="preserve">The applicant must not be under a removal order (mentioned) — ✓</w:t>
      </w:r>
    </w:p>
    <w:p>
      <w:pPr>
        <w:pStyle w:val="ListParagraph"/>
        <w:numPr>
          <w:ilvl w:val="0"/>
          <w:numId w:val="2"/>
        </w:numPr>
        <w:spacing w:before="40" w:after="40"/>
      </w:pPr>
      <w:r>
        <w:rPr>
          <w:rFonts w:ascii="Arial" w:cs="Arial" w:eastAsia="Arial" w:hAnsi="Arial"/>
          <w:b w:val="false"/>
          <w:bCs w:val="false"/>
          <w:color w:val="333333"/>
          <w:sz w:val="22"/>
          <w:szCs w:val="22"/>
        </w:rPr>
        <w:t xml:space="preserve">The applicant must NOT be inadmissible on criminal or security grounds — ✗ NOT mentioned</w:t>
      </w:r>
    </w:p>
    <w:p>
      <w:pPr>
        <w:spacing w:before="80" w:after="80"/>
      </w:pPr>
      <w:r>
        <w:t xml:space="preserve"/>
      </w:r>
    </w:p>
    <w:p>
      <w:pPr>
        <w:spacing w:before="60" w:after="60"/>
      </w:pPr>
      <w:r>
        <w:rPr>
          <w:rFonts w:ascii="Arial" w:cs="Arial" w:eastAsia="Arial" w:hAnsi="Arial"/>
          <w:color w:val="333333"/>
          <w:sz w:val="22"/>
          <w:szCs w:val="22"/>
        </w:rPr>
        <w:t xml:space="preserve">This includes prohibitions for those serving sentences, under charges, on probation, or prohibited under the Citizenship Act for national security reasons. While it applies to a smaller subset of applicants, it is part of the official eligibility criteria and should be included for completeness and legal accuracy.</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a point: "Must not be prohibited on criminal or security grounds under the Citizenship Act."</w:t>
      </w:r>
    </w:p>
    <w:p>
      <w:pPr>
        <w:spacing w:before="80" w:after="80"/>
      </w:pPr>
      <w:r>
        <w:t xml:space="preserve"/>
      </w:r>
    </w:p>
    <w:p>
      <w:pPr>
        <w:pStyle w:val="Heading2"/>
        <w:spacing w:before="240" w:after="80"/>
      </w:pPr>
      <w:r>
        <w:rPr>
          <w:rFonts w:ascii="Arial" w:cs="Arial" w:eastAsia="Arial" w:hAnsi="Arial"/>
          <w:b/>
          <w:bCs/>
          <w:color w:val="E26B0A"/>
          <w:sz w:val="28"/>
          <w:szCs w:val="28"/>
        </w:rPr>
        <w:t xml:space="preserve">3.5  IMPORTANT GAP — Bill C-71 and Citizenship by Descent</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citizenship-certificate.html</w:t>
      </w:r>
    </w:p>
    <w:p>
      <w:pPr>
        <w:spacing w:before="80" w:after="80"/>
      </w:pPr>
      <w:r>
        <w:t xml:space="preserve"/>
      </w:r>
    </w:p>
    <w:p>
      <w:pPr>
        <w:spacing w:before="60" w:after="60"/>
      </w:pPr>
      <w:r>
        <w:rPr>
          <w:rFonts w:ascii="Arial" w:cs="Arial" w:eastAsia="Arial" w:hAnsi="Arial"/>
          <w:color w:val="333333"/>
          <w:sz w:val="22"/>
          <w:szCs w:val="22"/>
        </w:rPr>
        <w:t xml:space="preserve">The page correctly explains that Canadian citizenship by descent is generally limited to one generation born outside Canada. However, it does not mention a significant 2024 legislative development: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E26B0A"/>
                <w:sz w:val="22"/>
                <w:szCs w:val="22"/>
              </w:rPr>
              <w:t xml:space="preserve">Bill C-71 — An Act to Amend the Citizenship Act (received Royal Assent: June 2024):</w:t>
            </w:r>
          </w:p>
          <w:p>
            <w:pPr>
              <w:spacing w:before="80" w:after="80"/>
            </w:pPr>
            <w:r>
              <w:t xml:space="preserve"/>
            </w:r>
          </w:p>
          <w:p>
            <w:r>
              <w:rPr>
                <w:rFonts w:ascii="Arial" w:cs="Arial" w:eastAsia="Arial" w:hAnsi="Arial"/>
                <w:sz w:val="22"/>
                <w:szCs w:val="22"/>
              </w:rPr>
              <w:t xml:space="preserve">This legislation restored Canadian citizenship to a broad class of "Lost Canadians" — people (and their descendants) who lost citizenship or were excluded due to the first-generation limit and related provisions. Some individuals who thought they were ineligible may now qualify.</w:t>
            </w:r>
          </w:p>
        </w:tc>
      </w:tr>
    </w:tbl>
    <w:p>
      <w:pPr>
        <w:spacing w:before="80" w:after="80"/>
      </w:pPr>
      <w:r>
        <w:t xml:space="preserve"/>
      </w:r>
    </w:p>
    <w:p>
      <w:pPr>
        <w:spacing w:before="60" w:after="60"/>
      </w:pPr>
      <w:r>
        <w:rPr>
          <w:rFonts w:ascii="Arial" w:cs="Arial" w:eastAsia="Arial" w:hAnsi="Arial"/>
          <w:color w:val="333333"/>
          <w:sz w:val="22"/>
          <w:szCs w:val="22"/>
        </w:rPr>
        <w:t xml:space="preserve">The page's current framing ("Canadian citizenship by descent is limited to one generation") is no longer wholly accurate without this important caveat.</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a note referencing the 2024 Citizenship Act amendments. Even a brief mention ("Note: Recent changes to the Citizenship Act may affect eligibility for some individuals — contact us for an assessment") would significantly improve accuracy.</w:t>
      </w:r>
    </w:p>
    <w:p>
      <w:pPr>
        <w:spacing w:before="80" w:after="80"/>
      </w:pPr>
      <w:r>
        <w:t xml:space="preserve"/>
      </w:r>
    </w:p>
    <w:p>
      <w:pPr>
        <w:pStyle w:val="Heading2"/>
        <w:spacing w:before="240" w:after="80"/>
      </w:pPr>
      <w:r>
        <w:rPr>
          <w:rFonts w:ascii="Arial" w:cs="Arial" w:eastAsia="Arial" w:hAnsi="Arial"/>
          <w:b/>
          <w:bCs/>
          <w:color w:val="555555"/>
          <w:sz w:val="28"/>
          <w:szCs w:val="28"/>
        </w:rPr>
        <w:t xml:space="preserve">3.6  CLARITY — "9+ Years" vs. "Founded 2019"</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index.html (Homepage)</w:t>
      </w:r>
    </w:p>
    <w:p>
      <w:pPr>
        <w:spacing w:before="80" w:after="80"/>
      </w:pPr>
      <w:r>
        <w:t xml:space="preserve"/>
      </w:r>
    </w:p>
    <w:p>
      <w:pPr>
        <w:spacing w:before="60" w:after="60"/>
      </w:pPr>
      <w:r>
        <w:rPr>
          <w:rFonts w:ascii="Arial" w:cs="Arial" w:eastAsia="Arial" w:hAnsi="Arial"/>
          <w:color w:val="333333"/>
          <w:sz w:val="22"/>
          <w:szCs w:val="22"/>
        </w:rPr>
        <w:t xml:space="preserve">The homepage simultaneously displays:</w:t>
      </w:r>
    </w:p>
    <w:p>
      <w:pPr>
        <w:pStyle w:val="ListParagraph"/>
        <w:numPr>
          <w:ilvl w:val="0"/>
          <w:numId w:val="2"/>
        </w:numPr>
        <w:spacing w:before="40" w:after="40"/>
      </w:pPr>
      <w:r>
        <w:rPr>
          <w:rFonts w:ascii="Arial" w:cs="Arial" w:eastAsia="Arial" w:hAnsi="Arial"/>
          <w:b w:val="false"/>
          <w:bCs w:val="false"/>
          <w:color w:val="333333"/>
          <w:sz w:val="22"/>
          <w:szCs w:val="22"/>
        </w:rPr>
        <w:t xml:space="preserve">"Over 9 years of immigration expertise" (in the hero section)</w:t>
      </w:r>
    </w:p>
    <w:p>
      <w:pPr>
        <w:pStyle w:val="ListParagraph"/>
        <w:numPr>
          <w:ilvl w:val="0"/>
          <w:numId w:val="2"/>
        </w:numPr>
        <w:spacing w:before="40" w:after="40"/>
      </w:pPr>
      <w:r>
        <w:rPr>
          <w:rFonts w:ascii="Arial" w:cs="Arial" w:eastAsia="Arial" w:hAnsi="Arial"/>
          <w:b w:val="false"/>
          <w:bCs w:val="false"/>
          <w:color w:val="333333"/>
          <w:sz w:val="22"/>
          <w:szCs w:val="22"/>
        </w:rPr>
        <w:t xml:space="preserve">"Independent Practice Since 2019" (in the stats bar)</w:t>
      </w:r>
    </w:p>
    <w:p>
      <w:pPr>
        <w:spacing w:before="80" w:after="80"/>
      </w:pPr>
      <w:r>
        <w:t xml:space="preserve"/>
      </w:r>
    </w:p>
    <w:p>
      <w:pPr>
        <w:spacing w:before="60" w:after="60"/>
      </w:pPr>
      <w:r>
        <w:rPr>
          <w:rFonts w:ascii="Arial" w:cs="Arial" w:eastAsia="Arial" w:hAnsi="Arial"/>
          <w:color w:val="333333"/>
          <w:sz w:val="22"/>
          <w:szCs w:val="22"/>
        </w:rPr>
        <w:t xml:space="preserve">Since 2019 to 2026 is approximately 7 years, a reader may be confused: If she founded the practice in 2019, how does she have 9+ years of expertise? The answer is almost certainly that Svetlana worked in immigration before founding LANA Immigration — but this is not explained anywhere on the homepage or About section.</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brief clarifying language such as "with 9+ years of immigration experience, including [X years] prior to founding LANA Immigration in 2019." This turns a potential credibility concern into a strength.</w:t>
      </w:r>
    </w:p>
    <w:p>
      <w:pPr>
        <w:spacing w:before="80" w:after="80"/>
      </w:pPr>
      <w:r>
        <w:t xml:space="preserve"/>
      </w:r>
    </w:p>
    <w:p>
      <w:pPr>
        <w:pStyle w:val="Heading2"/>
        <w:spacing w:before="240" w:after="80"/>
      </w:pPr>
      <w:r>
        <w:rPr>
          <w:rFonts w:ascii="Arial" w:cs="Arial" w:eastAsia="Arial" w:hAnsi="Arial"/>
          <w:b/>
          <w:bCs/>
          <w:color w:val="555555"/>
          <w:sz w:val="28"/>
          <w:szCs w:val="28"/>
        </w:rPr>
        <w:t xml:space="preserve">3.7  MINOR — Heading Formatting Artifacts</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why-work-with-consultant.html</w:t>
      </w:r>
    </w:p>
    <w:p>
      <w:pPr>
        <w:spacing w:before="80" w:after="80"/>
      </w:pPr>
      <w:r>
        <w:t xml:space="preserve"/>
      </w:r>
    </w:p>
    <w:p>
      <w:pPr>
        <w:spacing w:before="60" w:after="60"/>
      </w:pPr>
      <w:r>
        <w:rPr>
          <w:rFonts w:ascii="Arial" w:cs="Arial" w:eastAsia="Arial" w:hAnsi="Arial"/>
          <w:color w:val="333333"/>
          <w:sz w:val="22"/>
          <w:szCs w:val="22"/>
        </w:rPr>
        <w:t xml:space="preserve">Two section subheadings in Section 2 visibly render as:</w:t>
      </w:r>
    </w:p>
    <w:p>
      <w:pPr>
        <w:pStyle w:val="ListParagraph"/>
        <w:numPr>
          <w:ilvl w:val="0"/>
          <w:numId w:val="2"/>
        </w:numPr>
        <w:spacing w:before="40" w:after="40"/>
      </w:pPr>
      <w:r>
        <w:rPr>
          <w:rFonts w:ascii="Arial" w:cs="Arial" w:eastAsia="Arial" w:hAnsi="Arial"/>
          <w:b w:val="false"/>
          <w:bCs w:val="false"/>
          <w:color w:val="333333"/>
          <w:sz w:val="22"/>
          <w:szCs w:val="22"/>
        </w:rPr>
        <w:t xml:space="preserve">"aAdapting the Plan as Programs Change" (should be: "Adapting the Plan as Programs Change")</w:t>
      </w:r>
    </w:p>
    <w:p>
      <w:pPr>
        <w:pStyle w:val="ListParagraph"/>
        <w:numPr>
          <w:ilvl w:val="0"/>
          <w:numId w:val="2"/>
        </w:numPr>
        <w:spacing w:before="40" w:after="40"/>
      </w:pPr>
      <w:r>
        <w:rPr>
          <w:rFonts w:ascii="Arial" w:cs="Arial" w:eastAsia="Arial" w:hAnsi="Arial"/>
          <w:b w:val="false"/>
          <w:bCs w:val="false"/>
          <w:color w:val="333333"/>
          <w:sz w:val="22"/>
          <w:szCs w:val="22"/>
        </w:rPr>
        <w:t xml:space="preserve">"bChoosing the Right Province From the Start" (should be: "Choosing the Right Province From the Start")</w:t>
      </w:r>
    </w:p>
    <w:p>
      <w:pPr>
        <w:spacing w:before="80" w:after="80"/>
      </w:pPr>
      <w:r>
        <w:t xml:space="preserve"/>
      </w:r>
    </w:p>
    <w:p>
      <w:pPr>
        <w:spacing w:before="60" w:after="60"/>
      </w:pPr>
      <w:r>
        <w:rPr>
          <w:rFonts w:ascii="Arial" w:cs="Arial" w:eastAsia="Arial" w:hAnsi="Arial"/>
          <w:color w:val="333333"/>
          <w:sz w:val="22"/>
          <w:szCs w:val="22"/>
        </w:rPr>
        <w:t xml:space="preserve">These are clearly formatting artifacts from the internal outline structure leaking into the visible heading text. They appear across all four language versions (EN, FR, RU, HE) of the page.</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Remove the lowercase 'a' and 'b' prefixes from both heading text strings in all four language blocks.</w:t>
      </w:r>
    </w:p>
    <w:p>
      <w:pPr>
        <w:spacing w:before="80" w:after="80"/>
      </w:pPr>
      <w:r>
        <w:t xml:space="preserve"/>
      </w:r>
    </w:p>
    <w:p>
      <w:pPr>
        <w:pStyle w:val="Heading2"/>
        <w:spacing w:before="240" w:after="80"/>
      </w:pPr>
      <w:r>
        <w:rPr>
          <w:rFonts w:ascii="Arial" w:cs="Arial" w:eastAsia="Arial" w:hAnsi="Arial"/>
          <w:b/>
          <w:bCs/>
          <w:color w:val="555555"/>
          <w:sz w:val="28"/>
          <w:szCs w:val="28"/>
        </w:rPr>
        <w:t xml:space="preserve">3.8  MINOR — Broken Contact Link in Blog</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blog/blog.html</w:t>
      </w:r>
    </w:p>
    <w:p>
      <w:pPr>
        <w:spacing w:before="80" w:after="80"/>
      </w:pPr>
      <w:r>
        <w:t xml:space="preserve"/>
      </w:r>
    </w:p>
    <w:p>
      <w:pPr>
        <w:spacing w:before="60" w:after="60"/>
      </w:pPr>
      <w:r>
        <w:rPr>
          <w:rFonts w:ascii="Arial" w:cs="Arial" w:eastAsia="Arial" w:hAnsi="Arial"/>
          <w:color w:val="333333"/>
          <w:sz w:val="22"/>
          <w:szCs w:val="22"/>
        </w:rPr>
        <w:t xml:space="preserve">The call-to-action at the bottom of the blog index links to:</w:t>
      </w:r>
    </w:p>
    <w:p>
      <w:pPr>
        <w:pStyle w:val="ListParagraph"/>
        <w:numPr>
          <w:ilvl w:val="0"/>
          <w:numId w:val="2"/>
        </w:numPr>
        <w:spacing w:before="40" w:after="40"/>
      </w:pPr>
      <w:r>
        <w:rPr>
          <w:rFonts w:ascii="Arial" w:cs="Arial" w:eastAsia="Arial" w:hAnsi="Arial"/>
          <w:b w:val="false"/>
          <w:bCs w:val="false"/>
          <w:color w:val="333333"/>
          <w:sz w:val="22"/>
          <w:szCs w:val="22"/>
        </w:rPr>
        <w:t xml:space="preserve">/lanacanada/blog/contact.html  ← Does not exist</w:t>
      </w:r>
    </w:p>
    <w:p>
      <w:pPr>
        <w:spacing w:before="80" w:after="80"/>
      </w:pPr>
      <w:r>
        <w:t xml:space="preserve"/>
      </w:r>
    </w:p>
    <w:p>
      <w:pPr>
        <w:spacing w:before="60" w:after="60"/>
      </w:pPr>
      <w:r>
        <w:rPr>
          <w:rFonts w:ascii="Arial" w:cs="Arial" w:eastAsia="Arial" w:hAnsi="Arial"/>
          <w:color w:val="333333"/>
          <w:sz w:val="22"/>
          <w:szCs w:val="22"/>
        </w:rPr>
        <w:t xml:space="preserve">All other contact links throughout the site correctly point to /lanacanada/contact.html. This link is broken for all four language versions of the blog page.</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Change href to "../contact.html" or the full path "/lanacanada/contact.html" in all four language blocks on blog/blog.html.</w:t>
      </w:r>
    </w:p>
    <w:p>
      <w:pPr>
        <w:spacing w:before="80" w:after="80"/>
      </w:pPr>
      <w:r>
        <w:t xml:space="preserve"/>
      </w:r>
    </w:p>
    <w:p>
      <w:pPr>
        <w:pStyle w:val="Heading2"/>
        <w:spacing w:before="240" w:after="80"/>
      </w:pPr>
      <w:r>
        <w:rPr>
          <w:rFonts w:ascii="Arial" w:cs="Arial" w:eastAsia="Arial" w:hAnsi="Arial"/>
          <w:b/>
          <w:bCs/>
          <w:color w:val="555555"/>
          <w:sz w:val="28"/>
          <w:szCs w:val="28"/>
        </w:rPr>
        <w:t xml:space="preserve">3.9  MINOR — PNP Job Offer Requirement Nuance</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pathway-pnp.html</w:t>
      </w:r>
    </w:p>
    <w:p>
      <w:pPr>
        <w:spacing w:before="80" w:after="80"/>
      </w:pPr>
      <w:r>
        <w:t xml:space="preserve"/>
      </w:r>
    </w:p>
    <w:p>
      <w:pPr>
        <w:spacing w:before="60" w:after="60"/>
      </w:pPr>
      <w:r>
        <w:rPr>
          <w:rFonts w:ascii="Arial" w:cs="Arial" w:eastAsia="Arial" w:hAnsi="Arial"/>
          <w:color w:val="333333"/>
          <w:sz w:val="22"/>
          <w:szCs w:val="22"/>
        </w:rPr>
        <w:t xml:space="preserve">The page states: "In most cases, the applicant must have a valid job offer from a local employer. This is a key difference compared to Express Entry, where a job offer is not always required."</w:t>
      </w:r>
    </w:p>
    <w:p>
      <w:pPr>
        <w:spacing w:before="80" w:after="80"/>
      </w:pPr>
      <w:r>
        <w:t xml:space="preserve"/>
      </w:r>
    </w:p>
    <w:p>
      <w:pPr>
        <w:spacing w:before="60" w:after="60"/>
      </w:pPr>
      <w:r>
        <w:rPr>
          <w:rFonts w:ascii="Arial" w:cs="Arial" w:eastAsia="Arial" w:hAnsi="Arial"/>
          <w:color w:val="333333"/>
          <w:sz w:val="22"/>
          <w:szCs w:val="22"/>
        </w:rPr>
        <w:t xml:space="preserve">While the caveat "in most cases" is present, the emphasis could mislead readers who might qualify through streams that don't require a job offer — for example:</w:t>
      </w:r>
    </w:p>
    <w:p>
      <w:pPr>
        <w:pStyle w:val="ListParagraph"/>
        <w:numPr>
          <w:ilvl w:val="0"/>
          <w:numId w:val="2"/>
        </w:numPr>
        <w:spacing w:before="40" w:after="40"/>
      </w:pPr>
      <w:r>
        <w:rPr>
          <w:rFonts w:ascii="Arial" w:cs="Arial" w:eastAsia="Arial" w:hAnsi="Arial"/>
          <w:b w:val="false"/>
          <w:bCs w:val="false"/>
          <w:color w:val="333333"/>
          <w:sz w:val="22"/>
          <w:szCs w:val="22"/>
        </w:rPr>
        <w:t xml:space="preserve">Ontario's Human Capital Priorities stream (Express Entry-linked, no job offer)</w:t>
      </w:r>
    </w:p>
    <w:p>
      <w:pPr>
        <w:pStyle w:val="ListParagraph"/>
        <w:numPr>
          <w:ilvl w:val="0"/>
          <w:numId w:val="2"/>
        </w:numPr>
        <w:spacing w:before="40" w:after="40"/>
      </w:pPr>
      <w:r>
        <w:rPr>
          <w:rFonts w:ascii="Arial" w:cs="Arial" w:eastAsia="Arial" w:hAnsi="Arial"/>
          <w:b w:val="false"/>
          <w:bCs w:val="false"/>
          <w:color w:val="333333"/>
          <w:sz w:val="22"/>
          <w:szCs w:val="22"/>
        </w:rPr>
        <w:t xml:space="preserve">BC PNP Skills Immigration: Express Entry BC (various NOC streams, no job offer required)</w:t>
      </w:r>
    </w:p>
    <w:p>
      <w:pPr>
        <w:pStyle w:val="ListParagraph"/>
        <w:numPr>
          <w:ilvl w:val="0"/>
          <w:numId w:val="2"/>
        </w:numPr>
        <w:spacing w:before="40" w:after="40"/>
      </w:pPr>
      <w:r>
        <w:rPr>
          <w:rFonts w:ascii="Arial" w:cs="Arial" w:eastAsia="Arial" w:hAnsi="Arial"/>
          <w:b w:val="false"/>
          <w:bCs w:val="false"/>
          <w:color w:val="333333"/>
          <w:sz w:val="22"/>
          <w:szCs w:val="22"/>
        </w:rPr>
        <w:t xml:space="preserve">Several Francophone Mobility streams</w:t>
      </w:r>
    </w:p>
    <w:p>
      <w:pPr>
        <w:spacing w:before="80" w:after="80"/>
      </w:pPr>
      <w:r>
        <w:t xml:space="preserve"/>
      </w:r>
    </w:p>
    <w:p>
      <w:pPr>
        <w:spacing w:before="60" w:after="60"/>
      </w:pPr>
      <w:r>
        <w:rPr>
          <w:rFonts w:ascii="Arial" w:cs="Arial" w:eastAsia="Arial" w:hAnsi="Arial"/>
          <w:color w:val="333333"/>
          <w:sz w:val="22"/>
          <w:szCs w:val="22"/>
        </w:rPr>
        <w:t xml:space="preserve">The page isn't wrong, but a stronger clarification would improve accuracy and potentially capture more potential clients who may self-disqualify.</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a sentence: "Some PNP streams, particularly those aligned with Express Entry, do not require a job offer. A licensed consultant can assess which streams are available without one."</w:t>
      </w:r>
    </w:p>
    <w:p>
      <w:pPr>
        <w:spacing w:before="80" w:after="80"/>
      </w:pPr>
      <w:r>
        <w:t xml:space="preserve"/>
      </w:r>
    </w:p>
    <w:p>
      <w:pPr>
        <w:pStyle w:val="Heading2"/>
        <w:spacing w:before="240" w:after="80"/>
      </w:pPr>
      <w:r>
        <w:rPr>
          <w:rFonts w:ascii="Arial" w:cs="Arial" w:eastAsia="Arial" w:hAnsi="Arial"/>
          <w:b/>
          <w:bCs/>
          <w:color w:val="555555"/>
          <w:sz w:val="28"/>
          <w:szCs w:val="28"/>
        </w:rPr>
        <w:t xml:space="preserve">3.10  MINOR — French Language CLB Threshold Precision</w:t>
      </w:r>
    </w:p>
    <w:p>
      <w:pPr>
        <w:spacing w:before="60" w:after="60"/>
      </w:pPr>
      <w:r>
        <w:rPr>
          <w:rFonts w:ascii="Arial" w:cs="Arial" w:eastAsia="Arial" w:hAnsi="Arial"/>
          <w:b/>
          <w:bCs/>
          <w:sz w:val="22"/>
          <w:szCs w:val="22"/>
        </w:rPr>
        <w:t xml:space="preserve">Page: </w:t>
      </w:r>
      <w:r>
        <w:rPr>
          <w:rFonts w:ascii="Arial" w:cs="Arial" w:eastAsia="Arial" w:hAnsi="Arial"/>
          <w:color w:val="1F3864"/>
          <w:sz w:val="22"/>
          <w:szCs w:val="22"/>
        </w:rPr>
        <w:t xml:space="preserve">pathway-express-entry.html</w:t>
      </w:r>
    </w:p>
    <w:p>
      <w:pPr>
        <w:spacing w:before="80" w:after="80"/>
      </w:pPr>
      <w:r>
        <w:t xml:space="preserve"/>
      </w:r>
    </w:p>
    <w:p>
      <w:pPr>
        <w:spacing w:before="60" w:after="60"/>
      </w:pPr>
      <w:r>
        <w:rPr>
          <w:rFonts w:ascii="Arial" w:cs="Arial" w:eastAsia="Arial" w:hAnsi="Arial"/>
          <w:color w:val="333333"/>
          <w:sz w:val="22"/>
          <w:szCs w:val="22"/>
        </w:rPr>
        <w:t xml:space="preserve">The page states: "French at least CLB 7 — Bilingual draws frequently prioritized."</w:t>
      </w:r>
    </w:p>
    <w:p>
      <w:pPr>
        <w:spacing w:before="80" w:after="80"/>
      </w:pPr>
      <w:r>
        <w:t xml:space="preserve"/>
      </w:r>
    </w:p>
    <w:p>
      <w:pPr>
        <w:spacing w:before="60" w:after="60"/>
      </w:pPr>
      <w:r>
        <w:rPr>
          <w:rFonts w:ascii="Arial" w:cs="Arial" w:eastAsia="Arial" w:hAnsi="Arial"/>
          <w:color w:val="333333"/>
          <w:sz w:val="22"/>
          <w:szCs w:val="22"/>
        </w:rPr>
        <w:t xml:space="preserve">CLB 7 is the minimum to enter the French category draw pool, which is accurate. However, the French Strong Proficiency category (introduced in 2023) targets applicants with significantly higher French levels (CLB 9+), and has been issuing draws with lower CRS cutoffs in exchange for that higher language requirement. The CLB 7 reference is not incorrect but could create the impression that CLB 7 is always sufficient to benefit from French priority draws.</w:t>
      </w:r>
    </w:p>
    <w:p>
      <w:pPr>
        <w:spacing w:before="60" w:after="60"/>
      </w:pPr>
      <w:r>
        <w:rPr>
          <w:rFonts w:ascii="Arial" w:cs="Arial" w:eastAsia="Arial" w:hAnsi="Arial"/>
          <w:b/>
          <w:bCs/>
          <w:color w:val="375623"/>
          <w:sz w:val="22"/>
          <w:szCs w:val="22"/>
        </w:rPr>
        <w:t xml:space="preserve">Recommendation: </w:t>
      </w:r>
      <w:r>
        <w:rPr>
          <w:rFonts w:ascii="Arial" w:cs="Arial" w:eastAsia="Arial" w:hAnsi="Arial"/>
          <w:sz w:val="22"/>
          <w:szCs w:val="22"/>
        </w:rPr>
        <w:t xml:space="preserve">Add a note: "French CLB 7 enables entry into bilingual draws; higher proficiency (CLB 9+) may qualify for even more advantageous category-based draws."</w:t>
      </w:r>
    </w:p>
    <w:p>
      <w:pPr>
        <w:spacing w:before="80" w:after="80"/>
      </w:pPr>
      <w:r>
        <w:t xml:space="preserve"/>
      </w:r>
    </w:p>
    <w:p>
      <w:pPr>
        <w:pBdr>
          <w:bottom w:val="single" w:color="CCCCCC" w:sz="4" w:space="1"/>
        </w:pBdr>
        <w:spacing w:before="120" w:after="120"/>
      </w:pPr>
    </w:p>
    <w:p>
      <w:pPr>
        <w:pStyle w:val="Heading1"/>
        <w:spacing w:before="360" w:after="120"/>
      </w:pPr>
      <w:r>
        <w:rPr>
          <w:rFonts w:ascii="Arial" w:cs="Arial" w:eastAsia="Arial" w:hAnsi="Arial"/>
          <w:b/>
          <w:bCs/>
          <w:color w:val="1F3864"/>
          <w:sz w:val="36"/>
          <w:szCs w:val="36"/>
        </w:rPr>
        <w:t xml:space="preserve">4. What the Site Gets Right</w:t>
      </w:r>
    </w:p>
    <w:p>
      <w:pPr>
        <w:spacing w:before="60" w:after="60"/>
      </w:pPr>
      <w:r>
        <w:rPr>
          <w:rFonts w:ascii="Arial" w:cs="Arial" w:eastAsia="Arial" w:hAnsi="Arial"/>
          <w:color w:val="333333"/>
          <w:sz w:val="22"/>
          <w:szCs w:val="22"/>
        </w:rPr>
        <w:t xml:space="preserve">The following key claims were verified against official government sources and found to be accurate: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Citizenship physical presence: 1,095 days (3 years) in the last 5 years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Language requirement for citizenship: CLB 4, for ages 18–54 only</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Citizenship test required for ages 18–54 (not under 18 or 55+)</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filing required for 3 of the 5 years before applying</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Express Entry manages FSW, FST, and CEC programs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PNP nomination adds significant CRS points in Express Entry</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IRCC (600 points)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Quebec has its own separate immigration system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Atlantic provinces: Nova Scotia, NB, PEI, Newfoundland &amp; Labrador</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CICC public register exists and is free to search</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college-ic.ca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RCIC must complete ongoing professional development (CPD)</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CICC regulations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Citizenship grant involves Oath of Citizenship + certificate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canada.ca</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Citizens can vote in federal and provincial elections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Canada Elections Act</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RCIC authorized to represent clients before IRCC (same as lawyers)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Confirmed — IRPA s.91</w:t>
            </w:r>
          </w:p>
        </w:tc>
      </w:tr>
    </w:tbl>
    <w:p>
      <w:pPr>
        <w:spacing w:before="80" w:after="80"/>
      </w:pPr>
      <w:r>
        <w:t xml:space="preserve"/>
      </w:r>
    </w:p>
    <w:p>
      <w:pPr>
        <w:pBdr>
          <w:bottom w:val="single" w:color="CCCCCC" w:sz="4" w:space="1"/>
        </w:pBdr>
        <w:spacing w:before="120" w:after="120"/>
      </w:pPr>
    </w:p>
    <w:p>
      <w:pPr>
        <w:pStyle w:val="Heading1"/>
        <w:spacing w:before="360" w:after="120"/>
      </w:pPr>
      <w:r>
        <w:rPr>
          <w:rFonts w:ascii="Arial" w:cs="Arial" w:eastAsia="Arial" w:hAnsi="Arial"/>
          <w:b/>
          <w:bCs/>
          <w:color w:val="1F3864"/>
          <w:sz w:val="36"/>
          <w:szCs w:val="36"/>
        </w:rPr>
        <w:t xml:space="preserve">5. Overall Assessment</w:t>
      </w:r>
    </w:p>
    <w:p>
      <w:pPr>
        <w:spacing w:before="60" w:after="60"/>
      </w:pPr>
      <w:r>
        <w:rPr>
          <w:rFonts w:ascii="Arial" w:cs="Arial" w:eastAsia="Arial" w:hAnsi="Arial"/>
          <w:color w:val="333333"/>
          <w:sz w:val="22"/>
          <w:szCs w:val="22"/>
        </w:rPr>
        <w:t xml:space="preserve">The LANA Immigration website is generally well-structured, professionally written, and covers the core areas of Canadian immigration with clarity. The multilingual presentation (English, French, Russian, Hebrew) is consistent across all pages and shows strong attention to detail. The site avoids misleading marketing claims and responsibly directs users to official verification tools (CICC register).</w:t>
      </w:r>
    </w:p>
    <w:p>
      <w:pPr>
        <w:spacing w:before="80" w:after="80"/>
      </w:pPr>
      <w:r>
        <w:t xml:space="preserve"/>
      </w:r>
    </w:p>
    <w:p>
      <w:pPr>
        <w:spacing w:before="60" w:after="60"/>
      </w:pPr>
      <w:r>
        <w:rPr>
          <w:rFonts w:ascii="Arial" w:cs="Arial" w:eastAsia="Arial" w:hAnsi="Arial"/>
          <w:color w:val="333333"/>
          <w:sz w:val="22"/>
          <w:szCs w:val="22"/>
        </w:rPr>
        <w:t xml:space="preserve">The most urgent fix is the RCIC exam question count (135, not 200+), as this is a specific, verifiable factual error on a page specifically designed to establish credibility. The citizenship-related gaps — especially the temporary resident physical presence rule and the Bill C-71 development — are important additions that would better serve the site's users.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00000"/>
                <w:sz w:val="22"/>
                <w:szCs w:val="22"/>
              </w:rPr>
              <w:t xml:space="preserve">FIX IMMEDIATELY</w:t>
            </w:r>
          </w:p>
          <w:p>
            <w:pPr>
              <w:spacing w:before="80" w:after="80"/>
            </w:pPr>
            <w:r>
              <w:t xml:space="preserve"/>
            </w:r>
          </w:p>
          <w:p>
            <w:r>
              <w:rPr>
                <w:rFonts w:ascii="Arial" w:cs="Arial" w:eastAsia="Arial" w:hAnsi="Arial"/>
                <w:color w:val="333333"/>
                <w:sz w:val="20"/>
                <w:szCs w:val="20"/>
              </w:rPr>
              <w:t xml:space="preserve">• Correct RCIC exam to 135 questions
• Fix broken blog contact link</w:t>
            </w:r>
          </w:p>
        </w:tc>
        <w:tc>
          <w:tcPr>
            <w:tcW w:type="dxa" w:w="468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E26B0A"/>
                <w:sz w:val="22"/>
                <w:szCs w:val="22"/>
              </w:rPr>
              <w:t xml:space="preserve">FIX SOON</w:t>
            </w:r>
          </w:p>
          <w:p>
            <w:pPr>
              <w:spacing w:before="80" w:after="80"/>
            </w:pPr>
            <w:r>
              <w:t xml:space="preserve"/>
            </w:r>
          </w:p>
          <w:p>
            <w:r>
              <w:rPr>
                <w:rFonts w:ascii="Arial" w:cs="Arial" w:eastAsia="Arial" w:hAnsi="Arial"/>
                <w:color w:val="333333"/>
                <w:sz w:val="20"/>
                <w:szCs w:val="20"/>
              </w:rPr>
              <w:t xml:space="preserve">• Add temp resident 0.5-day rule on citizenship page
• Add inadmissibility condition to citizenship eligibility
• Add Bill C-71 note to citizenship-certificate page
• Clarify 9+ years experience vs. 2019 founding
• Fix heading formatting artifacts ("aAdapting", "bChoosing")
• Refine RCIC program description</w:t>
            </w:r>
          </w:p>
        </w:tc>
      </w:tr>
    </w:tbl>
    <w:p>
      <w:pPr>
        <w:spacing w:before="80" w:after="80"/>
      </w:pPr>
      <w:r>
        <w:t xml:space="preserve"/>
      </w:r>
    </w:p>
    <w:p>
      <w:pPr>
        <w:pBdr>
          <w:bottom w:val="single" w:color="CCCCCC" w:sz="4" w:space="1"/>
        </w:pBdr>
        <w:spacing w:before="120" w:after="120"/>
      </w:pPr>
    </w:p>
    <w:p>
      <w:pPr>
        <w:spacing w:before="120" w:after="60"/>
        <w:jc w:val="center"/>
      </w:pPr>
      <w:r>
        <w:rPr>
          <w:rFonts w:ascii="Arial" w:cs="Arial" w:eastAsia="Arial" w:hAnsi="Arial"/>
          <w:i/>
          <w:iCs/>
          <w:color w:val="595959"/>
          <w:sz w:val="20"/>
          <w:szCs w:val="20"/>
        </w:rPr>
        <w:t xml:space="preserve">End of Audit Report</w:t>
      </w:r>
    </w:p>
    <w:p>
      <w:pPr>
        <w:jc w:val="center"/>
      </w:pPr>
      <w:r>
        <w:rPr>
          <w:rFonts w:ascii="Arial" w:cs="Arial" w:eastAsia="Arial" w:hAnsi="Arial"/>
          <w:color w:val="595959"/>
          <w:sz w:val="18"/>
          <w:szCs w:val="18"/>
        </w:rPr>
        <w:t xml:space="preserve">Prepared March 9, 2026 · For LANA Immigration Internal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95959"/>
        <w:sz w:val="18"/>
        <w:szCs w:val="18"/>
      </w:rPr>
      <w:t xml:space="preserve">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b/>
        <w:bCs/>
        <w:color w:val="1F3864"/>
        <w:sz w:val="20"/>
        <w:szCs w:val="20"/>
      </w:rPr>
      <w:t xml:space="preserve">LANA Immigration — Website Audit Report</w:t>
    </w:r>
    <w:r>
      <w:rPr>
        <w:rFonts w:ascii="Arial" w:cs="Arial" w:eastAsia="Arial" w:hAnsi="Arial"/>
        <w:color w:val="595959"/>
        <w:sz w:val="18"/>
        <w:szCs w:val="18"/>
      </w:rPr>
      <w:t xml:space="preserve">   |   March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3864"/>
      <w:sz w:val="28"/>
      <w:szCs w:val="28"/>
    </w:rPr>
  </w:style>
  <w:style w:type="paragraph" w:styleId="Heading3">
    <w:name w:val="Heading 3"/>
    <w:basedOn w:val="Normal"/>
    <w:next w:val="Normal"/>
    <w:qFormat/>
    <w:pPr>
      <w:spacing w:before="18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2026-03-10T00:30:08.928Z</dcterms:created>
  <dcterms:modified xsi:type="dcterms:W3CDTF">2026-03-10T00:30:08.929Z</dcterms:modified>
</cp:coreProperties>
</file>

<file path=docProps/custom.xml><?xml version="1.0" encoding="utf-8"?>
<Properties xmlns="http://schemas.openxmlformats.org/officeDocument/2006/custom-properties" xmlns:vt="http://schemas.openxmlformats.org/officeDocument/2006/docPropsVTypes"/>
</file>