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p>
    <w:p>
      <w:pPr>
        <w:spacing w:before="0" w:after="60"/>
        <w:jc w:val="center"/>
      </w:pPr>
      <w:r>
        <w:rPr>
          <w:rFonts w:ascii="Arial" w:cs="Arial" w:eastAsia="Arial" w:hAnsi="Arial"/>
          <w:b/>
          <w:bCs/>
          <w:color w:val="1B4F72"/>
          <w:sz w:val="52"/>
          <w:szCs w:val="52"/>
        </w:rPr>
        <w:t xml:space="preserve">LANA IMMIGRATION</w:t>
      </w:r>
    </w:p>
    <w:p>
      <w:pPr>
        <w:pBdr>
          <w:bottom w:val="single" w:color="2E86C1" w:sz="10" w:space="8"/>
        </w:pBdr>
        <w:spacing w:before="0" w:after="200"/>
        <w:jc w:val="center"/>
      </w:pPr>
      <w:r>
        <w:rPr>
          <w:rFonts w:ascii="Arial" w:cs="Arial" w:eastAsia="Arial" w:hAnsi="Arial"/>
          <w:b w:val="false"/>
          <w:bCs w:val="false"/>
          <w:color w:val="2E86C1"/>
          <w:sz w:val="34"/>
          <w:szCs w:val="34"/>
        </w:rPr>
        <w:t xml:space="preserve">Frequently Asked Questions</w:t>
      </w:r>
    </w:p>
    <w:p>
      <w:pPr>
        <w:spacing w:before="80" w:after="80"/>
        <w:jc w:val="center"/>
      </w:pPr>
      <w:r>
        <w:rPr>
          <w:rFonts w:ascii="Arial" w:cs="Arial" w:eastAsia="Arial" w:hAnsi="Arial"/>
          <w:color w:val="AEB6BF"/>
          <w:sz w:val="22"/>
          <w:szCs w:val="22"/>
        </w:rPr>
        <w:t xml:space="preserve">50 questions across 8 topics — written by a licensed RCIC</w:t>
      </w:r>
    </w:p>
    <w:p>
      <w:pPr>
        <w:spacing w:before="40" w:after="80"/>
        <w:jc w:val="center"/>
      </w:pPr>
      <w:r>
        <w:rPr>
          <w:rFonts w:ascii="Arial" w:cs="Arial" w:eastAsia="Arial" w:hAnsi="Arial"/>
          <w:color w:val="AEB6BF"/>
          <w:sz w:val="20"/>
          <w:szCs w:val="20"/>
        </w:rPr>
        <w:t xml:space="preserve">Last updated: March 2026  ·  lanacanada.ca</w:t>
      </w:r>
    </w:p>
    <w:p>
      <w:pPr>
        <w:spacing w:before="80" w:after="80"/>
      </w:pPr>
    </w:p>
    <w:p>
      <w:pPr>
        <w:spacing w:before="120" w:after="60"/>
      </w:pPr>
      <w:r>
        <w:rPr>
          <w:rFonts w:ascii="Arial" w:cs="Arial" w:eastAsia="Arial" w:hAnsi="Arial"/>
          <w:b/>
          <w:bCs/>
          <w:color w:val="1B4F72"/>
          <w:sz w:val="24"/>
          <w:szCs w:val="24"/>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340"/>
        <w:gridCol w:w="2500"/>
      </w:tblGrid>
      <w:tr>
        <w:tc>
          <w:tcPr>
            <w:tcW w:type="dxa" w:w="520"/>
            <w:tcBorders>
              <w:top w:val="none"/>
              <w:left w:val="none"/>
              <w:bottom w:val="single" w:color="E5E8E8" w:sz="1"/>
              <w:right w:val="none"/>
            </w:tcBorders>
            <w:shd w:fill="D6EAF8" w:val="clear"/>
            <w:tcMar>
              <w:top w:type="dxa" w:w="60"/>
              <w:left w:type="dxa" w:w="120"/>
              <w:bottom w:type="dxa" w:w="60"/>
              <w:right w:type="dxa" w:w="120"/>
            </w:tcMar>
          </w:tcPr>
          <w:p>
            <w:pPr>
              <w:jc w:val="center"/>
            </w:pPr>
            <w:r>
              <w:rPr>
                <w:rFonts w:ascii="Arial" w:cs="Arial" w:eastAsia="Arial" w:hAnsi="Arial"/>
                <w:b/>
                <w:bCs/>
                <w:color w:val="1B4F72"/>
                <w:sz w:val="20"/>
                <w:szCs w:val="20"/>
              </w:rPr>
              <w:t xml:space="preserve">A</w:t>
            </w:r>
          </w:p>
        </w:tc>
        <w:tc>
          <w:tcPr>
            <w:tcW w:type="dxa" w:w="6340"/>
            <w:tcBorders>
              <w:top w:val="none"/>
              <w:left w:val="none"/>
              <w:bottom w:val="single" w:color="E5E8E8" w:sz="1"/>
              <w:right w:val="none"/>
            </w:tcBorders>
            <w:tcMar>
              <w:top w:type="dxa" w:w="60"/>
              <w:left w:type="dxa" w:w="120"/>
              <w:bottom w:type="dxa" w:w="60"/>
              <w:right w:type="dxa" w:w="120"/>
            </w:tcMar>
          </w:tcPr>
          <w:p>
            <w:r>
              <w:rPr>
                <w:rFonts w:ascii="Arial" w:cs="Arial" w:eastAsia="Arial" w:hAnsi="Arial"/>
                <w:color w:val="1C2833"/>
                <w:sz w:val="22"/>
                <w:szCs w:val="22"/>
              </w:rPr>
              <w:t xml:space="preserve">Working With an RCIC</w:t>
            </w:r>
          </w:p>
        </w:tc>
        <w:tc>
          <w:tcPr>
            <w:tcW w:type="dxa" w:w="2500"/>
            <w:tcBorders>
              <w:top w:val="none"/>
              <w:left w:val="none"/>
              <w:bottom w:val="single" w:color="E5E8E8" w:sz="1"/>
              <w:right w:val="none"/>
            </w:tcBorders>
            <w:tcMar>
              <w:top w:type="dxa" w:w="60"/>
              <w:left w:type="dxa" w:w="120"/>
              <w:bottom w:type="dxa" w:w="60"/>
              <w:right w:type="dxa" w:w="120"/>
            </w:tcMar>
          </w:tcPr>
          <w:p>
            <w:pPr>
              <w:jc w:val="right"/>
            </w:pPr>
            <w:r>
              <w:rPr>
                <w:rFonts w:ascii="Arial" w:cs="Arial" w:eastAsia="Arial" w:hAnsi="Arial"/>
                <w:color w:val="AEB6BF"/>
                <w:sz w:val="20"/>
                <w:szCs w:val="20"/>
              </w:rPr>
              <w:t xml:space="preserve">8 questions</w:t>
            </w:r>
          </w:p>
        </w:tc>
      </w:tr>
      <w:tr>
        <w:tc>
          <w:tcPr>
            <w:tcW w:type="dxa" w:w="520"/>
            <w:tcBorders>
              <w:top w:val="none"/>
              <w:left w:val="none"/>
              <w:bottom w:val="single" w:color="E5E8E8" w:sz="1"/>
              <w:right w:val="none"/>
            </w:tcBorders>
            <w:shd w:fill="D6EAF8" w:val="clear"/>
            <w:tcMar>
              <w:top w:type="dxa" w:w="60"/>
              <w:left w:type="dxa" w:w="120"/>
              <w:bottom w:type="dxa" w:w="60"/>
              <w:right w:type="dxa" w:w="120"/>
            </w:tcMar>
          </w:tcPr>
          <w:p>
            <w:pPr>
              <w:jc w:val="center"/>
            </w:pPr>
            <w:r>
              <w:rPr>
                <w:rFonts w:ascii="Arial" w:cs="Arial" w:eastAsia="Arial" w:hAnsi="Arial"/>
                <w:b/>
                <w:bCs/>
                <w:color w:val="1B4F72"/>
                <w:sz w:val="20"/>
                <w:szCs w:val="20"/>
              </w:rPr>
              <w:t xml:space="preserve">B</w:t>
            </w:r>
          </w:p>
        </w:tc>
        <w:tc>
          <w:tcPr>
            <w:tcW w:type="dxa" w:w="6340"/>
            <w:tcBorders>
              <w:top w:val="none"/>
              <w:left w:val="none"/>
              <w:bottom w:val="single" w:color="E5E8E8" w:sz="1"/>
              <w:right w:val="none"/>
            </w:tcBorders>
            <w:tcMar>
              <w:top w:type="dxa" w:w="60"/>
              <w:left w:type="dxa" w:w="120"/>
              <w:bottom w:type="dxa" w:w="60"/>
              <w:right w:type="dxa" w:w="120"/>
            </w:tcMar>
          </w:tcPr>
          <w:p>
            <w:r>
              <w:rPr>
                <w:rFonts w:ascii="Arial" w:cs="Arial" w:eastAsia="Arial" w:hAnsi="Arial"/>
                <w:color w:val="1C2833"/>
                <w:sz w:val="22"/>
                <w:szCs w:val="22"/>
              </w:rPr>
              <w:t xml:space="preserve">Express Entry</w:t>
            </w:r>
          </w:p>
        </w:tc>
        <w:tc>
          <w:tcPr>
            <w:tcW w:type="dxa" w:w="2500"/>
            <w:tcBorders>
              <w:top w:val="none"/>
              <w:left w:val="none"/>
              <w:bottom w:val="single" w:color="E5E8E8" w:sz="1"/>
              <w:right w:val="none"/>
            </w:tcBorders>
            <w:tcMar>
              <w:top w:type="dxa" w:w="60"/>
              <w:left w:type="dxa" w:w="120"/>
              <w:bottom w:type="dxa" w:w="60"/>
              <w:right w:type="dxa" w:w="120"/>
            </w:tcMar>
          </w:tcPr>
          <w:p>
            <w:pPr>
              <w:jc w:val="right"/>
            </w:pPr>
            <w:r>
              <w:rPr>
                <w:rFonts w:ascii="Arial" w:cs="Arial" w:eastAsia="Arial" w:hAnsi="Arial"/>
                <w:color w:val="AEB6BF"/>
                <w:sz w:val="20"/>
                <w:szCs w:val="20"/>
              </w:rPr>
              <w:t xml:space="preserve">6 questions</w:t>
            </w:r>
          </w:p>
        </w:tc>
      </w:tr>
      <w:tr>
        <w:tc>
          <w:tcPr>
            <w:tcW w:type="dxa" w:w="520"/>
            <w:tcBorders>
              <w:top w:val="none"/>
              <w:left w:val="none"/>
              <w:bottom w:val="single" w:color="E5E8E8" w:sz="1"/>
              <w:right w:val="none"/>
            </w:tcBorders>
            <w:shd w:fill="D6EAF8" w:val="clear"/>
            <w:tcMar>
              <w:top w:type="dxa" w:w="60"/>
              <w:left w:type="dxa" w:w="120"/>
              <w:bottom w:type="dxa" w:w="60"/>
              <w:right w:type="dxa" w:w="120"/>
            </w:tcMar>
          </w:tcPr>
          <w:p>
            <w:pPr>
              <w:jc w:val="center"/>
            </w:pPr>
            <w:r>
              <w:rPr>
                <w:rFonts w:ascii="Arial" w:cs="Arial" w:eastAsia="Arial" w:hAnsi="Arial"/>
                <w:b/>
                <w:bCs/>
                <w:color w:val="1B4F72"/>
                <w:sz w:val="20"/>
                <w:szCs w:val="20"/>
              </w:rPr>
              <w:t xml:space="preserve">C</w:t>
            </w:r>
          </w:p>
        </w:tc>
        <w:tc>
          <w:tcPr>
            <w:tcW w:type="dxa" w:w="6340"/>
            <w:tcBorders>
              <w:top w:val="none"/>
              <w:left w:val="none"/>
              <w:bottom w:val="single" w:color="E5E8E8" w:sz="1"/>
              <w:right w:val="none"/>
            </w:tcBorders>
            <w:tcMar>
              <w:top w:type="dxa" w:w="60"/>
              <w:left w:type="dxa" w:w="120"/>
              <w:bottom w:type="dxa" w:w="60"/>
              <w:right w:type="dxa" w:w="120"/>
            </w:tcMar>
          </w:tcPr>
          <w:p>
            <w:r>
              <w:rPr>
                <w:rFonts w:ascii="Arial" w:cs="Arial" w:eastAsia="Arial" w:hAnsi="Arial"/>
                <w:color w:val="1C2833"/>
                <w:sz w:val="22"/>
                <w:szCs w:val="22"/>
              </w:rPr>
              <w:t xml:space="preserve">Provincial Nominee Programs (PNP)</w:t>
            </w:r>
          </w:p>
        </w:tc>
        <w:tc>
          <w:tcPr>
            <w:tcW w:type="dxa" w:w="2500"/>
            <w:tcBorders>
              <w:top w:val="none"/>
              <w:left w:val="none"/>
              <w:bottom w:val="single" w:color="E5E8E8" w:sz="1"/>
              <w:right w:val="none"/>
            </w:tcBorders>
            <w:tcMar>
              <w:top w:type="dxa" w:w="60"/>
              <w:left w:type="dxa" w:w="120"/>
              <w:bottom w:type="dxa" w:w="60"/>
              <w:right w:type="dxa" w:w="120"/>
            </w:tcMar>
          </w:tcPr>
          <w:p>
            <w:pPr>
              <w:jc w:val="right"/>
            </w:pPr>
            <w:r>
              <w:rPr>
                <w:rFonts w:ascii="Arial" w:cs="Arial" w:eastAsia="Arial" w:hAnsi="Arial"/>
                <w:color w:val="AEB6BF"/>
                <w:sz w:val="20"/>
                <w:szCs w:val="20"/>
              </w:rPr>
              <w:t xml:space="preserve">5 questions</w:t>
            </w:r>
          </w:p>
        </w:tc>
      </w:tr>
      <w:tr>
        <w:tc>
          <w:tcPr>
            <w:tcW w:type="dxa" w:w="520"/>
            <w:tcBorders>
              <w:top w:val="none"/>
              <w:left w:val="none"/>
              <w:bottom w:val="single" w:color="E5E8E8" w:sz="1"/>
              <w:right w:val="none"/>
            </w:tcBorders>
            <w:shd w:fill="D6EAF8" w:val="clear"/>
            <w:tcMar>
              <w:top w:type="dxa" w:w="60"/>
              <w:left w:type="dxa" w:w="120"/>
              <w:bottom w:type="dxa" w:w="60"/>
              <w:right w:type="dxa" w:w="120"/>
            </w:tcMar>
          </w:tcPr>
          <w:p>
            <w:pPr>
              <w:jc w:val="center"/>
            </w:pPr>
            <w:r>
              <w:rPr>
                <w:rFonts w:ascii="Arial" w:cs="Arial" w:eastAsia="Arial" w:hAnsi="Arial"/>
                <w:b/>
                <w:bCs/>
                <w:color w:val="1B4F72"/>
                <w:sz w:val="20"/>
                <w:szCs w:val="20"/>
              </w:rPr>
              <w:t xml:space="preserve">D</w:t>
            </w:r>
          </w:p>
        </w:tc>
        <w:tc>
          <w:tcPr>
            <w:tcW w:type="dxa" w:w="6340"/>
            <w:tcBorders>
              <w:top w:val="none"/>
              <w:left w:val="none"/>
              <w:bottom w:val="single" w:color="E5E8E8" w:sz="1"/>
              <w:right w:val="none"/>
            </w:tcBorders>
            <w:tcMar>
              <w:top w:type="dxa" w:w="60"/>
              <w:left w:type="dxa" w:w="120"/>
              <w:bottom w:type="dxa" w:w="60"/>
              <w:right w:type="dxa" w:w="120"/>
            </w:tcMar>
          </w:tcPr>
          <w:p>
            <w:r>
              <w:rPr>
                <w:rFonts w:ascii="Arial" w:cs="Arial" w:eastAsia="Arial" w:hAnsi="Arial"/>
                <w:color w:val="1C2833"/>
                <w:sz w:val="22"/>
                <w:szCs w:val="22"/>
              </w:rPr>
              <w:t xml:space="preserve">Canadian Citizenship</w:t>
            </w:r>
          </w:p>
        </w:tc>
        <w:tc>
          <w:tcPr>
            <w:tcW w:type="dxa" w:w="2500"/>
            <w:tcBorders>
              <w:top w:val="none"/>
              <w:left w:val="none"/>
              <w:bottom w:val="single" w:color="E5E8E8" w:sz="1"/>
              <w:right w:val="none"/>
            </w:tcBorders>
            <w:tcMar>
              <w:top w:type="dxa" w:w="60"/>
              <w:left w:type="dxa" w:w="120"/>
              <w:bottom w:type="dxa" w:w="60"/>
              <w:right w:type="dxa" w:w="120"/>
            </w:tcMar>
          </w:tcPr>
          <w:p>
            <w:pPr>
              <w:jc w:val="right"/>
            </w:pPr>
            <w:r>
              <w:rPr>
                <w:rFonts w:ascii="Arial" w:cs="Arial" w:eastAsia="Arial" w:hAnsi="Arial"/>
                <w:color w:val="AEB6BF"/>
                <w:sz w:val="20"/>
                <w:szCs w:val="20"/>
              </w:rPr>
              <w:t xml:space="preserve">7 questions</w:t>
            </w:r>
          </w:p>
        </w:tc>
      </w:tr>
      <w:tr>
        <w:tc>
          <w:tcPr>
            <w:tcW w:type="dxa" w:w="520"/>
            <w:tcBorders>
              <w:top w:val="none"/>
              <w:left w:val="none"/>
              <w:bottom w:val="single" w:color="E5E8E8" w:sz="1"/>
              <w:right w:val="none"/>
            </w:tcBorders>
            <w:shd w:fill="D6EAF8" w:val="clear"/>
            <w:tcMar>
              <w:top w:type="dxa" w:w="60"/>
              <w:left w:type="dxa" w:w="120"/>
              <w:bottom w:type="dxa" w:w="60"/>
              <w:right w:type="dxa" w:w="120"/>
            </w:tcMar>
          </w:tcPr>
          <w:p>
            <w:pPr>
              <w:jc w:val="center"/>
            </w:pPr>
            <w:r>
              <w:rPr>
                <w:rFonts w:ascii="Arial" w:cs="Arial" w:eastAsia="Arial" w:hAnsi="Arial"/>
                <w:b/>
                <w:bCs/>
                <w:color w:val="1B4F72"/>
                <w:sz w:val="20"/>
                <w:szCs w:val="20"/>
              </w:rPr>
              <w:t xml:space="preserve">E</w:t>
            </w:r>
          </w:p>
        </w:tc>
        <w:tc>
          <w:tcPr>
            <w:tcW w:type="dxa" w:w="6340"/>
            <w:tcBorders>
              <w:top w:val="none"/>
              <w:left w:val="none"/>
              <w:bottom w:val="single" w:color="E5E8E8" w:sz="1"/>
              <w:right w:val="none"/>
            </w:tcBorders>
            <w:tcMar>
              <w:top w:type="dxa" w:w="60"/>
              <w:left w:type="dxa" w:w="120"/>
              <w:bottom w:type="dxa" w:w="60"/>
              <w:right w:type="dxa" w:w="120"/>
            </w:tcMar>
          </w:tcPr>
          <w:p>
            <w:r>
              <w:rPr>
                <w:rFonts w:ascii="Arial" w:cs="Arial" w:eastAsia="Arial" w:hAnsi="Arial"/>
                <w:color w:val="1C2833"/>
                <w:sz w:val="22"/>
                <w:szCs w:val="22"/>
              </w:rPr>
              <w:t xml:space="preserve">Temporary Residence</w:t>
            </w:r>
          </w:p>
        </w:tc>
        <w:tc>
          <w:tcPr>
            <w:tcW w:type="dxa" w:w="2500"/>
            <w:tcBorders>
              <w:top w:val="none"/>
              <w:left w:val="none"/>
              <w:bottom w:val="single" w:color="E5E8E8" w:sz="1"/>
              <w:right w:val="none"/>
            </w:tcBorders>
            <w:tcMar>
              <w:top w:type="dxa" w:w="60"/>
              <w:left w:type="dxa" w:w="120"/>
              <w:bottom w:type="dxa" w:w="60"/>
              <w:right w:type="dxa" w:w="120"/>
            </w:tcMar>
          </w:tcPr>
          <w:p>
            <w:pPr>
              <w:jc w:val="right"/>
            </w:pPr>
            <w:r>
              <w:rPr>
                <w:rFonts w:ascii="Arial" w:cs="Arial" w:eastAsia="Arial" w:hAnsi="Arial"/>
                <w:color w:val="AEB6BF"/>
                <w:sz w:val="20"/>
                <w:szCs w:val="20"/>
              </w:rPr>
              <w:t xml:space="preserve">6 questions</w:t>
            </w:r>
          </w:p>
        </w:tc>
      </w:tr>
      <w:tr>
        <w:tc>
          <w:tcPr>
            <w:tcW w:type="dxa" w:w="520"/>
            <w:tcBorders>
              <w:top w:val="none"/>
              <w:left w:val="none"/>
              <w:bottom w:val="single" w:color="E5E8E8" w:sz="1"/>
              <w:right w:val="none"/>
            </w:tcBorders>
            <w:shd w:fill="D6EAF8" w:val="clear"/>
            <w:tcMar>
              <w:top w:type="dxa" w:w="60"/>
              <w:left w:type="dxa" w:w="120"/>
              <w:bottom w:type="dxa" w:w="60"/>
              <w:right w:type="dxa" w:w="120"/>
            </w:tcMar>
          </w:tcPr>
          <w:p>
            <w:pPr>
              <w:jc w:val="center"/>
            </w:pPr>
            <w:r>
              <w:rPr>
                <w:rFonts w:ascii="Arial" w:cs="Arial" w:eastAsia="Arial" w:hAnsi="Arial"/>
                <w:b/>
                <w:bCs/>
                <w:color w:val="1B4F72"/>
                <w:sz w:val="20"/>
                <w:szCs w:val="20"/>
              </w:rPr>
              <w:t xml:space="preserve">F</w:t>
            </w:r>
          </w:p>
        </w:tc>
        <w:tc>
          <w:tcPr>
            <w:tcW w:type="dxa" w:w="6340"/>
            <w:tcBorders>
              <w:top w:val="none"/>
              <w:left w:val="none"/>
              <w:bottom w:val="single" w:color="E5E8E8" w:sz="1"/>
              <w:right w:val="none"/>
            </w:tcBorders>
            <w:tcMar>
              <w:top w:type="dxa" w:w="60"/>
              <w:left w:type="dxa" w:w="120"/>
              <w:bottom w:type="dxa" w:w="60"/>
              <w:right w:type="dxa" w:w="120"/>
            </w:tcMar>
          </w:tcPr>
          <w:p>
            <w:r>
              <w:rPr>
                <w:rFonts w:ascii="Arial" w:cs="Arial" w:eastAsia="Arial" w:hAnsi="Arial"/>
                <w:color w:val="1C2833"/>
                <w:sz w:val="22"/>
                <w:szCs w:val="22"/>
              </w:rPr>
              <w:t xml:space="preserve">Family Sponsorship</w:t>
            </w:r>
          </w:p>
        </w:tc>
        <w:tc>
          <w:tcPr>
            <w:tcW w:type="dxa" w:w="2500"/>
            <w:tcBorders>
              <w:top w:val="none"/>
              <w:left w:val="none"/>
              <w:bottom w:val="single" w:color="E5E8E8" w:sz="1"/>
              <w:right w:val="none"/>
            </w:tcBorders>
            <w:tcMar>
              <w:top w:type="dxa" w:w="60"/>
              <w:left w:type="dxa" w:w="120"/>
              <w:bottom w:type="dxa" w:w="60"/>
              <w:right w:type="dxa" w:w="120"/>
            </w:tcMar>
          </w:tcPr>
          <w:p>
            <w:pPr>
              <w:jc w:val="right"/>
            </w:pPr>
            <w:r>
              <w:rPr>
                <w:rFonts w:ascii="Arial" w:cs="Arial" w:eastAsia="Arial" w:hAnsi="Arial"/>
                <w:color w:val="AEB6BF"/>
                <w:sz w:val="20"/>
                <w:szCs w:val="20"/>
              </w:rPr>
              <w:t xml:space="preserve">5 questions</w:t>
            </w:r>
          </w:p>
        </w:tc>
      </w:tr>
      <w:tr>
        <w:tc>
          <w:tcPr>
            <w:tcW w:type="dxa" w:w="520"/>
            <w:tcBorders>
              <w:top w:val="none"/>
              <w:left w:val="none"/>
              <w:bottom w:val="single" w:color="E5E8E8" w:sz="1"/>
              <w:right w:val="none"/>
            </w:tcBorders>
            <w:shd w:fill="D6EAF8" w:val="clear"/>
            <w:tcMar>
              <w:top w:type="dxa" w:w="60"/>
              <w:left w:type="dxa" w:w="120"/>
              <w:bottom w:type="dxa" w:w="60"/>
              <w:right w:type="dxa" w:w="120"/>
            </w:tcMar>
          </w:tcPr>
          <w:p>
            <w:pPr>
              <w:jc w:val="center"/>
            </w:pPr>
            <w:r>
              <w:rPr>
                <w:rFonts w:ascii="Arial" w:cs="Arial" w:eastAsia="Arial" w:hAnsi="Arial"/>
                <w:b/>
                <w:bCs/>
                <w:color w:val="1B4F72"/>
                <w:sz w:val="20"/>
                <w:szCs w:val="20"/>
              </w:rPr>
              <w:t xml:space="preserve">G</w:t>
            </w:r>
          </w:p>
        </w:tc>
        <w:tc>
          <w:tcPr>
            <w:tcW w:type="dxa" w:w="6340"/>
            <w:tcBorders>
              <w:top w:val="none"/>
              <w:left w:val="none"/>
              <w:bottom w:val="single" w:color="E5E8E8" w:sz="1"/>
              <w:right w:val="none"/>
            </w:tcBorders>
            <w:tcMar>
              <w:top w:type="dxa" w:w="60"/>
              <w:left w:type="dxa" w:w="120"/>
              <w:bottom w:type="dxa" w:w="60"/>
              <w:right w:type="dxa" w:w="120"/>
            </w:tcMar>
          </w:tcPr>
          <w:p>
            <w:r>
              <w:rPr>
                <w:rFonts w:ascii="Arial" w:cs="Arial" w:eastAsia="Arial" w:hAnsi="Arial"/>
                <w:color w:val="1C2833"/>
                <w:sz w:val="22"/>
                <w:szCs w:val="22"/>
              </w:rPr>
              <w:t xml:space="preserve">The Application Process</w:t>
            </w:r>
          </w:p>
        </w:tc>
        <w:tc>
          <w:tcPr>
            <w:tcW w:type="dxa" w:w="2500"/>
            <w:tcBorders>
              <w:top w:val="none"/>
              <w:left w:val="none"/>
              <w:bottom w:val="single" w:color="E5E8E8" w:sz="1"/>
              <w:right w:val="none"/>
            </w:tcBorders>
            <w:tcMar>
              <w:top w:type="dxa" w:w="60"/>
              <w:left w:type="dxa" w:w="120"/>
              <w:bottom w:type="dxa" w:w="60"/>
              <w:right w:type="dxa" w:w="120"/>
            </w:tcMar>
          </w:tcPr>
          <w:p>
            <w:pPr>
              <w:jc w:val="right"/>
            </w:pPr>
            <w:r>
              <w:rPr>
                <w:rFonts w:ascii="Arial" w:cs="Arial" w:eastAsia="Arial" w:hAnsi="Arial"/>
                <w:color w:val="AEB6BF"/>
                <w:sz w:val="20"/>
                <w:szCs w:val="20"/>
              </w:rPr>
              <w:t xml:space="preserve">8 questions</w:t>
            </w:r>
          </w:p>
        </w:tc>
      </w:tr>
      <w:tr>
        <w:tc>
          <w:tcPr>
            <w:tcW w:type="dxa" w:w="520"/>
            <w:tcBorders>
              <w:top w:val="none"/>
              <w:left w:val="none"/>
              <w:bottom w:val="single" w:color="E5E8E8" w:sz="1"/>
              <w:right w:val="none"/>
            </w:tcBorders>
            <w:shd w:fill="D6EAF8" w:val="clear"/>
            <w:tcMar>
              <w:top w:type="dxa" w:w="60"/>
              <w:left w:type="dxa" w:w="120"/>
              <w:bottom w:type="dxa" w:w="60"/>
              <w:right w:type="dxa" w:w="120"/>
            </w:tcMar>
          </w:tcPr>
          <w:p>
            <w:pPr>
              <w:jc w:val="center"/>
            </w:pPr>
            <w:r>
              <w:rPr>
                <w:rFonts w:ascii="Arial" w:cs="Arial" w:eastAsia="Arial" w:hAnsi="Arial"/>
                <w:b/>
                <w:bCs/>
                <w:color w:val="1B4F72"/>
                <w:sz w:val="20"/>
                <w:szCs w:val="20"/>
              </w:rPr>
              <w:t xml:space="preserve">H</w:t>
            </w:r>
          </w:p>
        </w:tc>
        <w:tc>
          <w:tcPr>
            <w:tcW w:type="dxa" w:w="6340"/>
            <w:tcBorders>
              <w:top w:val="none"/>
              <w:left w:val="none"/>
              <w:bottom w:val="single" w:color="E5E8E8" w:sz="1"/>
              <w:right w:val="none"/>
            </w:tcBorders>
            <w:tcMar>
              <w:top w:type="dxa" w:w="60"/>
              <w:left w:type="dxa" w:w="120"/>
              <w:bottom w:type="dxa" w:w="60"/>
              <w:right w:type="dxa" w:w="120"/>
            </w:tcMar>
          </w:tcPr>
          <w:p>
            <w:r>
              <w:rPr>
                <w:rFonts w:ascii="Arial" w:cs="Arial" w:eastAsia="Arial" w:hAnsi="Arial"/>
                <w:color w:val="1C2833"/>
                <w:sz w:val="22"/>
                <w:szCs w:val="22"/>
              </w:rPr>
              <w:t xml:space="preserve">Working With LANA Immigration</w:t>
            </w:r>
          </w:p>
        </w:tc>
        <w:tc>
          <w:tcPr>
            <w:tcW w:type="dxa" w:w="2500"/>
            <w:tcBorders>
              <w:top w:val="none"/>
              <w:left w:val="none"/>
              <w:bottom w:val="single" w:color="E5E8E8" w:sz="1"/>
              <w:right w:val="none"/>
            </w:tcBorders>
            <w:tcMar>
              <w:top w:type="dxa" w:w="60"/>
              <w:left w:type="dxa" w:w="120"/>
              <w:bottom w:type="dxa" w:w="60"/>
              <w:right w:type="dxa" w:w="120"/>
            </w:tcMar>
          </w:tcPr>
          <w:p>
            <w:pPr>
              <w:jc w:val="right"/>
            </w:pPr>
            <w:r>
              <w:rPr>
                <w:rFonts w:ascii="Arial" w:cs="Arial" w:eastAsia="Arial" w:hAnsi="Arial"/>
                <w:color w:val="AEB6BF"/>
                <w:sz w:val="20"/>
                <w:szCs w:val="20"/>
              </w:rPr>
              <w:t xml:space="preserve">5 questions</w:t>
            </w:r>
          </w:p>
        </w:tc>
      </w:tr>
    </w:tbl>
    <w:p>
      <w:r>
        <w:br w:type="page"/>
      </w:r>
    </w:p>
    <w:p>
      <w:pPr>
        <w:pBdr>
          <w:left w:val="single" w:color="2E86C1" w:sz="24" w:space="6"/>
        </w:pBdr>
        <w:shd w:fill="D6EAF8" w:val="clear"/>
        <w:spacing w:before="360" w:after="120"/>
        <w:ind w:left="0"/>
      </w:pPr>
      <w:r>
        <w:rPr>
          <w:rFonts w:ascii="Arial" w:cs="Arial" w:eastAsia="Arial" w:hAnsi="Arial"/>
          <w:b/>
          <w:bCs/>
          <w:color w:val="FFFFFF"/>
          <w:sz w:val="22"/>
          <w:szCs w:val="22"/>
        </w:rPr>
        <w:t xml:space="preserve">  A  </w:t>
      </w:r>
      <w:r>
        <w:rPr>
          <w:rFonts w:ascii="Arial" w:cs="Arial" w:eastAsia="Arial" w:hAnsi="Arial"/>
          <w:b/>
          <w:bCs/>
          <w:color w:val="1B4F72"/>
          <w:sz w:val="24"/>
          <w:szCs w:val="24"/>
        </w:rPr>
        <w:t xml:space="preserve">  Working With an RCIC</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Q1</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an RCIC and why does it matter?</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RCIC stands for Regulated Canadian Immigration Consultant. RCICs are licensed by the College of Immigration and Citizenship Consultants (CICC), which is the federal regulatory body established under the College of Immigration and Citizenship Consultants Act. Only RCICs, registered lawyers, and Quebec notaries are legally authorised under IRPA section 91 to provide immigration advice for a fee. Hiring anyone else — regardless of how experienced they claim to be — is using an unauthorised representative, which can invalidate your application.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Q2</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How do I verify that an immigration consultant is licensed?</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Visit the CICC public register at college-ic.ca and search by name or registration number. A legitimate RCIC will appear with an "Active" status. If they don't appear, or if their status is "Suspended" or "Revoked," do not hire them. Your RCIC's registration number should also be displayed prominently on their website and included in any retainer agreement they send you.</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Q3</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can an RCIC do that I can't do myself?</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You are always permitted to apply for immigration on your own behalf. An RCIC adds value by assessing which programme you are most likely to succeed with, helping you maximise your CRS score or PNP eligibility, preparing and reviewing your application for completeness and errors, representing you before IRCC if questions arise, and advising on how to respond to procedural fairness letters or refusals. For complex cases — prior refusals, criminal history, medical inadmissibility, or unusual employment situations — professional representation can be the difference between approval and refusal.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Q4</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the difference between an RCIC and an immigration lawyer?</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Both are authorised to represent clients before IRCC and are regulated professionals. Immigration lawyers are members of a provincial law society and can also represent clients in Federal Court and immigration appeals before the Immigration and Refugee Board. RCICs are regulated by the CICC and are specialists in the immigration application process. For most standard permanent residence, citizenship, and temporary permit applications, an RCIC offers equivalent expertise to an immigration lawyer, often at a lower cost. For cases involving criminal inadmissibility, deportation, detention, or refugee claims, a lawyer's courtroom access may be necessary.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Q5</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should I expect during an initial consultation?</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An initial consultation typically lasts 30–60 minutes. Your consultant will review your background — education, work experience, language test scores, family situation, and immigration history — and provide a preliminary assessment of your eligibility for relevant programmes. You should come prepared with copies of your educational credentials, language test results if available, employment history, and any prior immigration applications. A good consultant will give you honest, programme-specific guidance rather than vague encouragement.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Q6</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does a retainer agreement cover and do I need to sign one?</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Yes. CICC regulations require RCICs to use a written retainer agreement before beginning any substantive work. The agreement specifies the scope of services, the total fees, the payment schedule, how and when funds are held in a trust account, and the process for resolving disputes. Review it carefully before signing. If a consultant begins charging you without a signed retainer, that is a compliance violation you should report to the CICC.</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Q7</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How does client money work? What is a trust account?</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RCIC regulations require that client fees be held in a dedicated trust account — separate from the consultant's operating funds — until the services are performed. This protects you: if a consultant closes their practice unexpectedly, your prepaid fees are not mixed with personal funds. Ask your consultant to confirm their trust account arrangement before making any payment.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Q8</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happens if my consultant makes a mistake on my application?</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Raise it with your consultant immediately in writing. If the error cannot be resolved, you have several options: file a complaint with the CICC (who investigates misconduct and can discipline or revoke licences), pursue a civil claim if financial harm resulted, or in some cases contact the CICC's errors and omissions insurance process. This is one reason to always retain a licensed RCIC — unlicensed consultants offer none of these protections.</w:t>
            </w:r>
          </w:p>
        </w:tc>
      </w:tr>
    </w:tbl>
    <w:p>
      <w:pPr>
        <w:spacing w:before="80" w:after="80"/>
      </w:pPr>
    </w:p>
    <w:p>
      <w:pPr>
        <w:spacing w:before="120" w:after="0"/>
      </w:pPr>
    </w:p>
    <w:p>
      <w:pPr>
        <w:pBdr>
          <w:left w:val="single" w:color="2E86C1" w:sz="24" w:space="6"/>
        </w:pBdr>
        <w:shd w:fill="D6EAF8" w:val="clear"/>
        <w:spacing w:before="360" w:after="120"/>
        <w:ind w:left="0"/>
      </w:pPr>
      <w:r>
        <w:rPr>
          <w:rFonts w:ascii="Arial" w:cs="Arial" w:eastAsia="Arial" w:hAnsi="Arial"/>
          <w:b/>
          <w:bCs/>
          <w:color w:val="FFFFFF"/>
          <w:sz w:val="22"/>
          <w:szCs w:val="22"/>
        </w:rPr>
        <w:t xml:space="preserve">  B  </w:t>
      </w:r>
      <w:r>
        <w:rPr>
          <w:rFonts w:ascii="Arial" w:cs="Arial" w:eastAsia="Arial" w:hAnsi="Arial"/>
          <w:b/>
          <w:bCs/>
          <w:color w:val="1B4F72"/>
          <w:sz w:val="24"/>
          <w:szCs w:val="24"/>
        </w:rPr>
        <w:t xml:space="preserve">  Express Entry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Q9</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Express Entry and how does it work?</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Express Entry is Canada's primary system for managing applications for three federal economic immigration programmes: the Federal Skilled Worker Program (FSW), the Federal Skilled Trades Program (FST), and the Canadian Experience Class (CEC). Eligible candidates create an online profile and receive a Comprehensive Ranking System (CRS) score based on factors like age, education, language ability, and work experience. IRCC holds regular draws and invites the highest-ranked candidates to apply for permanent residence. Most successful candidates receive an Invitation to Apply (ITA) within 6–12 months of entering the pool.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Q10</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CRS score do I need to receive an invitation?</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The minimum CRS score varies with every draw and depends on how many candidates are invited and from which programme or category. All-programme draw cut-offs in recent years have ranged from roughly 470 to 550+. Category-based draws — introduced in 2023 for French language, healthcare, trades, STEM, agriculture, and transport — have had lower cut-offs, sometimes in the 430–480 range. There is no fixed minimum: your score needs to be competitive relative to everyone else in the pool at the time of the draw.</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Q11</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are the main ways to increase my CRS score?</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The most impactful legitimate strategies are: retaking a language test to achieve higher CLB scores (especially CLB 9+ in English or French), completing additional post-secondary education, obtaining a qualifying job offer from a Canadian employer (adds 50 or 200 points depending on NOC TEER level), receiving a provincial nomination (adds 600 points and virtually guarantees an ITA), and if eligible for the Canadian Experience Class, accumulating more skilled Canadian work experience. An RCIC can model exactly how many points each improvement would add for your specific profile.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Q12</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the Federal Skilled Worker Program and who qualifies?</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The FSW is designed for skilled workers outside Canada. To qualify you must have at least one year of continuous full-time (or equivalent part-time) skilled work experience in a NOC TEER 0, 1, 2, or 3 occupation in the past 10 years, meet the minimum language threshold (CLB 7 in all four abilities), and score at least 67 out of 100 on the FSW eligibility grid (which awards points for language, education, experience, age, adaptability, and arranged employment). You must also have sufficient funds to support yourself and your family after arrival, unless you have a valid job offer.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Q13</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the Canadian Experience Class and who qualifies?</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The CEC is for skilled workers who already have Canadian work experience. You need at least one year of skilled work experience in Canada (NOC TEER 0, 1, 2, or 3) in the three years before applying, meet minimum language thresholds (CLB 7 for TEER 0 or 1 occupations; CLB 5 for TEER 2 or 3 occupations), and intend to live outside Quebec. International graduates who worked in Canada after their studies commonly use this pathway.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Q14</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are category-based draws and do I qualify?</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Since May 2023, IRCC has run draws specifically targeting candidates with French language skills or experience in one of five sectors: healthcare, science/technology/engineering/math (STEM), trades, agriculture, and transport. To be selected in a category draw, you must be eligible for Express Entry and meet the category's specific criteria — for example, the French language category requires CLB 7 in French with lower scores in English. Category draws typically have lower CRS cut-offs than all-programme draws, making them an important pathway for candidates with the right profile but a mid-range CRS score.</w:t>
            </w:r>
          </w:p>
        </w:tc>
      </w:tr>
    </w:tbl>
    <w:p>
      <w:pPr>
        <w:spacing w:before="80" w:after="80"/>
      </w:pPr>
    </w:p>
    <w:p>
      <w:pPr>
        <w:spacing w:before="120" w:after="0"/>
      </w:pPr>
    </w:p>
    <w:p>
      <w:pPr>
        <w:pBdr>
          <w:left w:val="single" w:color="2E86C1" w:sz="24" w:space="6"/>
        </w:pBdr>
        <w:shd w:fill="D6EAF8" w:val="clear"/>
        <w:spacing w:before="360" w:after="120"/>
        <w:ind w:left="0"/>
      </w:pPr>
      <w:r>
        <w:rPr>
          <w:rFonts w:ascii="Arial" w:cs="Arial" w:eastAsia="Arial" w:hAnsi="Arial"/>
          <w:b/>
          <w:bCs/>
          <w:color w:val="FFFFFF"/>
          <w:sz w:val="22"/>
          <w:szCs w:val="22"/>
        </w:rPr>
        <w:t xml:space="preserve">  C  </w:t>
      </w:r>
      <w:r>
        <w:rPr>
          <w:rFonts w:ascii="Arial" w:cs="Arial" w:eastAsia="Arial" w:hAnsi="Arial"/>
          <w:b/>
          <w:bCs/>
          <w:color w:val="1B4F72"/>
          <w:sz w:val="24"/>
          <w:szCs w:val="24"/>
        </w:rPr>
        <w:t xml:space="preserve">  Provincial Nominee Programs (PNP)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Q15</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a Provincial Nominee Program and how does it differ from Express Entry?</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PNPs are immigration programmes operated by individual Canadian provinces and territories, each designed to address local labour market and demographic needs. Unlike Express Entry — which is managed federally — PNPs allow provinces to select candidates based on their own criteria, which may include specific occupations, regional ties, or employer endorsements. Most PNPs have an "enhanced" stream that links to Express Entry: if nominated through an enhanced stream, candidates receive 600 additional CRS points, virtually guaranteeing an ITA at the next draw. Some PNPs also operate independently of Express Entry through "base" streams that lead directly to a provincial nomination and then a federal application.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Q16</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Which province should I target for a PNP nomination?</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The best province depends on your occupation, work experience, language skills, educational background, and whether you have existing connections (family, previous study or work) in Canada. Provinces with historically active PNP streams for skilled workers include Ontario (OINP), British Columbia (BC PNP), Alberta (AAIP), and Saskatchewan (SINP). Atlantic provinces offer the Atlantic Immigration Program (AIP) for employer-sponsored candidates. The right choice requires a profile assessment, since eligibility criteria, occupation lists, and draw frequencies change frequently.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Q17</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Do all PNP streams require a job offer?</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No. Many PNP streams linked to Express Entry do not require a job offer — they select candidates based on their Express Entry profile score, occupation, or education. However, several non-Express Entry or employer-driven PNP streams do require an offer of employment from a designated employer in that province. Your consultant can identify which streams are available to you without requiring a job offer.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Q18</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I received a PNP nomination. What happens next?</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If you received a nomination through an Express Entry-linked ("enhanced") stream, IRCC will add 600 points to your CRS score and you should receive an ITA at the next available draw, after which you have 60 days to submit a complete permanent residence application. If you received a nomination through a base PNP stream (not linked to Express Entry), you apply directly to IRCC for permanent residence using a paper-based application (not through the Express Entry portal). Either way, you must intend to live in the nominating province — though this is not legally binding for most programmes once you become a permanent resident.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Q19</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the Rural and Northern Immigration Pilot?</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The Rural and Northern Immigration Pilot (RNIP) was a community-driven programme designed to attract skilled foreign workers to smaller communities across Canada. It required a job offer from a designated local employer and community recommendation. Note: the RNIP was officially closed to new applications in late 2024, and eligible communities have been transitioning applicants to successor rural immigration streams. If you were referred to this programme, confirm current programme status with your consultant.</w:t>
            </w:r>
          </w:p>
        </w:tc>
      </w:tr>
    </w:tbl>
    <w:p>
      <w:pPr>
        <w:spacing w:before="80" w:after="80"/>
      </w:pPr>
    </w:p>
    <w:p>
      <w:pPr>
        <w:spacing w:before="120" w:after="0"/>
      </w:pPr>
    </w:p>
    <w:p>
      <w:pPr>
        <w:pBdr>
          <w:left w:val="single" w:color="2E86C1" w:sz="24" w:space="6"/>
        </w:pBdr>
        <w:shd w:fill="D6EAF8" w:val="clear"/>
        <w:spacing w:before="360" w:after="120"/>
        <w:ind w:left="0"/>
      </w:pPr>
      <w:r>
        <w:rPr>
          <w:rFonts w:ascii="Arial" w:cs="Arial" w:eastAsia="Arial" w:hAnsi="Arial"/>
          <w:b/>
          <w:bCs/>
          <w:color w:val="FFFFFF"/>
          <w:sz w:val="22"/>
          <w:szCs w:val="22"/>
        </w:rPr>
        <w:t xml:space="preserve">  D  </w:t>
      </w:r>
      <w:r>
        <w:rPr>
          <w:rFonts w:ascii="Arial" w:cs="Arial" w:eastAsia="Arial" w:hAnsi="Arial"/>
          <w:b/>
          <w:bCs/>
          <w:color w:val="1B4F72"/>
          <w:sz w:val="24"/>
          <w:szCs w:val="24"/>
        </w:rPr>
        <w:t xml:space="preserve">  Canadian Citizenship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Q20</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When am I eligible to apply for Canadian citizenship?</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To be eligible for a grant of citizenship you must: be a permanent resident; have been physically present in Canada for at least 1,095 days (three years) in the five years immediately before your application date; have filed Canadian income taxes for at least three of the five years before applying if required to do so by the Income Tax Act; meet the language requirement (CLB 4 in English or French reading, writing, speaking, and listening) if you are between 18 and 54; pass the citizenship knowledge test if you are between 18 and 54; and not be subject to any prohibition under the Citizenship Act (such as certain criminal convictions).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Q21</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How do days as a temporary resident count toward citizenship?</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Time spent in Canada as a temporary resident (visitor, student, or worker) or as a protected person before becoming a permanent resident counts at half credit: every two days spent as a temporary resident counts as one day toward the 1,095-day requirement. You can receive a maximum of 365 days of credit from pre-PR time. Days spent in Canada after becoming a permanent resident count in full.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Q22</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the citizenship knowledge test?</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Applicants between the ages of 18 and 54 must pass a written test on Canadian history, values, institutions, and symbols based on the official study guide "Discover Canada." The test typically contains 20 questions and requires a minimum score of 15 correct answers (75%) to pass. If you do not pass, you may be invited to a hearing with a citizenship officer. Applicants under 18 and over 54 are automatically exempt from the test.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Q23</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My parent was born in Canada but I was born abroad. Am I a Canadian citizen?</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Potentially. Citizenship by descent allows a child born outside Canada to acquire citizenship automatically if at least one parent was a Canadian citizen at the time of the child's birth. However, since the first-generation limit (introduced in 2009), citizenship by descent was limited to children born in the first generation outside Canada — meaning a Canadian citizen born abroad could not pass citizenship to their own children born abroad. Bill C-71, which received Royal Assent in June 2024, amends the Citizenship Act to restore citizenship to certain individuals previously excluded by this limitation. If you believe you may be affected, book a consultation to assess your eligibility under the updated rules.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Q24</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How long does Canadian citizenship processing take?</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IRCC's published processing time for a citizenship grant application is currently 12 months from receipt of a complete application, though actual processing times vary and are updated regularly on the IRCC website. After approval, you receive a Notice to Appear for the citizenship ceremony, where you take the Oath of Citizenship and receive your citizenship certificate. The entire timeline from application to certificate is typically 12–24 months depending on the volume of applications and any additional steps required in your case.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Q25</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Can I hold dual citizenship as a Canadian?</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Yes. Canada permits dual (or multiple) citizenship. Becoming a Canadian citizen does not automatically require you to renounce your original citizenship — though your country of origin may have its own rules about dual nationality. You should check with the embassy or consulate of your home country to understand their position. Most countries allow dual citizenship; some (including certain Gulf states and a number of Asian and African countries) do not.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Q26</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the citizenship certificate and when do I need it?</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A citizenship certificate (also called a "proof of citizenship" document) is the official document that proves you are a Canadian citizen. It is different from your passport. You need a citizenship certificate when you did not receive one at a ceremony, were born abroad to a Canadian parent, were a child included on a parent's application, or if your original certificate was lost, stolen, or damaged. Some situations — such as applying for a Canadian passport for the first time, proving citizenship to a foreign government, or claiming benefits — require you to present this document.</w:t>
            </w:r>
          </w:p>
        </w:tc>
      </w:tr>
    </w:tbl>
    <w:p>
      <w:pPr>
        <w:spacing w:before="80" w:after="80"/>
      </w:pPr>
    </w:p>
    <w:p>
      <w:pPr>
        <w:spacing w:before="120" w:after="0"/>
      </w:pPr>
    </w:p>
    <w:p>
      <w:pPr>
        <w:pBdr>
          <w:left w:val="single" w:color="2E86C1" w:sz="24" w:space="6"/>
        </w:pBdr>
        <w:shd w:fill="D6EAF8" w:val="clear"/>
        <w:spacing w:before="360" w:after="120"/>
        <w:ind w:left="0"/>
      </w:pPr>
      <w:r>
        <w:rPr>
          <w:rFonts w:ascii="Arial" w:cs="Arial" w:eastAsia="Arial" w:hAnsi="Arial"/>
          <w:b/>
          <w:bCs/>
          <w:color w:val="FFFFFF"/>
          <w:sz w:val="22"/>
          <w:szCs w:val="22"/>
        </w:rPr>
        <w:t xml:space="preserve">  E  </w:t>
      </w:r>
      <w:r>
        <w:rPr>
          <w:rFonts w:ascii="Arial" w:cs="Arial" w:eastAsia="Arial" w:hAnsi="Arial"/>
          <w:b/>
          <w:bCs/>
          <w:color w:val="1B4F72"/>
          <w:sz w:val="24"/>
          <w:szCs w:val="24"/>
        </w:rPr>
        <w:t xml:space="preserve">  Temporary Residence (Work, Study &amp; Visitor Permits)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Q27</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Do I need a work permit to work in Canada?</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Most foreign nationals need a work permit to work in Canada legally. However, there are significant exemptions. Business visitors, certain intracompany transferees, some performing artists, foreign diplomats, and participants in specific exchange programmes may be exempt from requiring a permit. Additionally, some occupations and situations qualify for open work permits — which allow you to work for any employer — such as spouses of skilled workers and international graduates. A closed work permit, by contrast, ties you to a specific employer and job. Always confirm your status before starting work: working without authorisation can create serious inadmissibility issues for future applications.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Q28</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an LMIA and when is it required?</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A Labour Market Impact Assessment (LMIA) is a document an employer must obtain from Employment and Social Development Canada (ESDC) before hiring most foreign workers. It demonstrates that no suitable Canadian citizen or permanent resident was available for the position. Obtaining an LMIA is the employer's responsibility, not the worker's — though you need the approved LMIA to apply for a work permit. Several programmes are LMIA-exempt, including intracompany transferees, recipients of significant benefit to Canada, and positions under international trade agreements like CUSMA (formerly NAFTA).</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Q29</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a Post-Graduation Work Permit (PGWP) and who qualifies?</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A PGWP is an open work permit available to international graduates of eligible Canadian designated learning institutions (DLIs). It allows you to work for any Canadian employer after completing your studies. The length of the PGWP generally corresponds to the length of your programme, up to a maximum of three years. To qualify, you must have studied full-time in an eligible programme of at least eight months, graduated, and apply within 180 days of receiving written confirmation of your programme completion (transcript or official letter). The PGWP is a key step on the pathway from international student to permanent resident.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Q30</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My work permit is expiring. Can I stay while my renewal is pending?</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Yes — if you applied to renew or extend your work permit before your current permit expired, you are covered by "implied status" under the Immigration and Refugee Protection Regulations. This allows you to continue working under the same conditions as your expiring permit while IRCC processes your new application. If your permit expires before you apply, you are in Canada without status and cannot legally work. Apply for your renewal well in advance of your expiry date — ideally 3–4 months before.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Q31</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Can I visit Canada without a visa?</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It depends on your citizenship. Citizens of many countries — including the United States, United Kingdom, European Union member states, Australia, and others — are visa-exempt and need only an Electronic Travel Authorisation (eTA) to enter Canada by air (US citizens are exempt even from the eTA requirement). Citizens of countries not on the visa-exempt list must obtain a Temporary Resident Visa (TRV), also called a visitor visa, before travelling. You can check whether your country requires a visa at the IRCC website.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Q32</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a Super Visa and who qualifies?</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A Super Visa is a multiple-entry visa that allows parents and grandparents of Canadian citizens or permanent residents to visit Canada for up to five years per entry, for a total validity of up to 10 years. To qualify, the parent or grandparent must: have an eligible child or grandchild in Canada; receive a written invitation from that child or grandchild; be covered by a minimum of $100,000 in Canadian medical insurance; and have the invitation include financial support documentation showing the host family meets the low-income cut-off (LICO). This is significantly more flexible than a standard visitor visa, which typically allows stays of only six months per entry.</w:t>
            </w:r>
          </w:p>
        </w:tc>
      </w:tr>
    </w:tbl>
    <w:p>
      <w:pPr>
        <w:spacing w:before="80" w:after="80"/>
      </w:pPr>
    </w:p>
    <w:p>
      <w:pPr>
        <w:spacing w:before="120" w:after="0"/>
      </w:pPr>
    </w:p>
    <w:p>
      <w:pPr>
        <w:pBdr>
          <w:left w:val="single" w:color="2E86C1" w:sz="24" w:space="6"/>
        </w:pBdr>
        <w:shd w:fill="D6EAF8" w:val="clear"/>
        <w:spacing w:before="360" w:after="120"/>
        <w:ind w:left="0"/>
      </w:pPr>
      <w:r>
        <w:rPr>
          <w:rFonts w:ascii="Arial" w:cs="Arial" w:eastAsia="Arial" w:hAnsi="Arial"/>
          <w:b/>
          <w:bCs/>
          <w:color w:val="FFFFFF"/>
          <w:sz w:val="22"/>
          <w:szCs w:val="22"/>
        </w:rPr>
        <w:t xml:space="preserve">  F  </w:t>
      </w:r>
      <w:r>
        <w:rPr>
          <w:rFonts w:ascii="Arial" w:cs="Arial" w:eastAsia="Arial" w:hAnsi="Arial"/>
          <w:b/>
          <w:bCs/>
          <w:color w:val="1B4F72"/>
          <w:sz w:val="24"/>
          <w:szCs w:val="24"/>
        </w:rPr>
        <w:t xml:space="preserve">  Family Sponsorship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Q33</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Can I sponsor my spouse or partner for permanent residence?</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Yes. Canadian citizens and permanent residents can sponsor their spouse, common-law partner, or conjugal partner for permanent residence under the Family Class. To sponsor, you must be at least 18 years old, be a Canadian citizen or permanent resident, not be in receipt of social assistance (unless for disability), and meet minimum income requirements. The sponsored person must be in a genuine relationship with you. Both spouses and common-law partners (who have cohabited for at least 12 consecutive months) are eligible. Conjugal partners (who cannot cohabit due to circumstances beyond their control) may also be eligible in limited situations.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Q34</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How long does spousal sponsorship take?</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Processing times vary depending on whether your spouse is inside or outside Canada and where their application is processed. As a general benchmark, outland (outside Canada) spousal sponsorship applications have processed in roughly 12 months in recent years, while inland (inside Canada) applications — where your spouse is already in Canada — have been taking somewhat longer, often 12–18 months. IRCC updates processing times regularly on its website. Your consultant can check current estimated timelines at the time you apply.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Q35</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Can my spouse work while their sponsorship is in process?</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Yes, if your spouse is already in Canada and has applied for permanent residence under the inland spousal sponsorship stream, they can also apply for an open work permit (OWP) as a spouse of a sponsor. IRCC has streamlined this process so that the OWP application can be submitted simultaneously with the PR application. This allows your spouse to work legally in Canada while waiting for their permanent residence to be approved.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Q36</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Can I sponsor my parents or grandparents?</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Yes, though applications are subject to an annual intake cap and IRCC opens the application process for a limited period each year. To sponsor parents or grandparents you must meet the minimum necessary income (MNI) threshold — a higher income bar than spousal sponsorship — for three consecutive years before applying, and commit to supporting them financially for 20 years after they become permanent residents. The Parent and Grandparent Super Visa is an alternative to consider while waiting for a sponsorship spot.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Q37</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Can I sponsor a sibling or other relative?</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Generally, no. Canada's family sponsorship system is limited to spouses and partners, dependent children (including adopted children), parents, grandparents, and in very limited circumstances, other relatives if you are a citizen with no other relatives and have no family in Canada. Siblings, aunts, uncles, cousins, and nieces/nephews are not eligible for sponsorship under the standard family class. They would need to qualify for immigration through their own merits (skills, language, education) via an economic pathway such as Express Entry or a PNP.</w:t>
            </w:r>
          </w:p>
        </w:tc>
      </w:tr>
    </w:tbl>
    <w:p>
      <w:pPr>
        <w:spacing w:before="80" w:after="80"/>
      </w:pPr>
    </w:p>
    <w:p>
      <w:pPr>
        <w:spacing w:before="120" w:after="0"/>
      </w:pPr>
    </w:p>
    <w:p>
      <w:pPr>
        <w:pBdr>
          <w:left w:val="single" w:color="2E86C1" w:sz="24" w:space="6"/>
        </w:pBdr>
        <w:shd w:fill="D6EAF8" w:val="clear"/>
        <w:spacing w:before="360" w:after="120"/>
        <w:ind w:left="0"/>
      </w:pPr>
      <w:r>
        <w:rPr>
          <w:rFonts w:ascii="Arial" w:cs="Arial" w:eastAsia="Arial" w:hAnsi="Arial"/>
          <w:b/>
          <w:bCs/>
          <w:color w:val="FFFFFF"/>
          <w:sz w:val="22"/>
          <w:szCs w:val="22"/>
        </w:rPr>
        <w:t xml:space="preserve">  G  </w:t>
      </w:r>
      <w:r>
        <w:rPr>
          <w:rFonts w:ascii="Arial" w:cs="Arial" w:eastAsia="Arial" w:hAnsi="Arial"/>
          <w:b/>
          <w:bCs/>
          <w:color w:val="1B4F72"/>
          <w:sz w:val="24"/>
          <w:szCs w:val="24"/>
        </w:rPr>
        <w:t xml:space="preserve">  The Application Process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Q38</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documents do I typically need for a permanent residence application?</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Required documents vary by programme, but most PR applications require: a valid passport and travel history; language test results from an approved testing organisation (IELTS, CELPIP for English; TEF Canada or TCF Canada for French); educational credential assessment (ECA) from a designated organisation such as WES if your education was completed outside Canada; proof of work experience (employment letters with titles, duties, hours, and salary; pay stubs or tax documents); police certificates from every country where you lived for six months or more since age 18; medical examination completed by a designated IRCC panel physician; and photographs. Your consultant will provide a personalised checklist for your specific programme and situation.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Q39</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an Educational Credential Assessment and do I need one?</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An ECA is an official assessment by a IRCC-designated organisation that confirms your foreign educational credentials are valid and equivalent to a Canadian standard. For Express Entry applications, an ECA is required for any education completed outside Canada and is used to calculate your education CRS points. The most commonly used organisation is World Education Services (WES). Processing times for an ECA typically range from 7 to 20 business days for WES basic service, or 5–7 business days for premium service. Start this process early — you cannot create a competitive Express Entry profile without it.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Q40</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How long does a permanent residence application take after receiving an ITA?</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After receiving an Invitation to Apply (ITA) through Express Entry, you have 60 days to submit your complete permanent residence application with all supporting documents. IRCC's service standard for Express Entry-linked applications is 6 months from the date a complete application is received — and most decisions are made within this window, though complex cases may take longer. For PNP base stream and other non-Express Entry PR applications, processing times are typically 12–24 months.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Q41</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a procedural fairness letter (PFL) and what should I do if I receive one?</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A PFL (also called a "fairness letter") is a notice from IRCC indicating that an officer has concerns about your application — typically relating to credibility, documents, or eligibility — and is giving you the opportunity to respond before a final decision is made. Receiving a PFL is serious and requires a carefully drafted, evidence-based response within the deadline given (usually 30–60 days). Do not ignore a PFL. If you receive one and are not already working with an RCIC, contact a consultant immediately. An inadequate response can result in a refusal that is very difficult to overturn.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Q42</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My application was refused. What are my options?</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Your options depend on the programme and the grounds for refusal. For some programmes, you can reapply with a stronger application addressing the officer's concerns. For others, you may be able to appeal to the Immigration Appeal Division (IAD) of the Immigration and Refugee Board — typically only available for family class refusals. You can also apply for Judicial Review in the Federal Court of Canada if you believe the officer made a legal error. Some situations allow a request to reconsider, particularly if new evidence has emerged. An RCIC can review the refusal letter and advise on the most viable path forward.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Q43</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misrepresentation and how serious is it?</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Misrepresentation means providing false, misleading, or incomplete information — or withholding information — that induces or could induce an error in the administration of the Immigration and Refugee Protection Act. It does not need to be intentional to be a finding. A misrepresentation finding carries a five-year bar from applying for any Canadian immigration status. In cases of direct misrepresentation, it can also result in permanent inadmissibility. This is one of the strongest arguments for working with an RCIC: they will help you ensure every piece of information is accurate, consistent, and complete.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Q44</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is the Biometric requirement?</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Most applicants between the ages of 14 and 79 must provide fingerprints and a photo (biometrics) as part of their application. If you are applying from outside Canada, you give biometrics at a Visa Application Centre (VAC) in your country. If you are in Canada, you go to a Service Canada location. Once provided, your biometrics are valid for 10 years for most purposes. You pay a biometric fee of CAD $85 per person (up to CAD $170 for a family). Check the IRCC website for a current list of countries where biometrics are required.</w:t>
            </w:r>
          </w:p>
        </w:tc>
      </w:tr>
    </w:tbl>
    <w:p>
      <w:pPr>
        <w:spacing w:before="80" w:after="80"/>
      </w:pPr>
    </w:p>
    <w:p>
      <w:pPr>
        <w:spacing w:before="120" w:after="0"/>
      </w:pPr>
    </w:p>
    <w:p>
      <w:pPr>
        <w:pBdr>
          <w:left w:val="single" w:color="2E86C1" w:sz="24" w:space="6"/>
        </w:pBdr>
        <w:shd w:fill="D6EAF8" w:val="clear"/>
        <w:spacing w:before="360" w:after="120"/>
        <w:ind w:left="0"/>
      </w:pPr>
      <w:r>
        <w:rPr>
          <w:rFonts w:ascii="Arial" w:cs="Arial" w:eastAsia="Arial" w:hAnsi="Arial"/>
          <w:b/>
          <w:bCs/>
          <w:color w:val="FFFFFF"/>
          <w:sz w:val="22"/>
          <w:szCs w:val="22"/>
        </w:rPr>
        <w:t xml:space="preserve">  H  </w:t>
      </w:r>
      <w:r>
        <w:rPr>
          <w:rFonts w:ascii="Arial" w:cs="Arial" w:eastAsia="Arial" w:hAnsi="Arial"/>
          <w:b/>
          <w:bCs/>
          <w:color w:val="1B4F72"/>
          <w:sz w:val="24"/>
          <w:szCs w:val="24"/>
        </w:rPr>
        <w:t xml:space="preserve">  LANA Immigration — Working With Us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Q45</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languages does LANA Immigration offer services in?</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LANA Immigration offers full services in English, French, Russian, and Hebrew. This is unusual in the Canadian RCIC profession, where the vast majority of consultants operate only in English. If you prefer to communicate in French, Russian, or Hebrew throughout your immigration process — from the initial consultation through to application submission — we are equipped to work with you in your language.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Q46</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How do I book a consultation with LANA Immigration?</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You can book an initial consultation through our website by completing the assessment form, by contacting us via email, or by calling our office directly. We offer consultations by video call, phone, and in person where applicable. Please come to your consultation with your passport, any relevant language test scores, your educational background summary, and your employment history. The more information you can share, the more tailored and useful your assessment will be.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Q47</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Does LANA Immigration charge for the initial consultation?</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Please contact us directly for current consultation arrangements, as our policies may evolve. We are committed to transparency: any consultation fee will be clearly communicated before your appointment, and if a fee applies, we will explain exactly what is included. We do not charge surprise or undisclosed fees at any stage of the process.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Q48</w:t>
            </w:r>
          </w:p>
        </w:tc>
        <w:tc>
          <w:tcPr>
            <w:tcW w:type="dxa" w:w="8840"/>
            <w:tcBorders>
              <w:top w:val="single" w:color="D5D8DC" w:sz="1"/>
              <w:left w:val="single" w:color="D5D8DC" w:sz="1"/>
              <w:bottom w:val="single" w:color="D5D8DC" w:sz="1"/>
              <w:right w:val="single" w:color="D5D8DC" w:sz="1"/>
            </w:tcBorders>
            <w:shd w:fill="F4F6F7"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What immigration programmes does LANA Immigration handle?</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4F6F7"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LANA Immigration handles a broad range of Canadian immigration matters, including Express Entry (Federal Skilled Worker, Federal Skilled Trades, Canadian Experience Class), Provincial Nominee Programs, citizenship applications (grants and certificates), temporary residence including work permits and visitor visas, and family sponsorship. If you have a more specialised situation — such as a prior refusal, a complex employment history, or cross-border concerns — contact us to discuss whether your case falls within our practice.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520"/>
        <w:gridCol w:w="8840"/>
      </w:tblGrid>
      <w:tr>
        <w:tc>
          <w:tcPr>
            <w:tcW w:type="dxa" w:w="520"/>
            <w:tcBorders>
              <w:top w:val="single" w:color="D5D8DC" w:sz="1"/>
              <w:left w:val="single" w:color="D5D8DC" w:sz="1"/>
              <w:bottom w:val="single" w:color="D5D8DC" w:sz="1"/>
              <w:right w:val="single" w:color="D5D8DC" w:sz="1"/>
            </w:tcBorders>
            <w:shd w:fill="1B4F72" w:val="clear"/>
            <w:tcMar>
              <w:top w:type="dxa" w:w="100"/>
              <w:left w:type="dxa" w:w="120"/>
              <w:bottom w:type="dxa" w:w="0"/>
              <w:right w:type="dxa" w:w="120"/>
            </w:tcMar>
            <w:vAlign w:val="top"/>
          </w:tcPr>
          <w:p>
            <w:pPr>
              <w:spacing w:before="60" w:after="0"/>
              <w:jc w:val="center"/>
            </w:pPr>
            <w:r>
              <w:rPr>
                <w:rFonts w:ascii="Arial" w:cs="Arial" w:eastAsia="Arial" w:hAnsi="Arial"/>
                <w:b/>
                <w:bCs/>
                <w:color w:val="FFFFFF"/>
                <w:sz w:val="18"/>
                <w:szCs w:val="18"/>
              </w:rPr>
              <w:t xml:space="preserve">Q49</w:t>
            </w:r>
          </w:p>
        </w:tc>
        <w:tc>
          <w:tcPr>
            <w:tcW w:type="dxa" w:w="8840"/>
            <w:tcBorders>
              <w:top w:val="single" w:color="D5D8DC" w:sz="1"/>
              <w:left w:val="single" w:color="D5D8DC" w:sz="1"/>
              <w:bottom w:val="single" w:color="D5D8DC" w:sz="1"/>
              <w:right w:val="single" w:color="D5D8DC" w:sz="1"/>
            </w:tcBorders>
            <w:shd w:fill="FFFFFF" w:val="clear"/>
            <w:tcMar>
              <w:top w:type="dxa" w:w="80"/>
              <w:left w:type="dxa" w:w="180"/>
              <w:bottom w:type="dxa" w:w="80"/>
              <w:right w:type="dxa" w:w="120"/>
            </w:tcMar>
          </w:tcPr>
          <w:p>
            <w:pPr>
              <w:spacing w:before="0" w:after="0"/>
            </w:pPr>
            <w:r>
              <w:rPr>
                <w:rFonts w:ascii="Arial" w:cs="Arial" w:eastAsia="Arial" w:hAnsi="Arial"/>
                <w:b/>
                <w:bCs/>
                <w:color w:val="1B4F72"/>
                <w:sz w:val="22"/>
                <w:szCs w:val="22"/>
              </w:rPr>
              <w:t xml:space="preserve">Is the information on this website legal advice?</w:t>
            </w:r>
          </w:p>
        </w:tc>
      </w:tr>
      <w:tr>
        <w:tc>
          <w:tcPr>
            <w:tcW w:type="dxa" w:w="520"/>
            <w:tcBorders>
              <w:top w:val="single" w:color="D5D8DC" w:sz="1"/>
              <w:left w:val="single" w:color="D5D8DC" w:sz="1"/>
              <w:bottom w:val="single" w:color="D5D8DC" w:sz="1"/>
              <w:right w:val="single" w:color="D5D8DC" w:sz="1"/>
            </w:tcBorders>
            <w:shd w:fill="2E86C1" w:val="clear"/>
            <w:tcMar>
              <w:top w:type="dxa" w:w="0"/>
              <w:left w:type="dxa" w:w="120"/>
              <w:bottom w:type="dxa" w:w="100"/>
              <w:right w:type="dxa" w:w="120"/>
            </w:tcMar>
            <w:vAlign w:val="top"/>
          </w:tcPr>
          <w:p>
            <w:pPr>
              <w:spacing w:before="0" w:after="60"/>
              <w:jc w:val="center"/>
            </w:pPr>
            <w:r>
              <w:rPr>
                <w:rFonts w:ascii="Arial" w:cs="Arial" w:eastAsia="Arial" w:hAnsi="Arial"/>
                <w:b/>
                <w:bCs/>
                <w:color w:val="FFFFFF"/>
                <w:sz w:val="18"/>
                <w:szCs w:val="18"/>
              </w:rPr>
              <w:t xml:space="preserve">A</w:t>
            </w:r>
          </w:p>
        </w:tc>
        <w:tc>
          <w:tcPr>
            <w:tcW w:type="dxa" w:w="8840"/>
            <w:tcBorders>
              <w:top w:val="single" w:color="D5D8DC" w:sz="1"/>
              <w:left w:val="single" w:color="D5D8DC" w:sz="1"/>
              <w:bottom w:val="single" w:color="D5D8DC" w:sz="1"/>
              <w:right w:val="single" w:color="D5D8DC" w:sz="1"/>
            </w:tcBorders>
            <w:shd w:fill="FFFFFF" w:val="clear"/>
            <w:tcMar>
              <w:top w:type="dxa" w:w="60"/>
              <w:left w:type="dxa" w:w="180"/>
              <w:bottom w:type="dxa" w:w="100"/>
              <w:right w:type="dxa" w:w="120"/>
            </w:tcMar>
          </w:tcPr>
          <w:p>
            <w:pPr>
              <w:spacing w:before="0" w:after="0"/>
            </w:pPr>
            <w:r>
              <w:rPr>
                <w:rFonts w:ascii="Arial" w:cs="Arial" w:eastAsia="Arial" w:hAnsi="Arial"/>
                <w:color w:val="1C2833"/>
                <w:sz w:val="21"/>
                <w:szCs w:val="21"/>
              </w:rPr>
              <w:t xml:space="preserve">No. The content on this website — including this FAQ — is provided for general informational purposes only. It does not constitute legal or immigration advice and should not be relied upon as such. Canadian immigration law and IRCC policy change frequently. Only a personal consultation with a licensed RCIC who has reviewed the specific facts of your situation constitutes regulated advice. We encourage you to book a consultation before making any immigration decisions.</w:t>
            </w:r>
          </w:p>
        </w:tc>
      </w:tr>
    </w:tbl>
    <w:p>
      <w:pPr>
        <w:spacing w:before="80" w:after="80"/>
      </w:pPr>
    </w:p>
    <w:p>
      <w:pPr>
        <w:spacing w:before="120" w:after="0"/>
      </w:pPr>
    </w:p>
    <w:p>
      <w:pPr>
        <w:pBdr>
          <w:top w:val="single" w:color="2E86C1" w:sz="6" w:space="8"/>
        </w:pBdr>
        <w:spacing w:before="200" w:after="80"/>
      </w:pPr>
    </w:p>
    <w:p>
      <w:pPr>
        <w:spacing w:before="0" w:after="40"/>
        <w:jc w:val="center"/>
      </w:pPr>
      <w:r>
        <w:rPr>
          <w:rFonts w:ascii="Arial" w:cs="Arial" w:eastAsia="Arial" w:hAnsi="Arial"/>
          <w:b/>
          <w:bCs/>
          <w:color w:val="1B4F72"/>
          <w:sz w:val="20"/>
          <w:szCs w:val="20"/>
        </w:rPr>
        <w:t xml:space="preserve">Disclaimer</w:t>
      </w:r>
    </w:p>
    <w:p>
      <w:pPr>
        <w:spacing w:before="0" w:after="40"/>
        <w:jc w:val="center"/>
      </w:pPr>
      <w:r>
        <w:rPr>
          <w:rFonts w:ascii="Arial" w:cs="Arial" w:eastAsia="Arial" w:hAnsi="Arial"/>
          <w:color w:val="AEB6BF"/>
          <w:sz w:val="18"/>
          <w:szCs w:val="18"/>
        </w:rPr>
        <w:t xml:space="preserve">This FAQ is provided for general informational purposes only and does not constitute legal or immigration advice. Canadian immigration law and IRCC policy change frequently. Always consult a licensed RCIC before making any immigration decision. LANA Immigration is a licensed RCIC practice regulated by the College of Immigration and Citizenship Consultants (CICC).</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B6BF" w:sz="4" w:space="4"/>
      </w:pBdr>
      <w:spacing w:before="80"/>
      <w:jc w:val="center"/>
    </w:pPr>
    <w:r>
      <w:rPr>
        <w:rFonts w:ascii="Arial" w:cs="Arial" w:eastAsia="Arial" w:hAnsi="Arial"/>
        <w:color w:val="AEB6BF"/>
        <w:sz w:val="18"/>
        <w:szCs w:val="18"/>
      </w:rPr>
      <w:t xml:space="preserve">Page </w:t>
    </w:r>
    <w:r>
      <w:rPr>
        <w:rFonts w:ascii="Arial" w:cs="Arial" w:eastAsia="Arial" w:hAnsi="Arial"/>
        <w:color w:val="AEB6BF"/>
        <w:sz w:val="18"/>
        <w:szCs w:val="18"/>
      </w:rPr>
      <w:fldChar w:fldCharType="begin"/>
      <w:instrText xml:space="preserve">PAGE</w:instrText>
      <w:fldChar w:fldCharType="separate"/>
      <w:fldChar w:fldCharType="end"/>
    </w:r>
    <w:r>
      <w:rPr>
        <w:rFonts w:ascii="Arial" w:cs="Arial" w:eastAsia="Arial" w:hAnsi="Arial"/>
        <w:color w:val="AEB6BF"/>
        <w:sz w:val="18"/>
        <w:szCs w:val="18"/>
      </w:rPr>
      <w:t xml:space="preserve"> of </w:t>
    </w:r>
    <w:r>
      <w:rPr>
        <w:rFonts w:ascii="Arial" w:cs="Arial" w:eastAsia="Arial" w:hAnsi="Arial"/>
        <w:color w:val="AEB6B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after="80"/>
      <w:jc w:val="right"/>
    </w:pPr>
    <w:r>
      <w:rPr>
        <w:rFonts w:ascii="Arial" w:cs="Arial" w:eastAsia="Arial" w:hAnsi="Arial"/>
        <w:color w:val="AEB6BF"/>
        <w:sz w:val="18"/>
        <w:szCs w:val="18"/>
      </w:rPr>
      <w:t xml:space="preserve">LANA Immigration  ·  Frequently Asked Questions  ·  lanacanada.ca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4F7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2026-03-10T01:13:21.414Z</dcterms:created>
  <dcterms:modified xsi:type="dcterms:W3CDTF">2026-03-10T01:13:21.415Z</dcterms:modified>
</cp:coreProperties>
</file>

<file path=docProps/custom.xml><?xml version="1.0" encoding="utf-8"?>
<Properties xmlns="http://schemas.openxmlformats.org/officeDocument/2006/custom-properties" xmlns:vt="http://schemas.openxmlformats.org/officeDocument/2006/docPropsVTypes"/>
</file>