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54AE" w14:textId="1FB88347" w:rsidR="00C47173" w:rsidRDefault="00C47173" w:rsidP="00C47173">
      <w:pPr>
        <w:pStyle w:val="berschrift1"/>
        <w:jc w:val="center"/>
        <w:rPr>
          <w:rFonts w:ascii="Roboto" w:eastAsia="Times New Roman" w:hAnsi="Roboto"/>
        </w:rPr>
      </w:pPr>
      <w:r w:rsidRPr="00152C63">
        <w:rPr>
          <w:rFonts w:ascii="Roboto" w:eastAsia="Times New Roman" w:hAnsi="Roboto"/>
          <w:lang w:eastAsia="de-DE"/>
        </w:rPr>
        <w:t xml:space="preserve">Grundlagen </w:t>
      </w:r>
      <w:r w:rsidR="00160F7D">
        <w:rPr>
          <w:rFonts w:ascii="Roboto" w:eastAsia="Times New Roman" w:hAnsi="Roboto"/>
          <w:lang w:eastAsia="de-DE"/>
        </w:rPr>
        <w:t>OOP</w:t>
      </w:r>
      <w:r w:rsidRPr="00301003">
        <w:rPr>
          <w:rFonts w:ascii="Roboto" w:eastAsia="Times New Roman" w:hAnsi="Roboto"/>
          <w:lang w:eastAsia="de-DE"/>
        </w:rPr>
        <w:t xml:space="preserve"> 202</w:t>
      </w:r>
      <w:r>
        <w:rPr>
          <w:rFonts w:ascii="Roboto" w:eastAsia="Times New Roman" w:hAnsi="Roboto"/>
          <w:lang w:eastAsia="de-DE"/>
        </w:rPr>
        <w:t>5</w:t>
      </w:r>
      <w:r w:rsidRPr="00301003">
        <w:rPr>
          <w:rFonts w:ascii="Roboto" w:eastAsia="Times New Roman" w:hAnsi="Roboto"/>
          <w:lang w:eastAsia="de-DE"/>
        </w:rPr>
        <w:br/>
      </w:r>
      <w:r w:rsidR="00160F7D">
        <w:rPr>
          <w:rFonts w:ascii="Roboto" w:eastAsia="Times New Roman" w:hAnsi="Roboto"/>
          <w:lang w:eastAsia="de-DE"/>
        </w:rPr>
        <w:t>3</w:t>
      </w:r>
      <w:r>
        <w:rPr>
          <w:rFonts w:ascii="Roboto" w:eastAsia="Times New Roman" w:hAnsi="Roboto"/>
          <w:lang w:eastAsia="de-DE"/>
        </w:rPr>
        <w:t>. Zwischen-Test</w:t>
      </w:r>
      <w:r w:rsidRPr="00301003">
        <w:rPr>
          <w:rFonts w:ascii="Roboto" w:eastAsia="Times New Roman" w:hAnsi="Roboto"/>
          <w:lang w:eastAsia="de-DE"/>
        </w:rPr>
        <w:t xml:space="preserve"> </w:t>
      </w:r>
      <w:r>
        <w:rPr>
          <w:rFonts w:ascii="Roboto" w:eastAsia="Times New Roman" w:hAnsi="Roboto"/>
          <w:lang w:eastAsia="de-DE"/>
        </w:rPr>
        <w:t>VZ</w:t>
      </w:r>
      <w:r w:rsidRPr="00301003">
        <w:rPr>
          <w:rFonts w:ascii="Roboto" w:eastAsia="Times New Roman" w:hAnsi="Roboto"/>
        </w:rPr>
        <w:br/>
      </w:r>
      <w:r>
        <w:rPr>
          <w:rFonts w:ascii="Roboto" w:eastAsia="Times New Roman" w:hAnsi="Roboto"/>
          <w:sz w:val="24"/>
        </w:rPr>
        <w:t>1</w:t>
      </w:r>
      <w:r w:rsidR="00160F7D">
        <w:rPr>
          <w:rFonts w:ascii="Roboto" w:eastAsia="Times New Roman" w:hAnsi="Roboto"/>
          <w:sz w:val="24"/>
        </w:rPr>
        <w:t>2</w:t>
      </w:r>
      <w:r w:rsidRPr="00301003">
        <w:rPr>
          <w:rFonts w:ascii="Roboto" w:eastAsia="Times New Roman" w:hAnsi="Roboto"/>
          <w:sz w:val="24"/>
        </w:rPr>
        <w:t>.</w:t>
      </w:r>
      <w:r>
        <w:rPr>
          <w:rFonts w:ascii="Roboto" w:eastAsia="Times New Roman" w:hAnsi="Roboto"/>
          <w:sz w:val="24"/>
        </w:rPr>
        <w:t xml:space="preserve"> 1 </w:t>
      </w:r>
      <w:r w:rsidRPr="00301003">
        <w:rPr>
          <w:rFonts w:ascii="Roboto" w:eastAsia="Times New Roman" w:hAnsi="Roboto"/>
          <w:sz w:val="24"/>
        </w:rPr>
        <w:t>.202</w:t>
      </w:r>
      <w:r>
        <w:rPr>
          <w:rFonts w:ascii="Roboto" w:eastAsia="Times New Roman" w:hAnsi="Roboto"/>
          <w:sz w:val="24"/>
        </w:rPr>
        <w:t>6</w:t>
      </w:r>
      <w:r w:rsidRPr="00301003">
        <w:rPr>
          <w:rFonts w:ascii="Roboto" w:eastAsia="Times New Roman" w:hAnsi="Roboto"/>
          <w:sz w:val="24"/>
        </w:rPr>
        <w:br/>
      </w:r>
      <w:r>
        <w:rPr>
          <w:rFonts w:ascii="Roboto" w:eastAsia="Times New Roman" w:hAnsi="Roboto"/>
        </w:rPr>
        <w:t>15</w:t>
      </w:r>
      <w:r w:rsidRPr="000E46DA">
        <w:rPr>
          <w:rFonts w:ascii="Roboto" w:eastAsia="Times New Roman" w:hAnsi="Roboto"/>
        </w:rPr>
        <w:t xml:space="preserve"> Punkte</w:t>
      </w:r>
    </w:p>
    <w:p w14:paraId="1D0F84B9" w14:textId="77777777" w:rsidR="001F233A" w:rsidRPr="001F233A" w:rsidRDefault="001F233A" w:rsidP="001F233A">
      <w:pPr>
        <w:rPr>
          <w:lang w:val="de-DE"/>
        </w:rPr>
      </w:pPr>
      <w:r w:rsidRPr="001F233A">
        <w:rPr>
          <w:lang w:val="de-DE"/>
        </w:rPr>
        <w:t xml:space="preserve">Erstellen Sie ein UML-Klassendiagramm zur Modellierung von Unternehmen und Finanzämtern. Der Fokus liegt auf Vererbungen, 1:1- und </w:t>
      </w:r>
      <w:proofErr w:type="gramStart"/>
      <w:r w:rsidRPr="001F233A">
        <w:rPr>
          <w:lang w:val="de-DE"/>
        </w:rPr>
        <w:t>1:N</w:t>
      </w:r>
      <w:proofErr w:type="gramEnd"/>
      <w:r w:rsidRPr="001F233A">
        <w:rPr>
          <w:lang w:val="de-DE"/>
        </w:rPr>
        <w:t>-Beziehungen sowie fachlichen Einschränkungen wie Einzigartigkeit, Unveränderlichkeit und Mindestanzahlen.</w:t>
      </w:r>
    </w:p>
    <w:p w14:paraId="77637C54" w14:textId="77777777" w:rsidR="001F233A" w:rsidRPr="001F233A" w:rsidRDefault="001F233A" w:rsidP="001F233A">
      <w:pPr>
        <w:rPr>
          <w:lang w:val="de-DE"/>
        </w:rPr>
      </w:pPr>
      <w:r w:rsidRPr="001F233A">
        <w:rPr>
          <w:lang w:val="de-DE"/>
        </w:rPr>
        <w:t>Ein Unternehmen besitzt einen Namen und eine automatisch vergebene Kennung, die eindeutig ist und nach der Vergabe nicht mehr verändert werden darf. Die Kennung besteht aus einem Buchstaben zur Kennzeichnung der Unternehmensform (E für Einzelunternehmen, P für Personengesellschaft, J für juristische Person) sowie einer global fortlaufenden Nummer beginnend bei eins. Einmal vergebene Kennungen dürfen nicht erneut verwendet werden.</w:t>
      </w:r>
    </w:p>
    <w:p w14:paraId="3EA59B86" w14:textId="77777777" w:rsidR="001F233A" w:rsidRPr="001F233A" w:rsidRDefault="001F233A" w:rsidP="001F233A">
      <w:pPr>
        <w:rPr>
          <w:lang w:val="de-DE"/>
        </w:rPr>
      </w:pPr>
      <w:r w:rsidRPr="001F233A">
        <w:rPr>
          <w:lang w:val="de-DE"/>
        </w:rPr>
        <w:t>Jedes Unternehmen ist genau einer Branche zugeordnet. Mögliche Branchen sind Gewerbe (12), Handel (13), Industrie (14) und Mischform (15). Die Branchenkennzahl ist fix und unveränderlich. Zusätzlich besitzt jedes Unternehmen einen festen Steuersatz, der von der Unternehmensform abhängt. Einzelunternehmen und Personengesellschaften unterliegen der Einkommensteuer mit dreißig Prozent, juristische Personen der Körperschaftsteuer mit fünfundzwanzig Prozent. Der Steuersatz ist nicht änderbar. Jedes Unternehmen besitzt außerdem einen Status, der angibt, ob es beim Finanzamt angemeldet ist oder ob die Anmeldung noch ausständig ist.</w:t>
      </w:r>
    </w:p>
    <w:p w14:paraId="724C4B01" w14:textId="77777777" w:rsidR="001F233A" w:rsidRPr="001F233A" w:rsidRDefault="001F233A" w:rsidP="001F233A">
      <w:pPr>
        <w:rPr>
          <w:lang w:val="de-DE"/>
        </w:rPr>
      </w:pPr>
      <w:r w:rsidRPr="001F233A">
        <w:rPr>
          <w:lang w:val="de-DE"/>
        </w:rPr>
        <w:t>Unabhängig von der Unternehmensform besitzt jedes Unternehmen genau ein Aufwandskonto und genau ein Ertragskonto. Diese Konten müssen verschieden sein und gehören jeweils eindeutig zu genau einem Unternehmen.</w:t>
      </w:r>
    </w:p>
    <w:p w14:paraId="73E651B5" w14:textId="77777777" w:rsidR="001F233A" w:rsidRPr="001F233A" w:rsidRDefault="001F233A" w:rsidP="001F233A">
      <w:pPr>
        <w:rPr>
          <w:lang w:val="de-DE"/>
        </w:rPr>
      </w:pPr>
      <w:r w:rsidRPr="001F233A">
        <w:rPr>
          <w:lang w:val="de-DE"/>
        </w:rPr>
        <w:t>Ein Einzelunternehmen ist eine Spezialisierung eines Unternehmens und besitzt zusätzlich die Information, ob es vorsteuerabzugsberechtigt ist. Von Einzelunternehmen dürfen keine weiteren Klassen erben. Eine Personengesellschaft erfasst zusätzlich die Anzahl der Komplementäre und Kommanditisten. Beide Werte dürfen nicht negativ sein, mindestens eine dieser Gruppen muss vorhanden sein. Eine juristische Person verfügt über einen Aufsichtsrat mit einem oder mehreren Mitgliedern, von denen jeweils nur der Name gespeichert wird.</w:t>
      </w:r>
    </w:p>
    <w:p w14:paraId="65D97FC4" w14:textId="77777777" w:rsidR="001F233A" w:rsidRPr="001F233A" w:rsidRDefault="001F233A" w:rsidP="001F233A">
      <w:pPr>
        <w:rPr>
          <w:lang w:val="de-DE"/>
        </w:rPr>
      </w:pPr>
      <w:r w:rsidRPr="001F233A">
        <w:rPr>
          <w:lang w:val="de-DE"/>
        </w:rPr>
        <w:t>Ein Finanzamt ist eine Behörde und kein Unternehmen. Es besitzt einen eindeutigen, unveränderlichen Namen sowie ein eigenes Konto als Steuereinnahmen-Topf. Ein Finanzamt kann mehrere Unternehmen betreuen, jedes Unternehmen ist jedoch genau einem Finanzamt zugeordnet. Zusätzlich beschäftigt ein Finanzamt Mitarbeiter. Jeder Mitarbeiter besitzt eine eindeutige, unveränderliche Personalnummer sowie einen Namen und kann nur bei genau einem Finanzamt tätig sein.</w:t>
      </w:r>
    </w:p>
    <w:p w14:paraId="64077B83" w14:textId="77777777" w:rsidR="001F233A" w:rsidRPr="001F233A" w:rsidRDefault="001F233A" w:rsidP="001F233A">
      <w:pPr>
        <w:rPr>
          <w:lang w:val="de-DE"/>
        </w:rPr>
      </w:pPr>
      <w:r w:rsidRPr="001F233A">
        <w:rPr>
          <w:lang w:val="de-DE"/>
        </w:rPr>
        <w:t xml:space="preserve">Ein Finanzamt kann eine oder mehrere Niederlassungen besitzen. Jede Niederlassung ist genau einem Finanzamt zugeordnet, besitzt eine innerhalb des Finanzamts eindeutige Bezeichnung und hat genau einen Mitarbeiter als Leiter. Eine Niederlassung kann mehrere Mitarbeiter beschäftigen. Jeder Mitarbeiter arbeitet genau in einer Niederlassung und darf nicht gleichzeitig in mehreren </w:t>
      </w:r>
      <w:r w:rsidRPr="001F233A">
        <w:rPr>
          <w:lang w:val="de-DE"/>
        </w:rPr>
        <w:lastRenderedPageBreak/>
        <w:t>Niederlassungen tätig sein. Der Leiter einer Niederlassung ist gleichzeitig ein Mitarbeiter dieser Niederlassung.</w:t>
      </w:r>
    </w:p>
    <w:p w14:paraId="0E1A2D5B" w14:textId="29721286" w:rsidR="001F233A" w:rsidRPr="001F233A" w:rsidRDefault="001F233A" w:rsidP="001F233A">
      <w:pPr>
        <w:rPr>
          <w:lang w:val="de-DE"/>
        </w:rPr>
      </w:pPr>
    </w:p>
    <w:p w14:paraId="1D4AAA97" w14:textId="00ED44B9" w:rsidR="001F233A" w:rsidRPr="001F233A" w:rsidRDefault="001F233A" w:rsidP="001F233A">
      <w:pPr>
        <w:rPr>
          <w:b/>
          <w:bCs/>
          <w:lang w:val="de-DE"/>
        </w:rPr>
      </w:pPr>
      <w:r w:rsidRPr="001F233A">
        <w:rPr>
          <w:b/>
          <w:bCs/>
          <w:lang w:val="de-DE"/>
        </w:rPr>
        <w:t xml:space="preserve">Methoden </w:t>
      </w:r>
    </w:p>
    <w:p w14:paraId="547F34FA" w14:textId="77777777" w:rsidR="001F233A" w:rsidRPr="001F233A" w:rsidRDefault="001F233A" w:rsidP="001F233A">
      <w:pPr>
        <w:rPr>
          <w:lang w:val="de-DE"/>
        </w:rPr>
      </w:pPr>
      <w:r w:rsidRPr="001F233A">
        <w:rPr>
          <w:lang w:val="de-DE"/>
        </w:rPr>
        <w:t xml:space="preserve">Ein Finanzamt stellt eine Methode zum Hinzufügen eines Unternehmens bereit. Ein Unternehmen darf nur hinzugefügt werden, wenn es noch nicht beim Finanzamt gemeldet ist. Bei erfolgreichem Hinzufügen wird das Finanzamt beim Unternehmen gesetzt und der Status des Unternehmens angepasst. Ist das Unternehmen bereits vorhanden, wird eine </w:t>
      </w:r>
      <w:proofErr w:type="spellStart"/>
      <w:r w:rsidRPr="001F233A">
        <w:rPr>
          <w:lang w:val="de-DE"/>
        </w:rPr>
        <w:t>Exception</w:t>
      </w:r>
      <w:proofErr w:type="spellEnd"/>
      <w:r w:rsidRPr="001F233A">
        <w:rPr>
          <w:lang w:val="de-DE"/>
        </w:rPr>
        <w:t xml:space="preserve"> mit einer klaren Fehlermeldung ausgelöst.</w:t>
      </w:r>
    </w:p>
    <w:p w14:paraId="2F2037A8" w14:textId="77777777" w:rsidR="001F233A" w:rsidRPr="001F233A" w:rsidRDefault="001F233A" w:rsidP="001F233A">
      <w:pPr>
        <w:rPr>
          <w:lang w:val="de-DE"/>
        </w:rPr>
      </w:pPr>
      <w:r w:rsidRPr="001F233A">
        <w:rPr>
          <w:lang w:val="de-DE"/>
        </w:rPr>
        <w:t>Weiters besitzt das Finanzamt eine Methode zum Entfernen eines Unternehmens. Diese liefert einen booleschen Rückgabewert, der angibt, ob das Entfernen erfolgreich war. Ein Entfernen ist nicht möglich, wenn das Unternehmen nicht gemeldet ist.</w:t>
      </w:r>
    </w:p>
    <w:p w14:paraId="020403E6" w14:textId="77777777" w:rsidR="001F233A" w:rsidRPr="001F233A" w:rsidRDefault="001F233A" w:rsidP="001F233A">
      <w:pPr>
        <w:rPr>
          <w:lang w:val="de-DE"/>
        </w:rPr>
      </w:pPr>
      <w:r w:rsidRPr="001F233A">
        <w:rPr>
          <w:lang w:val="de-DE"/>
        </w:rPr>
        <w:t>Ein Unternehmen bietet eine Methode zur Durchführung der Umsatzsteuer-Voranmeldung an. Dabei werden der Umsatz ohne Steuer sowie die Einkäufe ohne Vorsteuer übergeben. Die Umsatzsteuer wird mit zwanzig Prozent berechnet. Ergibt sich eine Zahllast, wird der entsprechende Betrag dem Steuereinnahmen-Topf des zuständigen Finanzamts gutgeschrieben und das Aufwandskonto des Unternehmens angepasst. Ergibt sich eine Gutschrift, wird das Ertragskonto angepasst. Das Ergebnis ist über die Konsole auszugeben.</w:t>
      </w:r>
    </w:p>
    <w:p w14:paraId="6F163630" w14:textId="77777777" w:rsidR="001F233A" w:rsidRPr="001F233A" w:rsidRDefault="001F233A" w:rsidP="001F233A">
      <w:pPr>
        <w:rPr>
          <w:lang w:val="de-DE"/>
        </w:rPr>
      </w:pPr>
      <w:r w:rsidRPr="001F233A">
        <w:rPr>
          <w:lang w:val="de-DE"/>
        </w:rPr>
        <w:t>Zusätzlich stellt das Finanzamt eine Methode bereit, die eine Liste aller aktuell zugewiesenen Unternehmen liefert.</w:t>
      </w:r>
    </w:p>
    <w:p w14:paraId="5E3A26EF" w14:textId="77777777" w:rsidR="00160F7D" w:rsidRPr="001F233A" w:rsidRDefault="00160F7D" w:rsidP="001F233A">
      <w:pPr>
        <w:rPr>
          <w:lang w:val="de-DE"/>
        </w:rPr>
      </w:pPr>
    </w:p>
    <w:sectPr w:rsidR="00160F7D" w:rsidRPr="001F233A" w:rsidSect="00C4717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2F21A" w14:textId="77777777" w:rsidR="00A44E03" w:rsidRDefault="00A44E03" w:rsidP="00C47173">
      <w:pPr>
        <w:spacing w:after="0" w:line="240" w:lineRule="auto"/>
      </w:pPr>
      <w:r>
        <w:separator/>
      </w:r>
    </w:p>
  </w:endnote>
  <w:endnote w:type="continuationSeparator" w:id="0">
    <w:p w14:paraId="652BF2A1" w14:textId="77777777" w:rsidR="00A44E03" w:rsidRDefault="00A44E03" w:rsidP="00C47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12E0A" w14:textId="77777777" w:rsidR="00A44E03" w:rsidRDefault="00A44E03" w:rsidP="00C47173">
      <w:pPr>
        <w:spacing w:after="0" w:line="240" w:lineRule="auto"/>
      </w:pPr>
      <w:r>
        <w:separator/>
      </w:r>
    </w:p>
  </w:footnote>
  <w:footnote w:type="continuationSeparator" w:id="0">
    <w:p w14:paraId="6E46F796" w14:textId="77777777" w:rsidR="00A44E03" w:rsidRDefault="00A44E03" w:rsidP="00C471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504"/>
    <w:rsid w:val="000C475E"/>
    <w:rsid w:val="000E2CC0"/>
    <w:rsid w:val="00160F7D"/>
    <w:rsid w:val="001E0B8C"/>
    <w:rsid w:val="001F233A"/>
    <w:rsid w:val="003D174F"/>
    <w:rsid w:val="0053388C"/>
    <w:rsid w:val="00553D1E"/>
    <w:rsid w:val="00754588"/>
    <w:rsid w:val="007A0BE2"/>
    <w:rsid w:val="00A44E03"/>
    <w:rsid w:val="00C47173"/>
    <w:rsid w:val="00CB6E1E"/>
    <w:rsid w:val="00F54C7D"/>
    <w:rsid w:val="00FE250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70E4C"/>
  <w15:chartTrackingRefBased/>
  <w15:docId w15:val="{D038485F-F327-40BF-A097-B075A2059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E2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E2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E250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E250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E250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E250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E250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E250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E250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E250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E250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E250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E250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E250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E250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E250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E250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E2504"/>
    <w:rPr>
      <w:rFonts w:eastAsiaTheme="majorEastAsia" w:cstheme="majorBidi"/>
      <w:color w:val="272727" w:themeColor="text1" w:themeTint="D8"/>
    </w:rPr>
  </w:style>
  <w:style w:type="paragraph" w:styleId="Titel">
    <w:name w:val="Title"/>
    <w:basedOn w:val="Standard"/>
    <w:next w:val="Standard"/>
    <w:link w:val="TitelZchn"/>
    <w:uiPriority w:val="10"/>
    <w:qFormat/>
    <w:rsid w:val="00FE2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E250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E250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E250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E250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E2504"/>
    <w:rPr>
      <w:i/>
      <w:iCs/>
      <w:color w:val="404040" w:themeColor="text1" w:themeTint="BF"/>
    </w:rPr>
  </w:style>
  <w:style w:type="paragraph" w:styleId="Listenabsatz">
    <w:name w:val="List Paragraph"/>
    <w:basedOn w:val="Standard"/>
    <w:uiPriority w:val="34"/>
    <w:qFormat/>
    <w:rsid w:val="00FE2504"/>
    <w:pPr>
      <w:ind w:left="720"/>
      <w:contextualSpacing/>
    </w:pPr>
  </w:style>
  <w:style w:type="character" w:styleId="IntensiveHervorhebung">
    <w:name w:val="Intense Emphasis"/>
    <w:basedOn w:val="Absatz-Standardschriftart"/>
    <w:uiPriority w:val="21"/>
    <w:qFormat/>
    <w:rsid w:val="00FE2504"/>
    <w:rPr>
      <w:i/>
      <w:iCs/>
      <w:color w:val="0F4761" w:themeColor="accent1" w:themeShade="BF"/>
    </w:rPr>
  </w:style>
  <w:style w:type="paragraph" w:styleId="IntensivesZitat">
    <w:name w:val="Intense Quote"/>
    <w:basedOn w:val="Standard"/>
    <w:next w:val="Standard"/>
    <w:link w:val="IntensivesZitatZchn"/>
    <w:uiPriority w:val="30"/>
    <w:qFormat/>
    <w:rsid w:val="00FE2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E2504"/>
    <w:rPr>
      <w:i/>
      <w:iCs/>
      <w:color w:val="0F4761" w:themeColor="accent1" w:themeShade="BF"/>
    </w:rPr>
  </w:style>
  <w:style w:type="character" w:styleId="IntensiverVerweis">
    <w:name w:val="Intense Reference"/>
    <w:basedOn w:val="Absatz-Standardschriftart"/>
    <w:uiPriority w:val="32"/>
    <w:qFormat/>
    <w:rsid w:val="00FE2504"/>
    <w:rPr>
      <w:b/>
      <w:bCs/>
      <w:smallCaps/>
      <w:color w:val="0F4761" w:themeColor="accent1" w:themeShade="BF"/>
      <w:spacing w:val="5"/>
    </w:rPr>
  </w:style>
  <w:style w:type="paragraph" w:styleId="Kopfzeile">
    <w:name w:val="header"/>
    <w:basedOn w:val="Standard"/>
    <w:link w:val="KopfzeileZchn"/>
    <w:uiPriority w:val="99"/>
    <w:unhideWhenUsed/>
    <w:rsid w:val="00C4717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47173"/>
  </w:style>
  <w:style w:type="paragraph" w:styleId="Fuzeile">
    <w:name w:val="footer"/>
    <w:basedOn w:val="Standard"/>
    <w:link w:val="FuzeileZchn"/>
    <w:uiPriority w:val="99"/>
    <w:unhideWhenUsed/>
    <w:rsid w:val="00C4717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471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591</Words>
  <Characters>3730</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Nigitsch, Martin</dc:creator>
  <cp:keywords/>
  <dc:description/>
  <cp:lastModifiedBy>Deutsch, Michael</cp:lastModifiedBy>
  <cp:revision>2</cp:revision>
  <dcterms:created xsi:type="dcterms:W3CDTF">2026-01-12T07:34:00Z</dcterms:created>
  <dcterms:modified xsi:type="dcterms:W3CDTF">2026-01-12T07:34:00Z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ffb6f5-a176-4d21-8b93-1cb00934c0de_Enabled">
    <vt:lpwstr>true</vt:lpwstr>
  </property>
  <property fmtid="{D5CDD505-2E9C-101B-9397-08002B2CF9AE}" pid="3" name="MSIP_Label_d1ffb6f5-a176-4d21-8b93-1cb00934c0de_SetDate">
    <vt:lpwstr>2026-01-05T12:23:42Z</vt:lpwstr>
  </property>
  <property fmtid="{D5CDD505-2E9C-101B-9397-08002B2CF9AE}" pid="4" name="MSIP_Label_d1ffb6f5-a176-4d21-8b93-1cb00934c0de_Method">
    <vt:lpwstr>Standard</vt:lpwstr>
  </property>
  <property fmtid="{D5CDD505-2E9C-101B-9397-08002B2CF9AE}" pid="5" name="MSIP_Label_d1ffb6f5-a176-4d21-8b93-1cb00934c0de_Name">
    <vt:lpwstr>d1ffb6f5-a176-4d21-8b93-1cb00934c0de</vt:lpwstr>
  </property>
  <property fmtid="{D5CDD505-2E9C-101B-9397-08002B2CF9AE}" pid="6" name="MSIP_Label_d1ffb6f5-a176-4d21-8b93-1cb00934c0de_SiteId">
    <vt:lpwstr>b5469280-80ef-40ad-963b-8976f4da58ba</vt:lpwstr>
  </property>
  <property fmtid="{D5CDD505-2E9C-101B-9397-08002B2CF9AE}" pid="7" name="MSIP_Label_d1ffb6f5-a176-4d21-8b93-1cb00934c0de_ActionId">
    <vt:lpwstr>8412e133-016a-4b50-be4b-84798cccb538</vt:lpwstr>
  </property>
  <property fmtid="{D5CDD505-2E9C-101B-9397-08002B2CF9AE}" pid="8" name="MSIP_Label_d1ffb6f5-a176-4d21-8b93-1cb00934c0de_ContentBits">
    <vt:lpwstr>0</vt:lpwstr>
  </property>
  <property fmtid="{D5CDD505-2E9C-101B-9397-08002B2CF9AE}" pid="9" name="MSIP_Label_d1ffb6f5-a176-4d21-8b93-1cb00934c0de_Tag">
    <vt:lpwstr>10, 3, 0, 1</vt:lpwstr>
  </property>
</Properties>
</file>