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Bioinformatic analysis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FastQs were aligned to GRCh38 using nf-core/rnaseq 3.0. Bam files were aligned to TxDb.Hsapiens.UCSC.hg38.knownGene using GenomicAlignments::summarizeOverlaps4 to produce raw gene counts. DEGs were found using DESeq25 subsetting to stem cells (d4WENR) and differentiated cells (d4ENR) and comparing CH-223191 and DMSO treated organoids and controlling for replicate. Reported DE genes have p-value &lt;0.05.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Principal component analysis figures were made with vanceStabilizingTransformation and plotPCA functions of DESeq2 and plotted with ggplot2.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Values in RPM_LFC_violins were computed from reads per million and plotted using ggplot2, plotting pseudo log2 fold change (adding 0.5) of RPM scores for the CH-223191 treated case over the DMSO treated case.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 heatmap showing selected MYC target genes was generated using Morpheus (https://software.broadinstitute.org/morpheus).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Comparison with publicly available data sets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Single cell data, epi_raw_counts02.h5ad, was downloaded from https://www.gutcellatlas.org/ and subsequent single-cell analysis was performed using Seurat7 on healthy adult cells from the large intestine. For each cell type the marker genes were computed using FindMarkers restricting to adjusted p-value &lt;0.05. Gene set enrichment significance of these sets was determined using fgsea comparing these with the log2 fold enrichment in the DESeq2 analysis comparing d4ENR CH-223191 treated to differentiated DMSO treated organoids.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Seurat objects for inflamed, non-inflamed and healthy control colon samples were kindly provided by the Simmons lab8 and merged. Differential gene expression between inflamed cells and healthy controls and between non-inflamed cells and healthy controls was determined by subsetting to epithelial cells and using FindMarkers to find DE genes with padj &lt; 0.05.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DEGs were compared to the d4ENR DEGs identified by RNAseq treated with CH-223191 vs DMSO, ranked by log2(FC). Gene Set Enrichment Analysis was performed using GESA v.4.2.2 (software.broadinstitute.org/gsea/index.jsp). The ranked DEG list from the RNAseq data was used to perform a correlation with the dataset of Dotti et al.9 comparing to UC vs. control patient organoids.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Transcriptional regulators upstream of DEGs were predicted using Ingenuity Pathway Analysis restricting to a p-value of &lt;0.05, predicted to be activated or inhibited.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LibreOffice/7.1.8.1$Linux_X86_64 LibreOffice_project/10$Build-1</Application>
  <AppVersion>15.0000</AppVersion>
  <Pages>1</Pages>
  <Words>325</Words>
  <Characters>2052</Characters>
  <CharactersWithSpaces>2377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2023-11-01T11:19:52Z</dcterms:created>
  <dc:creator/>
  <dc:description/>
  <dc:language>en-GB</dc:language>
  <cp:lastModifiedBy/>
  <dcterms:modified xsi:type="dcterms:W3CDTF">2023-11-01T11:22:46Z</dcterms:modified>
  <cp:revision>1</cp:revision>
  <dc:subject/>
  <dc:title/>
</cp:coreProperties>
</file>