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Knowledge Hub migration plan</w:t>
      </w:r>
    </w:p>
    <w:p>
      <w:pPr/>
      <w:r>
        <w:t xml:space="preserve">Oct 14, 2026</w:t>
      </w:r>
      <w:r>
        <w:t xml:space="preserve"> · </w:t>
      </w:r>
      <w:r>
        <w:t xml:space="preserve">@Michael</w:t>
      </w:r>
    </w:p>
    <w:p>
      <w:pPr>
        <w:pStyle w:val="Heading2"/>
      </w:pPr>
      <w:r>
        <w:t xml:space="preserve">Summary</w:t>
      </w:r>
    </w:p>
    <w:p>
      <w:pPr/>
      <w:r>
        <w:t xml:space="preserve">All Knowledge Hub content moves into Decap CMS as one file per item. 614 items are already converted from the current site, and editors need to check the themes on 452 of them before launch.</w:t>
      </w:r>
    </w:p>
    <w:p>
      <w:pPr>
        <w:pStyle w:val="ListParagraph"/>
        <w:numPr>
          <w:ilvl w:val="0"/>
          <w:numId w:val="2"/>
        </w:numPr>
      </w:pPr>
      <w:r>
        <w:rPr>
          <w:b/>
        </w:rPr>
        <w:t xml:space="preserve">Where it goes:</w:t>
      </w:r>
      <w:r>
        <w:t xml:space="preserve"> each piece becomes a file in </w:t>
      </w:r>
      <w:r>
        <w:rPr>
          <w:rStyle w:val="CodeChar"/>
        </w:rPr>
        <w:t xml:space="preserve">content/knowledge/</w:t>
      </w:r>
      <w:r>
        <w:t xml:space="preserve">, edited at </w:t>
      </w:r>
      <w:r>
        <w:rPr>
          <w:rStyle w:val="CodeChar"/>
        </w:rPr>
        <w:t xml:space="preserve">/admin/</w:t>
      </w:r>
      <w:r>
        <w:t xml:space="preserve">. The site reads one compiled feed, </w:t>
      </w:r>
      <w:r>
        <w:rPr>
          <w:rStyle w:val="CodeChar"/>
        </w:rPr>
        <w:t xml:space="preserve">knowledge-hub/knowledge.json</w:t>
      </w:r>
      <w:r>
        <w:t xml:space="preserve">.</w:t>
      </w:r>
    </w:p>
    <w:p>
      <w:pPr>
        <w:pStyle w:val="ListParagraph"/>
        <w:numPr>
          <w:ilvl w:val="0"/>
          <w:numId w:val="2"/>
        </w:numPr>
      </w:pPr>
      <w:r>
        <w:rPr>
          <w:b/>
        </w:rPr>
        <w:t xml:space="preserve">Themes:</w:t>
      </w:r>
      <w:r>
        <w:t xml:space="preserve"> 78 old tags fold into 26 themes, 14 current and 12 archived. Archived content stays searchable but is hidden until a visitor switches it on.</w:t>
      </w:r>
    </w:p>
    <w:p>
      <w:pPr>
        <w:pStyle w:val="ListParagraph"/>
        <w:numPr>
          <w:ilvl w:val="0"/>
          <w:numId w:val="2"/>
        </w:numPr>
      </w:pPr>
      <w:r>
        <w:rPr>
          <w:b/>
        </w:rPr>
        <w:t xml:space="preserve">Done already:</w:t>
      </w:r>
      <w:r>
        <w:t xml:space="preserve"> the import script, theme map, feed builder, local editor and new Knowledge Hub page are in the prototype folder (see </w:t>
      </w:r>
      <w:r>
        <w:rPr>
          <w:rStyle w:val="CodeChar"/>
        </w:rPr>
        <w:t xml:space="preserve">README-CMS.md</w:t>
      </w:r>
      <w:r>
        <w:t xml:space="preserve">).</w:t>
      </w:r>
    </w:p>
    <w:p>
      <w:pPr>
        <w:pStyle w:val="ListParagraph"/>
        <w:numPr>
          <w:ilvl w:val="0"/>
          <w:numId w:val="2"/>
        </w:numPr>
      </w:pPr>
      <w:r>
        <w:rPr>
          <w:b/>
        </w:rPr>
        <w:t xml:space="preserve">Still to do:</w:t>
      </w:r>
      <w:r>
        <w:t xml:space="preserve"> finish the inventory (we hold about 614 of an estimated 1,200), review themes, move files off the old server and set up redirects.</w:t>
      </w:r>
    </w:p>
    <w:p>
      <w:pPr>
        <w:pStyle w:val="Heading2"/>
      </w:pPr>
      <w:r>
        <w:t xml:space="preserve">What we found on the current site</w:t>
      </w:r>
    </w:p>
    <w:p>
      <w:pPr/>
      <w:r>
        <w:t xml:space="preserve">The current hub has no export and shows no total counts, so the inventory was read page by page from finmark.org.za. It captured 640 items (614 after removing 26 duplicates), dated 2006 to October 2026.</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Finding</w:t>
            </w:r>
          </w:p>
        </w:tc>
        <w:tc>
          <w:tcPr>
            <w:tcW w:w="3120" w:type="dxa"/>
            <w:shd w:val="clear" w:color="auto" w:fill="F2F2F2"/>
          </w:tcPr>
          <w:p>
            <w:pPr/>
            <w:r>
              <w:t xml:space="preserve">Effect on migration</w:t>
            </w:r>
          </w:p>
        </w:tc>
      </w:tr>
      <w:tr>
        <w:tc>
          <w:tcPr>
            <w:tcW w:w="3120" w:type="dxa"/>
          </w:tcPr>
          <w:p>
            <w:pPr/>
            <w:r>
              <w:t xml:space="preserve">Coverage</w:t>
            </w:r>
          </w:p>
        </w:tc>
        <w:tc>
          <w:tcPr>
            <w:tcW w:w="3120" w:type="dxa"/>
          </w:tcPr>
          <w:p>
            <w:pPr/>
            <w:r>
              <w:t xml:space="preserve">Listings load 50 at a time; older publications before mid-2020 were only partly reached</w:t>
            </w:r>
          </w:p>
        </w:tc>
        <w:tc>
          <w:tcPr>
            <w:tcW w:w="3120" w:type="dxa"/>
          </w:tcPr>
          <w:p>
            <w:pPr/>
            <w:r>
              <w:t xml:space="preserve">Ask the web developer for a full database or CMS export before final import</w:t>
            </w:r>
          </w:p>
        </w:tc>
      </w:tr>
      <w:tr>
        <w:tc>
          <w:tcPr>
            <w:tcW w:w="3120" w:type="dxa"/>
          </w:tcPr>
          <w:p>
            <w:pPr/>
            <w:r>
              <w:t xml:space="preserve">Tags</w:t>
            </w:r>
          </w:p>
        </w:tc>
        <w:tc>
          <w:tcPr>
            <w:tcW w:w="3120" w:type="dxa"/>
          </w:tcPr>
          <w:p>
            <w:pPr/>
            <w:r>
              <w:t xml:space="preserve">Only 162 of 614 items carry theme tags; almost no PDFs are tagged</w:t>
            </w:r>
          </w:p>
        </w:tc>
        <w:tc>
          <w:tcPr>
            <w:tcW w:w="3120" w:type="dxa"/>
          </w:tcPr>
          <w:p>
            <w:pPr/>
            <w:r>
              <w:t xml:space="preserve">387 items got suggested themes from their titles, 65 got none: all 452 flagged for review</w:t>
            </w:r>
          </w:p>
        </w:tc>
      </w:tr>
      <w:tr>
        <w:tc>
          <w:tcPr>
            <w:tcW w:w="3120" w:type="dxa"/>
          </w:tcPr>
          <w:p>
            <w:pPr/>
            <w:r>
              <w:t xml:space="preserve">Types</w:t>
            </w:r>
          </w:p>
        </w:tc>
        <w:tc>
          <w:tcPr>
            <w:tcW w:w="3120" w:type="dxa"/>
          </w:tcPr>
          <w:p>
            <w:pPr/>
            <w:r>
              <w:t xml:space="preserve">"Publications" mixes reports, pocket guides, slides, dashboards and videos</w:t>
            </w:r>
          </w:p>
        </w:tc>
        <w:tc>
          <w:tcPr>
            <w:tcW w:w="3120" w:type="dxa"/>
          </w:tcPr>
          <w:p>
            <w:pPr/>
            <w:r>
              <w:t xml:space="preserve">Importer splits these into proper types from the title and link</w:t>
            </w:r>
          </w:p>
        </w:tc>
      </w:tr>
      <w:tr>
        <w:tc>
          <w:tcPr>
            <w:tcW w:w="3120" w:type="dxa"/>
          </w:tcPr>
          <w:p>
            <w:pPr/>
            <w:r>
              <w:t xml:space="preserve">Files</w:t>
            </w:r>
          </w:p>
        </w:tc>
        <w:tc>
          <w:tcPr>
            <w:tcW w:w="3120" w:type="dxa"/>
          </w:tcPr>
          <w:p>
            <w:pPr/>
            <w:r>
              <w:t xml:space="preserve">277 PDFs sit under </w:t>
            </w:r>
            <w:r>
              <w:rPr>
                <w:rStyle w:val="CodeChar"/>
              </w:rPr>
              <w:t xml:space="preserve">/system/documents/files/…</w:t>
            </w:r>
            <w:r>
              <w:t xml:space="preserve">, 79 under </w:t>
            </w:r>
            <w:r>
              <w:rPr>
                <w:rStyle w:val="CodeChar"/>
              </w:rPr>
              <w:t xml:space="preserve">/Publications/</w:t>
            </w:r>
          </w:p>
        </w:tc>
        <w:tc>
          <w:tcPr>
            <w:tcW w:w="3120" w:type="dxa"/>
          </w:tcPr>
          <w:p>
            <w:pPr/>
            <w:r>
              <w:t xml:space="preserve">Files must move to the new media folder or a file store</w:t>
            </w:r>
          </w:p>
        </w:tc>
      </w:tr>
      <w:tr>
        <w:tc>
          <w:tcPr>
            <w:tcW w:w="3120" w:type="dxa"/>
          </w:tcPr>
          <w:p>
            <w:pPr/>
            <w:r>
              <w:t xml:space="preserve">Links</w:t>
            </w:r>
          </w:p>
        </w:tc>
        <w:tc>
          <w:tcPr>
            <w:tcW w:w="3120" w:type="dxa"/>
          </w:tcPr>
          <w:p>
            <w:pPr/>
            <w:r>
              <w:t xml:space="preserve">23 items point to other sites (e.g. indd.adobe.com); 16 are YouTube</w:t>
            </w:r>
          </w:p>
        </w:tc>
        <w:tc>
          <w:tcPr>
            <w:tcW w:w="3120" w:type="dxa"/>
          </w:tcPr>
          <w:p>
            <w:pPr/>
            <w:r>
              <w:t xml:space="preserve">Check external links before launch; some may already be dead</w:t>
            </w:r>
          </w:p>
        </w:tc>
      </w:tr>
      <w:tr>
        <w:tc>
          <w:tcPr>
            <w:tcW w:w="3120" w:type="dxa"/>
          </w:tcPr>
          <w:p>
            <w:pPr/>
            <w:r>
              <w:t xml:space="preserve">Dates</w:t>
            </w:r>
          </w:p>
        </w:tc>
        <w:tc>
          <w:tcPr>
            <w:tcW w:w="3120" w:type="dxa"/>
          </w:tcPr>
          <w:p>
            <w:pPr/>
            <w:r>
              <w:t xml:space="preserve">Dates are upload dates, not publication dates; some bulk imports share one date</w:t>
            </w:r>
          </w:p>
        </w:tc>
        <w:tc>
          <w:tcPr>
            <w:tcW w:w="3120" w:type="dxa"/>
          </w:tcPr>
          <w:p>
            <w:pPr/>
            <w:r>
              <w:t xml:space="preserve">Editors correct dates during review where it matters</w:t>
            </w:r>
          </w:p>
        </w:tc>
      </w:tr>
      <w:tr>
        <w:tc>
          <w:tcPr>
            <w:tcW w:w="3120" w:type="dxa"/>
          </w:tcPr>
          <w:p>
            <w:pPr/>
            <w:r>
              <w:t xml:space="preserve">Languages</w:t>
            </w:r>
          </w:p>
        </w:tc>
        <w:tc>
          <w:tcPr>
            <w:tcW w:w="3120" w:type="dxa"/>
          </w:tcPr>
          <w:p>
            <w:pPr/>
            <w:r>
              <w:t xml:space="preserve">590 English, 16 French, 8 Portuguese</w:t>
            </w:r>
          </w:p>
        </w:tc>
        <w:tc>
          <w:tcPr>
            <w:tcW w:w="3120" w:type="dxa"/>
          </w:tcPr>
          <w:p>
            <w:pPr/>
            <w:r>
              <w:t xml:space="preserve">Language filter added; translated pairs could be linked later</w:t>
            </w:r>
          </w:p>
        </w:tc>
      </w:tr>
    </w:tbl>
    <w:p>
      <w:pPr>
        <w:pStyle w:val="Heading2"/>
      </w:pPr>
      <w:r>
        <w:t xml:space="preserve">Content model and themes</w:t>
      </w:r>
    </w:p>
    <w:p>
      <w:pPr/>
      <w:r>
        <w:t xml:space="preserve">Each item has one set of fields, and themes are their own list so they can be renamed or archived without touching items.</w:t>
      </w:r>
    </w:p>
    <w:p>
      <w:pPr/>
      <w:r>
        <w:rPr>
          <w:b/>
        </w:rPr>
        <w:t xml:space="preserve">Item fields:</w:t>
      </w:r>
      <w:r>
        <w:t xml:space="preserve"> title, publication date, content type, summary, themes (1–4), countries, language, file or link, optional thumbnail, full text for blogs, featured, draft, needs review, old site address.</w:t>
      </w:r>
    </w:p>
    <w:p>
      <w:pPr/>
      <w:r>
        <w:rPr>
          <w:b/>
        </w:rPr>
        <w:t xml:space="preserve">Content types:</w:t>
      </w:r>
      <w:r>
        <w:t xml:space="preserve"> Report, Pocket guide, Presentation, Dashboard, Article, Blog, Media release, Video, Podcast, Interview, Infographic.</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Theme</w:t>
            </w:r>
          </w:p>
        </w:tc>
        <w:tc>
          <w:tcPr>
            <w:tcW w:w="2340" w:type="dxa"/>
            <w:shd w:val="clear" w:color="auto" w:fill="F2F2F2"/>
          </w:tcPr>
          <w:p>
            <w:pPr/>
            <w:r>
              <w:t xml:space="preserve">Status</w:t>
            </w:r>
          </w:p>
        </w:tc>
        <w:tc>
          <w:tcPr>
            <w:tcW w:w="2340" w:type="dxa"/>
            <w:shd w:val="clear" w:color="auto" w:fill="F2F2F2"/>
          </w:tcPr>
          <w:p>
            <w:pPr/>
            <w:r>
              <w:t xml:space="preserve">Pathway</w:t>
            </w:r>
          </w:p>
        </w:tc>
        <w:tc>
          <w:tcPr>
            <w:tcW w:w="2340" w:type="dxa"/>
            <w:shd w:val="clear" w:color="auto" w:fill="F2F2F2"/>
          </w:tcPr>
          <w:p>
            <w:pPr/>
            <w:r>
              <w:t xml:space="preserve">Old tags folded in</w:t>
            </w:r>
          </w:p>
        </w:tc>
      </w:tr>
      <w:tr>
        <w:tc>
          <w:tcPr>
            <w:tcW w:w="2340" w:type="dxa"/>
          </w:tcPr>
          <w:p>
            <w:pPr/>
            <w:r>
              <w:t xml:space="preserve">FinScope Consumer</w:t>
            </w:r>
          </w:p>
        </w:tc>
        <w:tc>
          <w:tcPr>
            <w:tcW w:w="2340" w:type="dxa"/>
          </w:tcPr>
          <w:p>
            <w:pPr/>
            <w:r>
              <w:t xml:space="preserve">Current</w:t>
            </w:r>
          </w:p>
        </w:tc>
        <w:tc>
          <w:tcPr>
            <w:tcW w:w="2340" w:type="dxa"/>
          </w:tcPr>
          <w:p>
            <w:pPr/>
            <w:r>
              <w:t xml:space="preserve">Data</w:t>
            </w:r>
          </w:p>
        </w:tc>
        <w:tc>
          <w:tcPr>
            <w:tcW w:w="2340" w:type="dxa"/>
          </w:tcPr>
          <w:p>
            <w:pPr/>
            <w:r>
              <w:t xml:space="preserve">FinScope Consumer</w:t>
            </w:r>
          </w:p>
        </w:tc>
      </w:tr>
      <w:tr>
        <w:tc>
          <w:tcPr>
            <w:tcW w:w="2340" w:type="dxa"/>
          </w:tcPr>
          <w:p>
            <w:pPr/>
            <w:r>
              <w:t xml:space="preserve">FinScope MSME</w:t>
            </w:r>
          </w:p>
        </w:tc>
        <w:tc>
          <w:tcPr>
            <w:tcW w:w="2340" w:type="dxa"/>
          </w:tcPr>
          <w:p>
            <w:pPr/>
            <w:r>
              <w:t xml:space="preserve">Current</w:t>
            </w:r>
          </w:p>
        </w:tc>
        <w:tc>
          <w:tcPr>
            <w:tcW w:w="2340" w:type="dxa"/>
          </w:tcPr>
          <w:p>
            <w:pPr/>
            <w:r>
              <w:t xml:space="preserve">Data</w:t>
            </w:r>
          </w:p>
        </w:tc>
        <w:tc>
          <w:tcPr>
            <w:tcW w:w="2340" w:type="dxa"/>
          </w:tcPr>
          <w:p>
            <w:pPr/>
            <w:r>
              <w:t xml:space="preserve">FinScope MSME</w:t>
            </w:r>
          </w:p>
        </w:tc>
      </w:tr>
      <w:tr>
        <w:tc>
          <w:tcPr>
            <w:tcW w:w="2340" w:type="dxa"/>
          </w:tcPr>
          <w:p>
            <w:pPr/>
            <w:r>
              <w:t xml:space="preserve">Data and research methods</w:t>
            </w:r>
          </w:p>
        </w:tc>
        <w:tc>
          <w:tcPr>
            <w:tcW w:w="2340" w:type="dxa"/>
          </w:tcPr>
          <w:p>
            <w:pPr/>
            <w:r>
              <w:t xml:space="preserve">Current</w:t>
            </w:r>
          </w:p>
        </w:tc>
        <w:tc>
          <w:tcPr>
            <w:tcW w:w="2340" w:type="dxa"/>
          </w:tcPr>
          <w:p>
            <w:pPr/>
            <w:r>
              <w:t xml:space="preserve">Data</w:t>
            </w:r>
          </w:p>
        </w:tc>
        <w:tc>
          <w:tcPr>
            <w:tcW w:w="2340" w:type="dxa"/>
          </w:tcPr>
          <w:p>
            <w:pPr/>
            <w:r>
              <w:t xml:space="preserve">Data and analytics, Data, Survey data, Data collection, Research methods, Questionnaire Design Tool, FMT Analytics, Survey design</w:t>
            </w:r>
          </w:p>
        </w:tc>
      </w:tr>
      <w:tr>
        <w:tc>
          <w:tcPr>
            <w:tcW w:w="2340" w:type="dxa"/>
          </w:tcPr>
          <w:p>
            <w:pPr/>
            <w:r>
              <w:t xml:space="preserve">Financial inclusion</w:t>
            </w:r>
          </w:p>
        </w:tc>
        <w:tc>
          <w:tcPr>
            <w:tcW w:w="2340" w:type="dxa"/>
          </w:tcPr>
          <w:p>
            <w:pPr/>
            <w:r>
              <w:t xml:space="preserve">Current</w:t>
            </w:r>
          </w:p>
        </w:tc>
        <w:tc>
          <w:tcPr>
            <w:tcW w:w="2340" w:type="dxa"/>
          </w:tcPr>
          <w:p>
            <w:pPr/>
            <w:r>
              <w:t xml:space="preserve">Data</w:t>
            </w:r>
          </w:p>
        </w:tc>
        <w:tc>
          <w:tcPr>
            <w:tcW w:w="2340" w:type="dxa"/>
          </w:tcPr>
          <w:p>
            <w:pPr/>
            <w:r>
              <w:t xml:space="preserve">Financial inclusion</w:t>
            </w:r>
          </w:p>
        </w:tc>
      </w:tr>
      <w:tr>
        <w:tc>
          <w:tcPr>
            <w:tcW w:w="2340" w:type="dxa"/>
          </w:tcPr>
          <w:p>
            <w:pPr/>
            <w:r>
              <w:t xml:space="preserve">Digitalisation and payments</w:t>
            </w:r>
          </w:p>
        </w:tc>
        <w:tc>
          <w:tcPr>
            <w:tcW w:w="2340" w:type="dxa"/>
          </w:tcPr>
          <w:p>
            <w:pPr/>
            <w:r>
              <w:t xml:space="preserve">Current</w:t>
            </w:r>
          </w:p>
        </w:tc>
        <w:tc>
          <w:tcPr>
            <w:tcW w:w="2340" w:type="dxa"/>
          </w:tcPr>
          <w:p>
            <w:pPr/>
            <w:r>
              <w:t xml:space="preserve">Programmes</w:t>
            </w:r>
          </w:p>
        </w:tc>
        <w:tc>
          <w:tcPr>
            <w:tcW w:w="2340" w:type="dxa"/>
          </w:tcPr>
          <w:p>
            <w:pPr/>
            <w:r>
              <w:t xml:space="preserve">Digitalisation, Digitisation, Technology, Mobile money, Payments</w:t>
            </w:r>
          </w:p>
        </w:tc>
      </w:tr>
      <w:tr>
        <w:tc>
          <w:tcPr>
            <w:tcW w:w="2340" w:type="dxa"/>
          </w:tcPr>
          <w:p>
            <w:pPr/>
            <w:r>
              <w:t xml:space="preserve">Digital identity and eKYC</w:t>
            </w:r>
          </w:p>
        </w:tc>
        <w:tc>
          <w:tcPr>
            <w:tcW w:w="2340" w:type="dxa"/>
          </w:tcPr>
          <w:p>
            <w:pPr/>
            <w:r>
              <w:t xml:space="preserve">Current</w:t>
            </w:r>
          </w:p>
        </w:tc>
        <w:tc>
          <w:tcPr>
            <w:tcW w:w="2340" w:type="dxa"/>
          </w:tcPr>
          <w:p>
            <w:pPr/>
            <w:r>
              <w:t xml:space="preserve">Programmes</w:t>
            </w:r>
          </w:p>
        </w:tc>
        <w:tc>
          <w:tcPr>
            <w:tcW w:w="2340" w:type="dxa"/>
          </w:tcPr>
          <w:p>
            <w:pPr/>
            <w:r>
              <w:t xml:space="preserve">Digital Identity</w:t>
            </w:r>
          </w:p>
        </w:tc>
      </w:tr>
      <w:tr>
        <w:tc>
          <w:tcPr>
            <w:tcW w:w="2340" w:type="dxa"/>
          </w:tcPr>
          <w:p>
            <w:pPr/>
            <w:r>
              <w:t xml:space="preserve">Cross-border remittances</w:t>
            </w:r>
          </w:p>
        </w:tc>
        <w:tc>
          <w:tcPr>
            <w:tcW w:w="2340" w:type="dxa"/>
          </w:tcPr>
          <w:p>
            <w:pPr/>
            <w:r>
              <w:t xml:space="preserve">Current</w:t>
            </w:r>
          </w:p>
        </w:tc>
        <w:tc>
          <w:tcPr>
            <w:tcW w:w="2340" w:type="dxa"/>
          </w:tcPr>
          <w:p>
            <w:pPr/>
            <w:r>
              <w:t xml:space="preserve">Programmes</w:t>
            </w:r>
          </w:p>
        </w:tc>
        <w:tc>
          <w:tcPr>
            <w:tcW w:w="2340" w:type="dxa"/>
          </w:tcPr>
          <w:p>
            <w:pPr/>
            <w:r>
              <w:t xml:space="preserve">Cross-border remittances, Cross Border Traders</w:t>
            </w:r>
          </w:p>
        </w:tc>
      </w:tr>
      <w:tr>
        <w:tc>
          <w:tcPr>
            <w:tcW w:w="2340" w:type="dxa"/>
          </w:tcPr>
          <w:p>
            <w:pPr/>
            <w:r>
              <w:t xml:space="preserve">Gender</w:t>
            </w:r>
          </w:p>
        </w:tc>
        <w:tc>
          <w:tcPr>
            <w:tcW w:w="2340" w:type="dxa"/>
          </w:tcPr>
          <w:p>
            <w:pPr/>
            <w:r>
              <w:t xml:space="preserve">Current</w:t>
            </w:r>
          </w:p>
        </w:tc>
        <w:tc>
          <w:tcPr>
            <w:tcW w:w="2340" w:type="dxa"/>
          </w:tcPr>
          <w:p>
            <w:pPr/>
            <w:r>
              <w:t xml:space="preserve">Programmes</w:t>
            </w:r>
          </w:p>
        </w:tc>
        <w:tc>
          <w:tcPr>
            <w:tcW w:w="2340" w:type="dxa"/>
          </w:tcPr>
          <w:p>
            <w:pPr/>
            <w:r>
              <w:t xml:space="preserve">Gender with a focus on women</w:t>
            </w:r>
          </w:p>
        </w:tc>
      </w:tr>
      <w:tr>
        <w:tc>
          <w:tcPr>
            <w:tcW w:w="2340" w:type="dxa"/>
          </w:tcPr>
          <w:p>
            <w:pPr/>
            <w:r>
              <w:t xml:space="preserve">Generating Better Livelihoods</w:t>
            </w:r>
          </w:p>
        </w:tc>
        <w:tc>
          <w:tcPr>
            <w:tcW w:w="2340" w:type="dxa"/>
          </w:tcPr>
          <w:p>
            <w:pPr/>
            <w:r>
              <w:t xml:space="preserve">Current</w:t>
            </w:r>
          </w:p>
        </w:tc>
        <w:tc>
          <w:tcPr>
            <w:tcW w:w="2340" w:type="dxa"/>
          </w:tcPr>
          <w:p>
            <w:pPr/>
            <w:r>
              <w:t xml:space="preserve">Programmes</w:t>
            </w:r>
          </w:p>
        </w:tc>
        <w:tc>
          <w:tcPr>
            <w:tcW w:w="2340" w:type="dxa"/>
          </w:tcPr>
          <w:p>
            <w:pPr/>
            <w:r>
              <w:t xml:space="preserve">GBL, Impact, SIBE</w:t>
            </w:r>
          </w:p>
        </w:tc>
      </w:tr>
      <w:tr>
        <w:tc>
          <w:tcPr>
            <w:tcW w:w="2340" w:type="dxa"/>
          </w:tcPr>
          <w:p>
            <w:pPr/>
            <w:r>
              <w:t xml:space="preserve">Financial health and education</w:t>
            </w:r>
          </w:p>
        </w:tc>
        <w:tc>
          <w:tcPr>
            <w:tcW w:w="2340" w:type="dxa"/>
          </w:tcPr>
          <w:p>
            <w:pPr/>
            <w:r>
              <w:t xml:space="preserve">Current</w:t>
            </w:r>
          </w:p>
        </w:tc>
        <w:tc>
          <w:tcPr>
            <w:tcW w:w="2340" w:type="dxa"/>
          </w:tcPr>
          <w:p>
            <w:pPr/>
            <w:r>
              <w:t xml:space="preserve">Programmes</w:t>
            </w:r>
          </w:p>
        </w:tc>
        <w:tc>
          <w:tcPr>
            <w:tcW w:w="2340" w:type="dxa"/>
          </w:tcPr>
          <w:p>
            <w:pPr/>
            <w:r>
              <w:t xml:space="preserve">Financial health, Financial Education, Financial needs</w:t>
            </w:r>
          </w:p>
        </w:tc>
      </w:tr>
      <w:tr>
        <w:tc>
          <w:tcPr>
            <w:tcW w:w="2340" w:type="dxa"/>
          </w:tcPr>
          <w:p>
            <w:pPr/>
            <w:r>
              <w:t xml:space="preserve">Credit and MSME finance</w:t>
            </w:r>
          </w:p>
        </w:tc>
        <w:tc>
          <w:tcPr>
            <w:tcW w:w="2340" w:type="dxa"/>
          </w:tcPr>
          <w:p>
            <w:pPr/>
            <w:r>
              <w:t xml:space="preserve">Current</w:t>
            </w:r>
          </w:p>
        </w:tc>
        <w:tc>
          <w:tcPr>
            <w:tcW w:w="2340" w:type="dxa"/>
          </w:tcPr>
          <w:p>
            <w:pPr/>
            <w:r>
              <w:t xml:space="preserve">Programmes</w:t>
            </w:r>
          </w:p>
        </w:tc>
        <w:tc>
          <w:tcPr>
            <w:tcW w:w="2340" w:type="dxa"/>
          </w:tcPr>
          <w:p>
            <w:pPr/>
            <w:r>
              <w:t xml:space="preserve">Credit, SME financing, SMEs, Microfinance, MSME Formalisation, Digital Lending</w:t>
            </w:r>
          </w:p>
        </w:tc>
      </w:tr>
      <w:tr>
        <w:tc>
          <w:tcPr>
            <w:tcW w:w="2340" w:type="dxa"/>
          </w:tcPr>
          <w:p>
            <w:pPr/>
            <w:r>
              <w:t xml:space="preserve">Integrity: AML/CFT</w:t>
            </w:r>
          </w:p>
        </w:tc>
        <w:tc>
          <w:tcPr>
            <w:tcW w:w="2340" w:type="dxa"/>
          </w:tcPr>
          <w:p>
            <w:pPr/>
            <w:r>
              <w:t xml:space="preserve">Current</w:t>
            </w:r>
          </w:p>
        </w:tc>
        <w:tc>
          <w:tcPr>
            <w:tcW w:w="2340" w:type="dxa"/>
          </w:tcPr>
          <w:p>
            <w:pPr/>
            <w:r>
              <w:t xml:space="preserve">Programmes</w:t>
            </w:r>
          </w:p>
        </w:tc>
        <w:tc>
          <w:tcPr>
            <w:tcW w:w="2340" w:type="dxa"/>
          </w:tcPr>
          <w:p>
            <w:pPr/>
            <w:r>
              <w:t xml:space="preserve">Integrity – AML/CFT</w:t>
            </w:r>
          </w:p>
        </w:tc>
      </w:tr>
      <w:tr>
        <w:tc>
          <w:tcPr>
            <w:tcW w:w="2340" w:type="dxa"/>
          </w:tcPr>
          <w:p>
            <w:pPr/>
            <w:r>
              <w:t xml:space="preserve">Policy and regulation</w:t>
            </w:r>
          </w:p>
        </w:tc>
        <w:tc>
          <w:tcPr>
            <w:tcW w:w="2340" w:type="dxa"/>
          </w:tcPr>
          <w:p>
            <w:pPr/>
            <w:r>
              <w:t xml:space="preserve">Current</w:t>
            </w:r>
          </w:p>
        </w:tc>
        <w:tc>
          <w:tcPr>
            <w:tcW w:w="2340" w:type="dxa"/>
          </w:tcPr>
          <w:p>
            <w:pPr/>
            <w:r>
              <w:t xml:space="preserve">Programmes</w:t>
            </w:r>
          </w:p>
        </w:tc>
        <w:tc>
          <w:tcPr>
            <w:tcW w:w="2340" w:type="dxa"/>
          </w:tcPr>
          <w:p>
            <w:pPr/>
            <w:r>
              <w:t xml:space="preserve">Policy and Regulation, AFI, Financial Inclusion strategies</w:t>
            </w:r>
          </w:p>
        </w:tc>
      </w:tr>
      <w:tr>
        <w:tc>
          <w:tcPr>
            <w:tcW w:w="2340" w:type="dxa"/>
          </w:tcPr>
          <w:p>
            <w:pPr/>
            <w:r>
              <w:t xml:space="preserve">SADC and regional integration</w:t>
            </w:r>
          </w:p>
        </w:tc>
        <w:tc>
          <w:tcPr>
            <w:tcW w:w="2340" w:type="dxa"/>
          </w:tcPr>
          <w:p>
            <w:pPr/>
            <w:r>
              <w:t xml:space="preserve">Current</w:t>
            </w:r>
          </w:p>
        </w:tc>
        <w:tc>
          <w:tcPr>
            <w:tcW w:w="2340" w:type="dxa"/>
          </w:tcPr>
          <w:p>
            <w:pPr/>
            <w:r>
              <w:t xml:space="preserve">Programmes</w:t>
            </w:r>
          </w:p>
        </w:tc>
        <w:tc>
          <w:tcPr>
            <w:tcW w:w="2340" w:type="dxa"/>
          </w:tcPr>
          <w:p>
            <w:pPr/>
            <w:r>
              <w:t xml:space="preserve">SADC, Protocol on Finance and Investment</w:t>
            </w:r>
          </w:p>
        </w:tc>
      </w:tr>
      <w:tr>
        <w:tc>
          <w:tcPr>
            <w:tcW w:w="2340" w:type="dxa"/>
          </w:tcPr>
          <w:p>
            <w:pPr/>
            <w:r>
              <w:t xml:space="preserve">COVID-19</w:t>
            </w:r>
          </w:p>
        </w:tc>
        <w:tc>
          <w:tcPr>
            <w:tcW w:w="2340" w:type="dxa"/>
          </w:tcPr>
          <w:p>
            <w:pPr/>
            <w:r>
              <w:t xml:space="preserve">Archived</w:t>
            </w:r>
          </w:p>
        </w:tc>
        <w:tc>
          <w:tcPr>
            <w:tcW w:w="2340" w:type="dxa"/>
          </w:tcPr>
          <w:p>
            <w:pPr/>
            <w:r>
              <w:t xml:space="preserve">Data</w:t>
            </w:r>
          </w:p>
        </w:tc>
        <w:tc>
          <w:tcPr>
            <w:tcW w:w="2340" w:type="dxa"/>
          </w:tcPr>
          <w:p>
            <w:pPr/>
            <w:r>
              <w:t xml:space="preserve">COVID-19, COVID-19 Tracker, Migrant Relief Fund</w:t>
            </w:r>
          </w:p>
        </w:tc>
      </w:tr>
      <w:tr>
        <w:tc>
          <w:tcPr>
            <w:tcW w:w="2340" w:type="dxa"/>
          </w:tcPr>
          <w:p>
            <w:pPr/>
            <w:r>
              <w:t xml:space="preserve">MAP diagnostics and roadmaps</w:t>
            </w:r>
          </w:p>
        </w:tc>
        <w:tc>
          <w:tcPr>
            <w:tcW w:w="2340" w:type="dxa"/>
          </w:tcPr>
          <w:p>
            <w:pPr/>
            <w:r>
              <w:t xml:space="preserve">Archived</w:t>
            </w:r>
          </w:p>
        </w:tc>
        <w:tc>
          <w:tcPr>
            <w:tcW w:w="2340" w:type="dxa"/>
          </w:tcPr>
          <w:p>
            <w:pPr/>
            <w:r>
              <w:t xml:space="preserve">Programmes</w:t>
            </w:r>
          </w:p>
        </w:tc>
        <w:tc>
          <w:tcPr>
            <w:tcW w:w="2340" w:type="dxa"/>
          </w:tcPr>
          <w:p>
            <w:pPr/>
            <w:r>
              <w:t xml:space="preserve">MAP diagnostics and road map</w:t>
            </w:r>
          </w:p>
        </w:tc>
      </w:tr>
      <w:tr>
        <w:tc>
          <w:tcPr>
            <w:tcW w:w="2340" w:type="dxa"/>
          </w:tcPr>
          <w:p>
            <w:pPr/>
            <w:r>
              <w:t xml:space="preserve">Agriculture</w:t>
            </w:r>
          </w:p>
        </w:tc>
        <w:tc>
          <w:tcPr>
            <w:tcW w:w="2340" w:type="dxa"/>
          </w:tcPr>
          <w:p>
            <w:pPr/>
            <w:r>
              <w:t xml:space="preserve">Archived</w:t>
            </w:r>
          </w:p>
        </w:tc>
        <w:tc>
          <w:tcPr>
            <w:tcW w:w="2340" w:type="dxa"/>
          </w:tcPr>
          <w:p>
            <w:pPr/>
            <w:r>
              <w:t xml:space="preserve">Programmes</w:t>
            </w:r>
          </w:p>
        </w:tc>
        <w:tc>
          <w:tcPr>
            <w:tcW w:w="2340" w:type="dxa"/>
          </w:tcPr>
          <w:p>
            <w:pPr/>
            <w:r>
              <w:t xml:space="preserve">Agricultural Value Chains, Agriculture</w:t>
            </w:r>
          </w:p>
        </w:tc>
      </w:tr>
      <w:tr>
        <w:tc>
          <w:tcPr>
            <w:tcW w:w="2340" w:type="dxa"/>
          </w:tcPr>
          <w:p>
            <w:pPr/>
            <w:r>
              <w:t xml:space="preserve">Big and alternative data</w:t>
            </w:r>
          </w:p>
        </w:tc>
        <w:tc>
          <w:tcPr>
            <w:tcW w:w="2340" w:type="dxa"/>
          </w:tcPr>
          <w:p>
            <w:pPr/>
            <w:r>
              <w:t xml:space="preserve">Archived</w:t>
            </w:r>
          </w:p>
        </w:tc>
        <w:tc>
          <w:tcPr>
            <w:tcW w:w="2340" w:type="dxa"/>
          </w:tcPr>
          <w:p>
            <w:pPr/>
            <w:r>
              <w:t xml:space="preserve">Data</w:t>
            </w:r>
          </w:p>
        </w:tc>
        <w:tc>
          <w:tcPr>
            <w:tcW w:w="2340" w:type="dxa"/>
          </w:tcPr>
          <w:p>
            <w:pPr/>
            <w:r>
              <w:t xml:space="preserve">Alternative Data, Big Data, Transactional data, Geospatial data, Database, Data privacy, Analytics</w:t>
            </w:r>
          </w:p>
        </w:tc>
      </w:tr>
      <w:tr>
        <w:tc>
          <w:tcPr>
            <w:tcW w:w="2340" w:type="dxa"/>
          </w:tcPr>
          <w:p>
            <w:pPr/>
            <w:r>
              <w:t xml:space="preserve">insight2impact (i2i)</w:t>
            </w:r>
          </w:p>
        </w:tc>
        <w:tc>
          <w:tcPr>
            <w:tcW w:w="2340" w:type="dxa"/>
          </w:tcPr>
          <w:p>
            <w:pPr/>
            <w:r>
              <w:t xml:space="preserve">Archived</w:t>
            </w:r>
          </w:p>
        </w:tc>
        <w:tc>
          <w:tcPr>
            <w:tcW w:w="2340" w:type="dxa"/>
          </w:tcPr>
          <w:p>
            <w:pPr/>
            <w:r>
              <w:t xml:space="preserve">Data</w:t>
            </w:r>
          </w:p>
        </w:tc>
        <w:tc>
          <w:tcPr>
            <w:tcW w:w="2340" w:type="dxa"/>
          </w:tcPr>
          <w:p>
            <w:pPr/>
            <w:r>
              <w:t xml:space="preserve">none (title match)</w:t>
            </w:r>
          </w:p>
        </w:tc>
      </w:tr>
      <w:tr>
        <w:tc>
          <w:tcPr>
            <w:tcW w:w="2340" w:type="dxa"/>
          </w:tcPr>
          <w:p>
            <w:pPr/>
            <w:r>
              <w:t xml:space="preserve">Insurance</w:t>
            </w:r>
          </w:p>
        </w:tc>
        <w:tc>
          <w:tcPr>
            <w:tcW w:w="2340" w:type="dxa"/>
          </w:tcPr>
          <w:p>
            <w:pPr/>
            <w:r>
              <w:t xml:space="preserve">Archived</w:t>
            </w:r>
          </w:p>
        </w:tc>
        <w:tc>
          <w:tcPr>
            <w:tcW w:w="2340" w:type="dxa"/>
          </w:tcPr>
          <w:p>
            <w:pPr/>
            <w:r>
              <w:t xml:space="preserve">Programmes</w:t>
            </w:r>
          </w:p>
        </w:tc>
        <w:tc>
          <w:tcPr>
            <w:tcW w:w="2340" w:type="dxa"/>
          </w:tcPr>
          <w:p>
            <w:pPr/>
            <w:r>
              <w:t xml:space="preserve">Insurance, Funeral Insurance, Microinsurance, Health Care, Credit life insurance</w:t>
            </w:r>
          </w:p>
        </w:tc>
      </w:tr>
      <w:tr>
        <w:tc>
          <w:tcPr>
            <w:tcW w:w="2340" w:type="dxa"/>
          </w:tcPr>
          <w:p>
            <w:pPr/>
            <w:r>
              <w:t xml:space="preserve">Savings groups</w:t>
            </w:r>
          </w:p>
        </w:tc>
        <w:tc>
          <w:tcPr>
            <w:tcW w:w="2340" w:type="dxa"/>
          </w:tcPr>
          <w:p>
            <w:pPr/>
            <w:r>
              <w:t xml:space="preserve">Archived</w:t>
            </w:r>
          </w:p>
        </w:tc>
        <w:tc>
          <w:tcPr>
            <w:tcW w:w="2340" w:type="dxa"/>
          </w:tcPr>
          <w:p>
            <w:pPr/>
            <w:r>
              <w:t xml:space="preserve">Programmes</w:t>
            </w:r>
          </w:p>
        </w:tc>
        <w:tc>
          <w:tcPr>
            <w:tcW w:w="2340" w:type="dxa"/>
          </w:tcPr>
          <w:p>
            <w:pPr/>
            <w:r>
              <w:t xml:space="preserve">Savings Groups</w:t>
            </w:r>
          </w:p>
        </w:tc>
      </w:tr>
      <w:tr>
        <w:tc>
          <w:tcPr>
            <w:tcW w:w="2340" w:type="dxa"/>
          </w:tcPr>
          <w:p>
            <w:pPr/>
            <w:r>
              <w:t xml:space="preserve">Housing finance</w:t>
            </w:r>
          </w:p>
        </w:tc>
        <w:tc>
          <w:tcPr>
            <w:tcW w:w="2340" w:type="dxa"/>
          </w:tcPr>
          <w:p>
            <w:pPr/>
            <w:r>
              <w:t xml:space="preserve">Archived</w:t>
            </w:r>
          </w:p>
        </w:tc>
        <w:tc>
          <w:tcPr>
            <w:tcW w:w="2340" w:type="dxa"/>
          </w:tcPr>
          <w:p>
            <w:pPr/>
            <w:r>
              <w:t xml:space="preserve">Programmes</w:t>
            </w:r>
          </w:p>
        </w:tc>
        <w:tc>
          <w:tcPr>
            <w:tcW w:w="2340" w:type="dxa"/>
          </w:tcPr>
          <w:p>
            <w:pPr/>
            <w:r>
              <w:t xml:space="preserve">Housing Finance</w:t>
            </w:r>
          </w:p>
        </w:tc>
      </w:tr>
      <w:tr>
        <w:tc>
          <w:tcPr>
            <w:tcW w:w="2340" w:type="dxa"/>
          </w:tcPr>
          <w:p>
            <w:pPr/>
            <w:r>
              <w:t xml:space="preserve">Retirement</w:t>
            </w:r>
          </w:p>
        </w:tc>
        <w:tc>
          <w:tcPr>
            <w:tcW w:w="2340" w:type="dxa"/>
          </w:tcPr>
          <w:p>
            <w:pPr/>
            <w:r>
              <w:t xml:space="preserve">Archived</w:t>
            </w:r>
          </w:p>
        </w:tc>
        <w:tc>
          <w:tcPr>
            <w:tcW w:w="2340" w:type="dxa"/>
          </w:tcPr>
          <w:p>
            <w:pPr/>
            <w:r>
              <w:t xml:space="preserve">Programmes</w:t>
            </w:r>
          </w:p>
        </w:tc>
        <w:tc>
          <w:tcPr>
            <w:tcW w:w="2340" w:type="dxa"/>
          </w:tcPr>
          <w:p>
            <w:pPr/>
            <w:r>
              <w:t xml:space="preserve">Retirement</w:t>
            </w:r>
          </w:p>
        </w:tc>
      </w:tr>
      <w:tr>
        <w:tc>
          <w:tcPr>
            <w:tcW w:w="2340" w:type="dxa"/>
          </w:tcPr>
          <w:p>
            <w:pPr/>
            <w:r>
              <w:t xml:space="preserve">Youth</w:t>
            </w:r>
          </w:p>
        </w:tc>
        <w:tc>
          <w:tcPr>
            <w:tcW w:w="2340" w:type="dxa"/>
          </w:tcPr>
          <w:p>
            <w:pPr/>
            <w:r>
              <w:t xml:space="preserve">Archived</w:t>
            </w:r>
          </w:p>
        </w:tc>
        <w:tc>
          <w:tcPr>
            <w:tcW w:w="2340" w:type="dxa"/>
          </w:tcPr>
          <w:p>
            <w:pPr/>
            <w:r>
              <w:t xml:space="preserve">Programmes</w:t>
            </w:r>
          </w:p>
        </w:tc>
        <w:tc>
          <w:tcPr>
            <w:tcW w:w="2340" w:type="dxa"/>
          </w:tcPr>
          <w:p>
            <w:pPr/>
            <w:r>
              <w:t xml:space="preserve">Youth</w:t>
            </w:r>
          </w:p>
        </w:tc>
      </w:tr>
      <w:tr>
        <w:tc>
          <w:tcPr>
            <w:tcW w:w="2340" w:type="dxa"/>
          </w:tcPr>
          <w:p>
            <w:pPr/>
            <w:r>
              <w:t xml:space="preserve">Social protection</w:t>
            </w:r>
          </w:p>
        </w:tc>
        <w:tc>
          <w:tcPr>
            <w:tcW w:w="2340" w:type="dxa"/>
          </w:tcPr>
          <w:p>
            <w:pPr/>
            <w:r>
              <w:t xml:space="preserve">Archived</w:t>
            </w:r>
          </w:p>
        </w:tc>
        <w:tc>
          <w:tcPr>
            <w:tcW w:w="2340" w:type="dxa"/>
          </w:tcPr>
          <w:p>
            <w:pPr/>
            <w:r>
              <w:t xml:space="preserve">Programmes</w:t>
            </w:r>
          </w:p>
        </w:tc>
        <w:tc>
          <w:tcPr>
            <w:tcW w:w="2340" w:type="dxa"/>
          </w:tcPr>
          <w:p>
            <w:pPr/>
            <w:r>
              <w:t xml:space="preserve">Social protection</w:t>
            </w:r>
          </w:p>
        </w:tc>
      </w:tr>
      <w:tr>
        <w:tc>
          <w:tcPr>
            <w:tcW w:w="2340" w:type="dxa"/>
          </w:tcPr>
          <w:p>
            <w:pPr/>
            <w:r>
              <w:t xml:space="preserve">Innovation</w:t>
            </w:r>
          </w:p>
        </w:tc>
        <w:tc>
          <w:tcPr>
            <w:tcW w:w="2340" w:type="dxa"/>
          </w:tcPr>
          <w:p>
            <w:pPr/>
            <w:r>
              <w:t xml:space="preserve">Archived</w:t>
            </w:r>
          </w:p>
        </w:tc>
        <w:tc>
          <w:tcPr>
            <w:tcW w:w="2340" w:type="dxa"/>
          </w:tcPr>
          <w:p>
            <w:pPr/>
            <w:r>
              <w:t xml:space="preserve">Programmes</w:t>
            </w:r>
          </w:p>
        </w:tc>
        <w:tc>
          <w:tcPr>
            <w:tcW w:w="2340" w:type="dxa"/>
          </w:tcPr>
          <w:p>
            <w:pPr/>
            <w:r>
              <w:t xml:space="preserve">Innovation, FSD Network, Multimedia</w:t>
            </w:r>
          </w:p>
        </w:tc>
      </w:tr>
    </w:tbl>
    <w:p>
      <w:pPr/>
      <w:r>
        <w:t xml:space="preserve">"Press release" becomes the Media release content type rather than a theme. The full mapping lives in </w:t>
      </w:r>
      <w:r>
        <w:rPr>
          <w:rStyle w:val="CodeChar"/>
        </w:rPr>
        <w:t xml:space="preserve">scripts/theme-map.json</w:t>
      </w:r>
      <w:r>
        <w:t xml:space="preserve">, so changing it and re-running the import updates every item.</w:t>
      </w:r>
    </w:p>
    <w:p>
      <w:pPr>
        <w:pStyle w:val="Heading2"/>
      </w:pPr>
      <w:r>
        <w:t xml:space="preserve">Migration steps</w:t>
      </w:r>
    </w:p>
    <w:p>
      <w:pPr/>
      <w:r>
        <w:t xml:space="preserve">The import is repeatable, so it can run as often as needed until the review is done and content is frozen.</w:t>
      </w:r>
    </w:p>
    <w:p>
      <w:pPr>
        <w:pStyle w:val="ListParagraph"/>
        <w:numPr>
          <w:ilvl w:val="0"/>
          <w:numId w:val="3"/>
        </w:numPr>
      </w:pPr>
      <w:r>
        <w:rPr>
          <w:b/>
        </w:rPr>
        <w:t xml:space="preserve">Get a complete export.</w:t>
      </w:r>
      <w:r>
        <w:t xml:space="preserve"> Ask the current web developer for every Knowledge Hub item as CSV or JSON: title, date, type, tags, locations, file path. This replaces the partial page-by-page inventory.</w:t>
      </w:r>
    </w:p>
    <w:p>
      <w:pPr>
        <w:pStyle w:val="ListParagraph"/>
        <w:numPr>
          <w:ilvl w:val="0"/>
          <w:numId w:val="3"/>
        </w:numPr>
      </w:pPr>
      <w:r>
        <w:rPr>
          <w:b/>
        </w:rPr>
        <w:t xml:space="preserve">Check the theme map.</w:t>
      </w:r>
      <w:r>
        <w:t xml:space="preserve"> Confirm the 26 themes and which old tags fold into each (</w:t>
      </w:r>
      <w:r>
        <w:rPr>
          <w:rStyle w:val="CodeChar"/>
        </w:rPr>
        <w:t xml:space="preserve">scripts/theme-map.json</w:t>
      </w:r>
      <w:r>
        <w:t xml:space="preserve">).</w:t>
      </w:r>
    </w:p>
    <w:p>
      <w:pPr>
        <w:pStyle w:val="ListParagraph"/>
        <w:numPr>
          <w:ilvl w:val="0"/>
          <w:numId w:val="3"/>
        </w:numPr>
      </w:pPr>
      <w:r>
        <w:rPr>
          <w:b/>
        </w:rPr>
        <w:t xml:space="preserve">Run the import.</w:t>
      </w:r>
      <w:r>
        <w:t xml:space="preserve"> </w:t>
      </w:r>
      <w:r>
        <w:rPr>
          <w:rStyle w:val="CodeChar"/>
        </w:rPr>
        <w:t xml:space="preserve">npm run import:legacy</w:t>
      </w:r>
      <w:r>
        <w:t xml:space="preserve"> writes one file per item into </w:t>
      </w:r>
      <w:r>
        <w:rPr>
          <w:rStyle w:val="CodeChar"/>
        </w:rPr>
        <w:t xml:space="preserve">content/</w:t>
      </w:r>
      <w:r>
        <w:t xml:space="preserve">, skips duplicates and writes </w:t>
      </w:r>
      <w:r>
        <w:rPr>
          <w:rStyle w:val="CodeChar"/>
        </w:rPr>
        <w:t xml:space="preserve">legacy/migration-report.csv</w:t>
      </w:r>
      <w:r>
        <w:t xml:space="preserve">.</w:t>
      </w:r>
    </w:p>
    <w:p>
      <w:pPr>
        <w:pStyle w:val="ListParagraph"/>
        <w:numPr>
          <w:ilvl w:val="0"/>
          <w:numId w:val="3"/>
        </w:numPr>
      </w:pPr>
      <w:r>
        <w:rPr>
          <w:b/>
        </w:rPr>
        <w:t xml:space="preserve">Review in the editor.</w:t>
      </w:r>
      <w:r>
        <w:t xml:space="preserve"> Open </w:t>
      </w:r>
      <w:r>
        <w:rPr>
          <w:rStyle w:val="CodeChar"/>
        </w:rPr>
        <w:t xml:space="preserve">/admin/</w:t>
      </w:r>
      <w:r>
        <w:t xml:space="preserve">, filter by </w:t>
      </w:r>
      <w:r>
        <w:rPr>
          <w:b/>
        </w:rPr>
        <w:t xml:space="preserve">Needs review</w:t>
      </w:r>
      <w:r>
        <w:t xml:space="preserve">, check themes, type, date and countries, then untick the flag.</w:t>
      </w:r>
    </w:p>
    <w:p>
      <w:pPr>
        <w:pStyle w:val="ListParagraph"/>
        <w:numPr>
          <w:ilvl w:val="0"/>
          <w:numId w:val="3"/>
        </w:numPr>
      </w:pPr>
      <w:r>
        <w:rPr>
          <w:b/>
        </w:rPr>
        <w:t xml:space="preserve">Move the files.</w:t>
      </w:r>
      <w:r>
        <w:t xml:space="preserve"> Copy PDFs from </w:t>
      </w:r>
      <w:r>
        <w:rPr>
          <w:rStyle w:val="CodeChar"/>
        </w:rPr>
        <w:t xml:space="preserve">/system/documents/files/</w:t>
      </w:r>
      <w:r>
        <w:t xml:space="preserve"> and </w:t>
      </w:r>
      <w:r>
        <w:rPr>
          <w:rStyle w:val="CodeChar"/>
        </w:rPr>
        <w:t xml:space="preserve">/Publications/</w:t>
      </w:r>
      <w:r>
        <w:t xml:space="preserve"> into the new media folder (or a file store), and update each item's file link.</w:t>
      </w:r>
    </w:p>
    <w:p>
      <w:pPr>
        <w:pStyle w:val="ListParagraph"/>
        <w:numPr>
          <w:ilvl w:val="0"/>
          <w:numId w:val="3"/>
        </w:numPr>
      </w:pPr>
      <w:r>
        <w:rPr>
          <w:b/>
        </w:rPr>
        <w:t xml:space="preserve">Build redirects.</w:t>
      </w:r>
      <w:r>
        <w:t xml:space="preserve"> Every item keeps its old address in </w:t>
      </w:r>
      <w:r>
        <w:rPr>
          <w:rStyle w:val="CodeChar"/>
        </w:rPr>
        <w:t xml:space="preserve">legacy_url</w:t>
      </w:r>
      <w:r>
        <w:t xml:space="preserve">; a script turns these into a redirect list so old links and search results still work.</w:t>
      </w:r>
    </w:p>
    <w:p>
      <w:pPr>
        <w:pStyle w:val="ListParagraph"/>
        <w:numPr>
          <w:ilvl w:val="0"/>
          <w:numId w:val="3"/>
        </w:numPr>
      </w:pPr>
      <w:r>
        <w:rPr>
          <w:b/>
        </w:rPr>
        <w:t xml:space="preserve">Freeze and switch.</w:t>
      </w:r>
      <w:r>
        <w:t xml:space="preserve"> Stop adding content on the old site, run a final import of anything new, rebuild the feed and go live.</w:t>
      </w:r>
    </w:p>
    <w:p>
      <w:pPr>
        <w:pStyle w:val="Heading2"/>
      </w:pPr>
      <w:r>
        <w:t xml:space="preserve">Editorial review</w:t>
      </w:r>
    </w:p>
    <w:p>
      <w:pPr/>
      <w:r>
        <w:t xml:space="preserve">452 items need a person to confirm their themes; at about a minute each, that is roughly 8 hours of editing. Splitting by theme keeps each reviewer in subject matter they know.</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Batch</w:t>
            </w:r>
          </w:p>
        </w:tc>
        <w:tc>
          <w:tcPr>
            <w:tcW w:w="3120" w:type="dxa"/>
            <w:shd w:val="clear" w:color="auto" w:fill="F2F2F2"/>
          </w:tcPr>
          <w:p>
            <w:pPr/>
            <w:r>
              <w:t xml:space="preserve">Items to check</w:t>
            </w:r>
          </w:p>
        </w:tc>
        <w:tc>
          <w:tcPr>
            <w:tcW w:w="3120" w:type="dxa"/>
            <w:shd w:val="clear" w:color="auto" w:fill="F2F2F2"/>
          </w:tcPr>
          <w:p>
            <w:pPr/>
            <w:r>
              <w:t xml:space="preserve">Suggested owner</w:t>
            </w:r>
          </w:p>
        </w:tc>
      </w:tr>
      <w:tr>
        <w:tc>
          <w:tcPr>
            <w:tcW w:w="3120" w:type="dxa"/>
          </w:tcPr>
          <w:p>
            <w:pPr/>
            <w:r>
              <w:t xml:space="preserve">No theme found (65)</w:t>
            </w:r>
          </w:p>
        </w:tc>
        <w:tc>
          <w:tcPr>
            <w:tcW w:w="3120" w:type="dxa"/>
          </w:tcPr>
          <w:p>
            <w:pPr/>
            <w:r>
              <w:t xml:space="preserve">Pick 1–4 themes from scratch</w:t>
            </w:r>
          </w:p>
        </w:tc>
        <w:tc>
          <w:tcPr>
            <w:tcW w:w="3120" w:type="dxa"/>
          </w:tcPr>
          <w:p>
            <w:pPr/>
            <w:r>
              <w:t xml:space="preserve">Knowledge Hub editor</w:t>
            </w:r>
          </w:p>
        </w:tc>
      </w:tr>
      <w:tr>
        <w:tc>
          <w:tcPr>
            <w:tcW w:w="3120" w:type="dxa"/>
          </w:tcPr>
          <w:p>
            <w:pPr/>
            <w:r>
              <w:t xml:space="preserve">Data themes: FinScope, data and methods, financial inclusion</w:t>
            </w:r>
          </w:p>
        </w:tc>
        <w:tc>
          <w:tcPr>
            <w:tcW w:w="3120" w:type="dxa"/>
          </w:tcPr>
          <w:p>
            <w:pPr/>
            <w:r>
              <w:t xml:space="preserve">Confirm suggested themes, set publication dates</w:t>
            </w:r>
          </w:p>
        </w:tc>
        <w:tc>
          <w:tcPr>
            <w:tcW w:w="3120" w:type="dxa"/>
          </w:tcPr>
          <w:p>
            <w:pPr/>
            <w:r>
              <w:t xml:space="preserve">Data and Analytics team</w:t>
            </w:r>
          </w:p>
        </w:tc>
      </w:tr>
      <w:tr>
        <w:tc>
          <w:tcPr>
            <w:tcW w:w="3120" w:type="dxa"/>
          </w:tcPr>
          <w:p>
            <w:pPr/>
            <w:r>
              <w:t xml:space="preserve">Programme themes: digitalisation, remittances, gender, GBL, credit, policy</w:t>
            </w:r>
          </w:p>
        </w:tc>
        <w:tc>
          <w:tcPr>
            <w:tcW w:w="3120" w:type="dxa"/>
          </w:tcPr>
          <w:p>
            <w:pPr/>
            <w:r>
              <w:t xml:space="preserve">Confirm suggested themes</w:t>
            </w:r>
          </w:p>
        </w:tc>
        <w:tc>
          <w:tcPr>
            <w:tcW w:w="3120" w:type="dxa"/>
          </w:tcPr>
          <w:p>
            <w:pPr/>
            <w:r>
              <w:t xml:space="preserve">Programme leads</w:t>
            </w:r>
          </w:p>
        </w:tc>
      </w:tr>
      <w:tr>
        <w:tc>
          <w:tcPr>
            <w:tcW w:w="3120" w:type="dxa"/>
          </w:tcPr>
          <w:p>
            <w:pPr/>
            <w:r>
              <w:t xml:space="preserve">Archived themes (COVID-19, MAP, agriculture, insurance, i2i and others)</w:t>
            </w:r>
          </w:p>
        </w:tc>
        <w:tc>
          <w:tcPr>
            <w:tcW w:w="3120" w:type="dxa"/>
          </w:tcPr>
          <w:p>
            <w:pPr/>
            <w:r>
              <w:t xml:space="preserve">Light check only; hidden by default</w:t>
            </w:r>
          </w:p>
        </w:tc>
        <w:tc>
          <w:tcPr>
            <w:tcW w:w="3120" w:type="dxa"/>
          </w:tcPr>
          <w:p>
            <w:pPr/>
            <w:r>
              <w:t xml:space="preserve">Knowledge Hub editor</w:t>
            </w:r>
          </w:p>
        </w:tc>
      </w:tr>
      <w:tr>
        <w:tc>
          <w:tcPr>
            <w:tcW w:w="3120" w:type="dxa"/>
          </w:tcPr>
          <w:p>
            <w:pPr/>
            <w:r>
              <w:t xml:space="preserve">French and Portuguese items (24)</w:t>
            </w:r>
          </w:p>
        </w:tc>
        <w:tc>
          <w:tcPr>
            <w:tcW w:w="3120" w:type="dxa"/>
          </w:tcPr>
          <w:p>
            <w:pPr/>
            <w:r>
              <w:t xml:space="preserve">Confirm language and pair with the English version</w:t>
            </w:r>
          </w:p>
        </w:tc>
        <w:tc>
          <w:tcPr>
            <w:tcW w:w="3120" w:type="dxa"/>
          </w:tcPr>
          <w:p>
            <w:pPr/>
            <w:r>
              <w:t xml:space="preserve">Communications</w:t>
            </w:r>
          </w:p>
        </w:tc>
      </w:tr>
    </w:tbl>
    <w:p>
      <w:pPr/>
      <w:r>
        <w:t xml:space="preserve">The editor's </w:t>
      </w:r>
      <w:r>
        <w:rPr>
          <w:b/>
        </w:rPr>
        <w:t xml:space="preserve">Needs review</w:t>
      </w:r>
      <w:r>
        <w:t xml:space="preserve"> filter shows what is left, and </w:t>
      </w:r>
      <w:r>
        <w:rPr>
          <w:rStyle w:val="CodeChar"/>
        </w:rPr>
        <w:t xml:space="preserve">legacy/migration-report.csv</w:t>
      </w:r>
      <w:r>
        <w:t xml:space="preserve"> gives a printable list.</w:t>
      </w:r>
    </w:p>
    <w:p>
      <w:pPr>
        <w:pStyle w:val="Heading2"/>
      </w:pPr>
      <w:r>
        <w:t xml:space="preserve">Go-live setup</w:t>
      </w:r>
    </w:p>
    <w:p>
      <w:pPr/>
      <w:r>
        <w:t xml:space="preserve">On the live site, editors sign in with GitLab and every publish is a commit that rebuilds the hub within minutes.</w:t>
      </w:r>
    </w:p>
    <w:p>
      <w:pPr/>
      <w:r>
        <w:drawing>
          <wp:inline distT="0" distB="0" distL="0" distR="0">
            <wp:extent cx="5486400" cy="1632857"/>
            <wp:docPr id="1" name="image1" descr="publishing flow · 5 steps"/>
            <a:graphic xmlns:a="http://schemas.openxmlformats.org/drawingml/2006/main">
              <a:graphicData uri="http://schemas.openxmlformats.org/drawingml/2006/picture">
                <pic:pic xmlns:pic="http://schemas.openxmlformats.org/drawingml/2006/picture">
                  <pic:nvPicPr>
                    <pic:cNvPr id="1" name="image1" descr="publishing flow · 5 steps"/>
                    <pic:cNvPicPr/>
                  </pic:nvPicPr>
                  <pic:blipFill>
                    <a:blip r:embed="rId3"/>
                    <a:stretch>
                      <a:fillRect/>
                    </a:stretch>
                  </pic:blipFill>
                  <pic:spPr>
                    <a:xfrm>
                      <a:off x="0" y="0"/>
                      <a:ext cx="5486400" cy="1632857"/>
                    </a:xfrm>
                    <a:prstGeom prst="rect">
                      <a:avLst/>
                    </a:prstGeom>
                  </pic:spPr>
                </pic:pic>
              </a:graphicData>
            </a:graphic>
          </wp:inline>
        </w:drawing>
      </w:r>
    </w:p>
    <w:p>
      <w:pPr/>
      <w:r>
        <w:t xml:space="preserve">publishing flow · 5 steps</w:t>
      </w:r>
    </w:p>
    <w:p>
      <w:pPr/>
      <w:r>
        <w:t xml:space="preserve">On the live site a reviewer approves the draft in GitLab before it reaches the hub; locally, saves appear straight away.</w:t>
      </w:r>
    </w:p>
    <w:p>
      <w:pPr>
        <w:pStyle w:val="ListParagraph"/>
        <w:numPr>
          <w:ilvl w:val="0"/>
          <w:numId w:val="4"/>
        </w:numPr>
      </w:pPr>
      <w:r>
        <w:t xml:space="preserve">☐ Move the site into the GitLab repository it deploys from</w:t>
      </w:r>
    </w:p>
    <w:p>
      <w:pPr>
        <w:pStyle w:val="ListParagraph"/>
        <w:numPr>
          <w:ilvl w:val="0"/>
          <w:numId w:val="4"/>
        </w:numPr>
      </w:pPr>
      <w:r>
        <w:t xml:space="preserve">☐ Register a GitLab OAuth application (non-confidential, scope </w:t>
      </w:r>
      <w:r>
        <w:rPr>
          <w:rStyle w:val="CodeChar"/>
        </w:rPr>
        <w:t xml:space="preserve">api</w:t>
      </w:r>
      <w:r>
        <w:t xml:space="preserve">, redirect to </w:t>
      </w:r>
      <w:r>
        <w:rPr>
          <w:rStyle w:val="CodeChar"/>
        </w:rPr>
        <w:t xml:space="preserve">/admin/</w:t>
      </w:r>
      <w:r>
        <w:t xml:space="preserve">) and add its ID to </w:t>
      </w:r>
      <w:r>
        <w:rPr>
          <w:rStyle w:val="CodeChar"/>
        </w:rPr>
        <w:t xml:space="preserve">admin/cms-config.js</w:t>
      </w:r>
    </w:p>
    <w:p>
      <w:pPr>
        <w:pStyle w:val="ListParagraph"/>
        <w:numPr>
          <w:ilvl w:val="0"/>
          <w:numId w:val="4"/>
        </w:numPr>
      </w:pPr>
      <w:r>
        <w:t xml:space="preserve">☐ Add a CI step that runs </w:t>
      </w:r>
      <w:r>
        <w:rPr>
          <w:rStyle w:val="CodeChar"/>
        </w:rPr>
        <w:t xml:space="preserve">node scripts/build-knowledge.mjs</w:t>
      </w:r>
      <w:r>
        <w:t xml:space="preserve"> before each deploy</w:t>
      </w:r>
    </w:p>
    <w:p>
      <w:pPr>
        <w:pStyle w:val="ListParagraph"/>
        <w:numPr>
          <w:ilvl w:val="0"/>
          <w:numId w:val="4"/>
        </w:numPr>
      </w:pPr>
      <w:r>
        <w:t xml:space="preserve">☐ Give editors GitLab accounts with Developer access; reviewers with Maintainer access approve drafts</w:t>
      </w:r>
    </w:p>
    <w:p>
      <w:pPr>
        <w:pStyle w:val="ListParagraph"/>
        <w:numPr>
          <w:ilvl w:val="0"/>
          <w:numId w:val="4"/>
        </w:numPr>
      </w:pPr>
      <w:r>
        <w:t xml:space="preserve">☐ Load the redirect list into the web server</w:t>
      </w:r>
    </w:p>
    <w:p>
      <w:pPr>
        <w:pStyle w:val="ListParagraph"/>
        <w:numPr>
          <w:ilvl w:val="0"/>
          <w:numId w:val="4"/>
        </w:numPr>
      </w:pPr>
      <w:r>
        <w:t xml:space="preserve">☐ Check every external link and fix or remove dead ones</w:t>
      </w:r>
    </w:p>
    <w:p>
      <w:pPr>
        <w:pStyle w:val="ListParagraph"/>
        <w:numPr>
          <w:ilvl w:val="0"/>
          <w:numId w:val="4"/>
        </w:numPr>
      </w:pPr>
      <w:r>
        <w:t xml:space="preserve">☐ Test search and filters with the full catalogue (target about 1,200 items; the feed stays under 0.5 MB)</w:t>
      </w:r>
    </w:p>
    <w:p>
      <w:pPr>
        <w:pStyle w:val="Heading2"/>
      </w:pPr>
      <w:r>
        <w:t xml:space="preserve">Risks and open questions</w:t>
      </w:r>
    </w:p>
    <w:p>
      <w:pPr>
        <w:pStyle w:val="ListParagraph"/>
        <w:numPr>
          <w:ilvl w:val="0"/>
          <w:numId w:val="5"/>
        </w:numPr>
      </w:pPr>
      <w:r>
        <w:rPr>
          <w:b/>
        </w:rPr>
        <w:t xml:space="preserve">Incomplete inventory.</w:t>
      </w:r>
      <w:r>
        <w:t xml:space="preserve"> We hold about half the estimated 1,200 items. Without a full export, older PDFs could be left behind.</w:t>
      </w:r>
    </w:p>
    <w:p>
      <w:pPr>
        <w:pStyle w:val="ListParagraph"/>
        <w:numPr>
          <w:ilvl w:val="0"/>
          <w:numId w:val="5"/>
        </w:numPr>
      </w:pPr>
      <w:r>
        <w:rPr>
          <w:b/>
        </w:rPr>
        <w:t xml:space="preserve">Broken old links.</w:t>
      </w:r>
      <w:r>
        <w:t xml:space="preserve"> Reports are widely cited by URL. Missing redirects would break those citations and lose search traffic.</w:t>
      </w:r>
    </w:p>
    <w:p>
      <w:pPr>
        <w:pStyle w:val="ListParagraph"/>
        <w:numPr>
          <w:ilvl w:val="0"/>
          <w:numId w:val="5"/>
        </w:numPr>
      </w:pPr>
      <w:r>
        <w:rPr>
          <w:b/>
        </w:rPr>
        <w:t xml:space="preserve">Review time.</w:t>
      </w:r>
      <w:r>
        <w:t xml:space="preserve"> If the 452 reviews are not done before launch, items keep their suggested themes and some will sit under the wrong filter.</w:t>
      </w:r>
    </w:p>
    <w:p>
      <w:pPr>
        <w:pStyle w:val="ListParagraph"/>
        <w:numPr>
          <w:ilvl w:val="0"/>
          <w:numId w:val="5"/>
        </w:numPr>
      </w:pPr>
      <w:r>
        <w:rPr>
          <w:b/>
        </w:rPr>
        <w:t xml:space="preserve">File hosting.</w:t>
      </w:r>
      <w:r>
        <w:t xml:space="preserve"> Several hundred PDFs in Git make the repository heavy. Decide whether files live in the repository or in a separate file store.</w:t>
      </w:r>
    </w:p>
    <w:p>
      <w:pPr>
        <w:pStyle w:val="ListParagraph"/>
        <w:numPr>
          <w:ilvl w:val="0"/>
          <w:numId w:val="5"/>
        </w:numPr>
      </w:pPr>
      <w:r>
        <w:rPr>
          <w:b/>
        </w:rPr>
        <w:t xml:space="preserve">Search at scale.</w:t>
      </w:r>
      <w:r>
        <w:t xml:space="preserve"> Filtering in the browser is fast at 1,200 items. Full-text search inside PDFs would need a search service later.</w:t>
      </w:r>
    </w:p>
    <w:p>
      <w:pPr>
        <w:pStyle w:val="ListParagraph"/>
        <w:numPr>
          <w:ilvl w:val="0"/>
          <w:numId w:val="5"/>
        </w:numPr>
      </w:pPr>
      <w:r>
        <w:rPr>
          <w:b/>
        </w:rPr>
        <w:t xml:space="preserve">Open:</w:t>
      </w:r>
      <w:r>
        <w:t xml:space="preserve"> do we keep insight2impact (i2i) content under its own archived theme, or fold it into Data and research methods?</w:t>
      </w:r>
    </w:p>
    <w:p>
      <w:pPr>
        <w:pStyle w:val="ListParagraph"/>
        <w:numPr>
          <w:ilvl w:val="0"/>
          <w:numId w:val="5"/>
        </w:numPr>
      </w:pPr>
      <w:r>
        <w:rPr>
          <w:b/>
        </w:rPr>
        <w:t xml:space="preserve">Open:</w:t>
      </w:r>
      <w:r>
        <w:t xml:space="preserve"> who owns the Knowledge Hub editor role after launch?</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Knowledge Hub migration plan</dc:title>
  <dc:description>Claude Docs node/624ab1b4-5e19@9 docx-w6</dc:description>
  <cp:revision>9</cp:revision>
</cp:coreProperties>
</file>