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D1B2A" w:val="clear"/>
            <w:tcMar>
              <w:top w:type="dxa" w:w="480"/>
              <w:left w:type="dxa" w:w="480"/>
              <w:bottom w:type="dxa" w:w="480"/>
              <w:right w:type="dxa" w:w="480"/>
            </w:tcMar>
          </w:tcPr>
          <w:p>
            <w:pPr>
              <w:spacing w:after="80" w:before="0"/>
            </w:pPr>
            <w:r>
              <w:rPr>
                <w:rFonts w:ascii="Arial" w:cs="Arial" w:eastAsia="Arial" w:hAnsi="Arial"/>
                <w:b/>
                <w:bCs/>
                <w:color w:val="FFFFFF"/>
                <w:sz w:val="68"/>
                <w:szCs w:val="68"/>
              </w:rPr>
              <w:t xml:space="preserve">HARMONY</w:t>
            </w:r>
          </w:p>
          <w:p>
            <w:pPr>
              <w:spacing w:after="300" w:before="0"/>
            </w:pPr>
            <w:r>
              <w:rPr>
                <w:rFonts w:ascii="Arial" w:cs="Arial" w:eastAsia="Arial" w:hAnsi="Arial"/>
                <w:color w:val="7090B0"/>
                <w:sz w:val="20"/>
                <w:szCs w:val="20"/>
              </w:rPr>
              <w:t xml:space="preserve">SPATIAL OPERATING SYSTEM</w:t>
            </w:r>
          </w:p>
          <w:p>
            <w:pPr>
              <w:pBdr>
                <w:bottom w:val="single" w:color="3B82C4" w:sz="4" w:space="1"/>
              </w:pBdr>
              <w:spacing w:after="300" w:before="0"/>
            </w:pPr>
            <w:r>
              <w:t xml:space="preserve"/>
            </w:r>
          </w:p>
          <w:p>
            <w:pPr>
              <w:spacing w:after="100" w:before="0"/>
            </w:pPr>
            <w:r>
              <w:rPr>
                <w:rFonts w:ascii="Arial" w:cs="Arial" w:eastAsia="Arial" w:hAnsi="Arial"/>
                <w:b/>
                <w:bCs/>
                <w:color w:val="FFFFFF"/>
                <w:sz w:val="38"/>
                <w:szCs w:val="38"/>
              </w:rPr>
              <w:t xml:space="preserve">Pillar 2 — Data Ingestion Pipeline</w:t>
            </w:r>
          </w:p>
          <w:p>
            <w:pPr>
              <w:spacing w:after="240" w:before="0"/>
            </w:pPr>
            <w:r>
              <w:rPr>
                <w:rFonts w:ascii="Arial" w:cs="Arial" w:eastAsia="Arial" w:hAnsi="Arial"/>
                <w:color w:val="7090B0"/>
                <w:sz w:val="22"/>
                <w:szCs w:val="22"/>
              </w:rPr>
              <w:t xml:space="preserve">Architecture and Build Brief  |  Version 2.0</w:t>
            </w:r>
          </w:p>
          <w:p>
            <w:pPr>
              <w:spacing w:after="0" w:before="0"/>
            </w:pPr>
            <w:r>
              <w:rPr>
                <w:rFonts w:ascii="Arial" w:cs="Arial" w:eastAsia="Arial" w:hAnsi="Arial"/>
                <w:color w:val="506080"/>
                <w:sz w:val="16"/>
                <w:szCs w:val="16"/>
              </w:rPr>
              <w:t xml:space="preserve">Supersedes: V1.1 (April 19, 2026)  ·  Issued: April 29, 2026  ·  Confidential</w:t>
            </w:r>
          </w:p>
        </w:tc>
      </w:tr>
    </w:tbl>
    <w:p>
      <w:pPr>
        <w:spacing w:after="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Field</w:t>
            </w:r>
          </w:p>
        </w:tc>
        <w:tc>
          <w:tcPr>
            <w:tcW w:type="dxa" w:w="7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Detail</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Document</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HARMONY_P2_DATA_INGESTION_PIPELINE_BRIEF_V2_0</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Version</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V2.0 — Full revision. All V1.1 content superseded.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Pillar Status</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Active — Branch B audit required before Sprint 1 dispatches</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Governing ADRs</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ADR-018, 019, 020, 021, 022 (accepted), ADR-023 (pending), ADR-017 (pending)</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Standards</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19115, ISO 19157, ISO 19111, ANZLIC AS/NZS ISO 19115.1:2015, OGC API Connected Systems, OGC API Features</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Hard Dependency</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Pillar 1 Stage 1 and Stage 2 complete (172 tests, schema v0.2.0)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Build Agent</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Dr. Yusuf Adeyemi — Pipeline Architect</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Orchestrator</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Marcus Webb — Tech Lead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Architecture Authority</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Dr. Mara Voss — Principal Architect (binding on all schema decisions)</w:t>
            </w:r>
          </w:p>
        </w:tc>
      </w:tr>
    </w:tbl>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3B82C4"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3B82C4"/>
                <w:sz w:val="17"/>
                <w:szCs w:val="17"/>
              </w:rPr>
              <w:t xml:space="preserve">What Changed in V2.0</w:t>
            </w:r>
          </w:p>
          <w:p>
            <w:pPr>
              <w:spacing w:after="0" w:before="0"/>
            </w:pPr>
            <w:r>
              <w:rPr>
                <w:rFonts w:ascii="Arial" w:cs="Arial" w:eastAsia="Arial" w:hAnsi="Arial"/>
                <w:color w:val="1A1A2E"/>
                <w:sz w:val="17"/>
                <w:szCs w:val="17"/>
              </w:rPr>
              <w:t xml:space="preserve">This version incorporates: (1) Branch B discovery — M1-M6 code exists in unmerged branches, sprint 1 begins with a compliance audit not a fresh build; (2) ADR-022 Voss amendments — four mandatory schema constraints; (3) Five ISO/ANZLIC/OGC standards compliance additions (STD-V01 through STD-V05) from Dr. Kofi Boateng; (4) known_names upgraded to mandatory; (5) ADR-017 and ADR-023 schema reservations; (6) Commercial repositioning — Reagent is a vertical demo, not a parallel product.</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1. Pillar Summary</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Pillar 2 is the Data Ingestion Pipeline — the system that takes real-world geospatial data from Australian government, OSM, and commercial sources and writes it into the Harmony Cell registry as structured, validated, standards-compliant, fidelity-classified entities anchored to the Harmony addressing substrate.</w:t>
      </w:r>
    </w:p>
    <w:p>
      <w:pPr>
        <w:spacing w:after="0" w:before="80"/>
      </w:pPr>
      <w:r>
        <w:t xml:space="preserve"/>
      </w:r>
    </w:p>
    <w:p>
      <w:pPr>
        <w:spacing w:after="80" w:before="80"/>
      </w:pPr>
      <w:r>
        <w:rPr>
          <w:rFonts w:ascii="Arial" w:cs="Arial" w:eastAsia="Arial" w:hAnsi="Arial"/>
          <w:i w:val="false"/>
          <w:iCs w:val="false"/>
          <w:color w:val="1A1A2E"/>
          <w:sz w:val="19"/>
          <w:szCs w:val="19"/>
        </w:rPr>
        <w:t xml:space="preserve">The pipeline has seven milestones. M1-M3 build the source adapter, CRS normalisation, and geometry validation foundation. M4-M5 handle entity extraction, deduplication, and cell assignment. M6 proves multi-dataset coexistence at full Central Coast scale. M7 connects the pipeline to live NSW Planning Portal permit feeds, enabling real-time cell state transitions.</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8B1A1A"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FDE8E8" w:val="clear"/>
            <w:tcMar>
              <w:top w:type="dxa" w:w="140"/>
              <w:left w:type="dxa" w:w="200"/>
              <w:bottom w:type="dxa" w:w="140"/>
              <w:right w:type="dxa" w:w="200"/>
            </w:tcMar>
          </w:tcPr>
          <w:p>
            <w:pPr>
              <w:spacing w:after="60" w:before="0"/>
            </w:pPr>
            <w:r>
              <w:rPr>
                <w:rFonts w:ascii="Arial" w:cs="Arial" w:eastAsia="Arial" w:hAnsi="Arial"/>
                <w:b/>
                <w:bCs/>
                <w:color w:val="8B1A1A"/>
                <w:sz w:val="17"/>
                <w:szCs w:val="17"/>
              </w:rPr>
              <w:t xml:space="preserve">The Critical Path Change</w:t>
            </w:r>
          </w:p>
          <w:p>
            <w:pPr>
              <w:spacing w:after="0" w:before="0"/>
            </w:pPr>
            <w:r>
              <w:rPr>
                <w:rFonts w:ascii="Arial" w:cs="Arial" w:eastAsia="Arial" w:hAnsi="Arial"/>
                <w:color w:val="1A1A2E"/>
                <w:sz w:val="17"/>
                <w:szCs w:val="17"/>
              </w:rPr>
              <w:t xml:space="preserve">Branch B (origin/claude/pillar-2-sprint-1-m1m2-ef4b6132) contains a complete M1-M6 implementation (~7,000 lines, ~40 files) built prior to the current ADR set. Sprint 1 does not begin with fresh code. It begins with a Branch B compliance audit. Dr. Adeyemi reviews Branch B against ADR-022 Voss amendments, STD-V01 through STD-V05, and ADR-023. Only then does build — patch or fresh — commence.</w:t>
            </w:r>
          </w:p>
        </w:tc>
      </w:tr>
    </w:tbl>
    <w:p>
      <w:pPr>
        <w:spacing w:after="0" w:before="120"/>
      </w:pPr>
      <w:r>
        <w:t xml:space="preserve"/>
      </w:r>
    </w:p>
    <w:p>
      <w:pPr>
        <w:pStyle w:val="Heading2"/>
      </w:pPr>
      <w:r>
        <w:rPr>
          <w:rFonts w:ascii="Arial" w:cs="Arial" w:eastAsia="Arial" w:hAnsi="Arial"/>
          <w:b/>
          <w:bCs/>
          <w:color w:val="2C4A7C"/>
          <w:sz w:val="23"/>
          <w:szCs w:val="23"/>
        </w:rPr>
        <w:t xml:space="preserve">1.1  Commercial Context — Updated April 2026</w:t>
      </w:r>
    </w:p>
    <w:p>
      <w:pPr>
        <w:spacing w:after="80" w:before="80"/>
      </w:pPr>
      <w:r>
        <w:rPr>
          <w:rFonts w:ascii="Arial" w:cs="Arial" w:eastAsia="Arial" w:hAnsi="Arial"/>
          <w:i w:val="false"/>
          <w:iCs w:val="false"/>
          <w:color w:val="1A1A2E"/>
          <w:sz w:val="19"/>
          <w:szCs w:val="19"/>
        </w:rPr>
        <w:t xml:space="preserve">The commercial positioning has shifted since V1.1. Harmony is now positioned as AI mapping infrastructure for consumer platforms — not a spatial intelligence platform for real estate. This affects how Pillar 2 interfaces are described.</w:t>
      </w:r>
    </w:p>
    <w:p>
      <w:pPr>
        <w:spacing w:after="0" w:before="80"/>
      </w:pPr>
      <w:r>
        <w:t xml:space="preserve"/>
      </w:r>
    </w:p>
    <w:p>
      <w:pPr>
        <w:pStyle w:val="ListParagraph"/>
        <w:numPr>
          <w:ilvl w:val="0"/>
          <w:numId w:val="2"/>
        </w:numPr>
        <w:spacing w:after="60" w:before="60"/>
      </w:pPr>
      <w:r>
        <w:rPr>
          <w:rFonts w:ascii="Arial" w:cs="Arial" w:eastAsia="Arial" w:hAnsi="Arial"/>
          <w:b/>
          <w:bCs/>
          <w:color w:val="2C4A7C"/>
          <w:sz w:val="18"/>
          <w:szCs w:val="18"/>
        </w:rPr>
        <w:t xml:space="preserve">Reagent: </w:t>
      </w:r>
      <w:r>
        <w:rPr>
          <w:rFonts w:ascii="Arial" w:cs="Arial" w:eastAsia="Arial" w:hAnsi="Arial"/>
          <w:color w:val="1A1A2E"/>
          <w:sz w:val="18"/>
          <w:szCs w:val="18"/>
        </w:rPr>
        <w:t xml:space="preserve">Reagent is no longer a parallel product line. It is a vertical demonstration of what the substrate enables in real estate. Tom O'Gorman remains a pilot relationship and a substrate validation partner.</w:t>
      </w:r>
    </w:p>
    <w:p>
      <w:pPr>
        <w:pStyle w:val="ListParagraph"/>
        <w:numPr>
          <w:ilvl w:val="0"/>
          <w:numId w:val="2"/>
        </w:numPr>
        <w:spacing w:after="60" w:before="60"/>
      </w:pPr>
      <w:r>
        <w:rPr>
          <w:rFonts w:ascii="Arial" w:cs="Arial" w:eastAsia="Arial" w:hAnsi="Arial"/>
          <w:b/>
          <w:bCs/>
          <w:color w:val="2C4A7C"/>
          <w:sz w:val="18"/>
          <w:szCs w:val="18"/>
        </w:rPr>
        <w:t xml:space="preserve">Integration: </w:t>
      </w:r>
      <w:r>
        <w:rPr>
          <w:rFonts w:ascii="Arial" w:cs="Arial" w:eastAsia="Arial" w:hAnsi="Arial"/>
          <w:color w:val="1A1A2E"/>
          <w:sz w:val="18"/>
          <w:szCs w:val="18"/>
        </w:rPr>
        <w:t xml:space="preserve">The primary commercial motion is integration with consumer platforms: Cesium, Mapbox, Overture. Pillar 2 data quality, provenance, and standards compliance are directly relevant to these integration conversations.</w:t>
      </w:r>
    </w:p>
    <w:p>
      <w:pPr>
        <w:pStyle w:val="ListParagraph"/>
        <w:numPr>
          <w:ilvl w:val="0"/>
          <w:numId w:val="2"/>
        </w:numPr>
        <w:spacing w:after="60" w:before="60"/>
      </w:pPr>
      <w:r>
        <w:rPr>
          <w:rFonts w:ascii="Arial" w:cs="Arial" w:eastAsia="Arial" w:hAnsi="Arial"/>
          <w:b/>
          <w:bCs/>
          <w:color w:val="2C4A7C"/>
          <w:sz w:val="18"/>
          <w:szCs w:val="18"/>
        </w:rPr>
        <w:t xml:space="preserve">MCP Server: </w:t>
      </w:r>
      <w:r>
        <w:rPr>
          <w:rFonts w:ascii="Arial" w:cs="Arial" w:eastAsia="Arial" w:hAnsi="Arial"/>
          <w:color w:val="1A1A2E"/>
          <w:sz w:val="18"/>
          <w:szCs w:val="18"/>
        </w:rPr>
        <w:t xml:space="preserve">The MCP server demo is a Pillar 2 Stage 4 deliverable — cell resolution and adjacency queries exposed as an AI-queryable endpoint. This has moved from optional to important given the commercial thesis.</w:t>
      </w:r>
    </w:p>
    <w:p>
      <w:r>
        <w:br w:type="page"/>
      </w:r>
    </w:p>
    <w:p>
      <w:pPr>
        <w:spacing w:after="0" w:before="160"/>
      </w:pPr>
      <w:r>
        <w:t xml:space="preserve"/>
      </w:r>
    </w:p>
    <w:p>
      <w:pPr>
        <w:pStyle w:val="Heading1"/>
      </w:pPr>
      <w:r>
        <w:rPr>
          <w:rFonts w:ascii="Arial" w:cs="Arial" w:eastAsia="Arial" w:hAnsi="Arial"/>
          <w:b/>
          <w:bCs/>
          <w:color w:val="0D1B2A"/>
          <w:sz w:val="30"/>
          <w:szCs w:val="30"/>
        </w:rPr>
        <w:t xml:space="preserve">2. Milestone Map</w:t>
      </w:r>
    </w:p>
    <w:p>
      <w:pPr>
        <w:pBdr>
          <w:bottom w:val="single" w:color="3B82C4" w:sz="8" w:space="1"/>
        </w:pBdr>
        <w:spacing w:after="16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2040"/>
      </w:tblGrid>
      <w:tr>
        <w:trPr>
          <w:tblHeader/>
        </w:trPr>
        <w:tc>
          <w:tcPr>
            <w:tcW w:type="dxa" w:w="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Milestone</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Name</w:t>
            </w:r>
          </w:p>
        </w:tc>
        <w:tc>
          <w:tcPr>
            <w:tcW w:type="dxa" w:w="4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Scope</w:t>
            </w:r>
          </w:p>
        </w:tc>
        <w:tc>
          <w:tcPr>
            <w:tcW w:type="dxa" w:w="1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2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Sprint</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Pre-S1</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Branch B Audit</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Review existing M1-M6 code in Branch B against current ADR set and standards. Produce gap report. Decide: patch Branch B or build fresh.</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REQUIRED</w:t>
            </w:r>
          </w:p>
        </w:tc>
        <w:tc>
          <w:tcPr>
            <w:tcW w:type="dxa" w:w="2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Pre-Sprint 1</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 Adapter Layer</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Five adapters: GeoPackage/Shapefile/GeoJSON (file), ArcGIS REST (NSW Planning Portal, NSW Spatial Services), Overpass/OSM. CLI entry point (harmony-ingest). Manifests for four Central Coast datasets.</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M2</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 Normalisation</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GDA2020 and GDA94 to WGS84 via NTv2 grid. always_xy=True. source_crs preserved on output. Passthrough for WGS84 aliases. ADR-020 compliant.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 Validation and Quarantine</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Seven-check validation pipeline. Auto-repair for minor issues. Quarantine partition with six reason codes, 90-day retention. ADR-021 compliant.</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Entity Extraction and Deduplication</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Entity type schemas for cadastral_lot, zoning_area, building, road_segment. PCO_REF_KEY as zoning dedup key. known_names mandatory. ADR-018/019 compliant.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Cell Assignment and Registry</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Geometry-to-cell mapping. Pillar 1 API registration. Idempotency: caller responsibility. Cell hierarchy traversal for multi-cell geometries.</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Full-Scale Central Coast Ingestion</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All four datasets at production scale (~217,000 features). Multi-source coexistence verification. Idempotency test. fidelity_coverage and known_names coverage verification.</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 Branch B</w:t>
            </w:r>
          </w:p>
        </w:tc>
        <w:tc>
          <w:tcPr>
            <w:tcW w:type="dxa" w:w="2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3</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M7</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Temporal Trigger Layer</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NSW Planning Portal permit feed connection. Real-time cell state transitions on DA determination, CDC lodgement, completion certificates. 95/96 tests passing on main.</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COMPLETE on main</w:t>
            </w:r>
          </w:p>
        </w:tc>
        <w:tc>
          <w:tcPr>
            <w:tcW w:type="dxa" w:w="2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4</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3. Governing Architectural Decisions</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All Pillar 2 code must comply with the following ADRs. ADRs marked Pending must be accepted by Dr. Voss before the relevant sprint begins.</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46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ADR</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Title</w:t>
            </w:r>
          </w:p>
        </w:tc>
        <w:tc>
          <w:tcPr>
            <w:tcW w:type="dxa" w:w="1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4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Sprint Relevance</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ADR-018</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Four-Tier Data Model and Provenance Hierarchy</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Voss acceptance</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(M4)</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ADR-019</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Tier Enforcement Architecture</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Voss acceptance</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(M4)</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ADR-020</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 Normalisation Strategy — NTv2, always_xy, source_crs preservation</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Voss acceptance</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 (M2)</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ADR-021</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 Quarantine Lifecycle — 6 reason codes, 90-day retention</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Voss acceptance</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 (M3)</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Rendering Asset Format and Data Contract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Accepted (4 Voss amendments applied)</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(M4/M5)</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ADR-023</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Geospatial Standards Compliance — STD-V01 through STD-V05</w:t>
            </w:r>
          </w:p>
        </w:tc>
        <w:tc>
          <w:tcPr>
            <w:tcW w:type="dxa" w:w="1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 Dr. Voss to draft after answering S1-S4</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All sprints</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ADR-017</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HCI Field Descriptor Schema Reservation</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Pending — Jessica to draft, Voss to accept</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Pre-Sprint 2</w:t>
            </w:r>
          </w:p>
        </w:tc>
      </w:tr>
    </w:tbl>
    <w:p>
      <w:pPr>
        <w:spacing w:after="0" w:before="120"/>
      </w:pPr>
      <w:r>
        <w:t xml:space="preserve"/>
      </w:r>
    </w:p>
    <w:p>
      <w:pPr>
        <w:pStyle w:val="Heading2"/>
      </w:pPr>
      <w:r>
        <w:rPr>
          <w:rFonts w:ascii="Arial" w:cs="Arial" w:eastAsia="Arial" w:hAnsi="Arial"/>
          <w:b/>
          <w:bCs/>
          <w:color w:val="2C4A7C"/>
          <w:sz w:val="23"/>
          <w:szCs w:val="23"/>
        </w:rPr>
        <w:t xml:space="preserve">3.1  ADR-022 — The Four Voss Amendments</w:t>
      </w:r>
    </w:p>
    <w:p>
      <w:pPr>
        <w:spacing w:after="80" w:before="80"/>
      </w:pPr>
      <w:r>
        <w:rPr>
          <w:rFonts w:ascii="Arial" w:cs="Arial" w:eastAsia="Arial" w:hAnsi="Arial"/>
          <w:i w:val="false"/>
          <w:iCs w:val="false"/>
          <w:color w:val="1A1A2E"/>
          <w:sz w:val="19"/>
          <w:szCs w:val="19"/>
        </w:rPr>
        <w:t xml:space="preserve">ADR-022 was accepted with four mandatory conditions. Every cell record produced by Pillar 2 must comply with all four:</w:t>
      </w:r>
    </w:p>
    <w:p>
      <w:pPr>
        <w:spacing w:after="0" w:before="60"/>
      </w:pPr>
      <w:r>
        <w:t xml:space="preserve"/>
      </w:r>
    </w:p>
    <w:p>
      <w:pPr>
        <w:pStyle w:val="ListParagraph"/>
        <w:numPr>
          <w:ilvl w:val="0"/>
          <w:numId w:val="2"/>
        </w:numPr>
        <w:spacing w:after="60" w:before="60"/>
      </w:pPr>
      <w:r>
        <w:rPr>
          <w:rFonts w:ascii="Arial" w:cs="Arial" w:eastAsia="Arial" w:hAnsi="Arial"/>
          <w:b/>
          <w:bCs/>
          <w:color w:val="2C4A7C"/>
          <w:sz w:val="18"/>
          <w:szCs w:val="18"/>
        </w:rPr>
        <w:t xml:space="preserve">Amendment 1: </w:t>
      </w:r>
      <w:r>
        <w:rPr>
          <w:rFonts w:ascii="Arial" w:cs="Arial" w:eastAsia="Arial" w:hAnsi="Arial"/>
          <w:color w:val="1A1A2E"/>
          <w:sz w:val="18"/>
          <w:szCs w:val="18"/>
        </w:rPr>
        <w:t xml:space="preserve">Tier 4 fidelity exclusion: fidelity_coverage.photorealistic.status cannot be 'available' when source_tier = 4. Two CHECK constraints required — one for photorealistic slot, one for schematic slot.</w:t>
      </w:r>
    </w:p>
    <w:p>
      <w:pPr>
        <w:pStyle w:val="ListParagraph"/>
        <w:numPr>
          <w:ilvl w:val="0"/>
          <w:numId w:val="2"/>
        </w:numPr>
        <w:spacing w:after="60" w:before="60"/>
      </w:pPr>
      <w:r>
        <w:rPr>
          <w:rFonts w:ascii="Arial" w:cs="Arial" w:eastAsia="Arial" w:hAnsi="Arial"/>
          <w:b/>
          <w:bCs/>
          <w:color w:val="2C4A7C"/>
          <w:sz w:val="18"/>
          <w:szCs w:val="18"/>
        </w:rPr>
        <w:t xml:space="preserve">Amendment 2: </w:t>
      </w:r>
      <w:r>
        <w:rPr>
          <w:rFonts w:ascii="Arial" w:cs="Arial" w:eastAsia="Arial" w:hAnsi="Arial"/>
          <w:color w:val="1A1A2E"/>
          <w:sz w:val="18"/>
          <w:szCs w:val="18"/>
        </w:rPr>
        <w:t xml:space="preserve">source_tier range: must be 1-4 throughout. Tier 0 does not exist per ADR-018. Fidelity-level source_tier is nullable for pending assessments.</w:t>
      </w:r>
    </w:p>
    <w:p>
      <w:pPr>
        <w:pStyle w:val="ListParagraph"/>
        <w:numPr>
          <w:ilvl w:val="0"/>
          <w:numId w:val="2"/>
        </w:numPr>
        <w:spacing w:after="60" w:before="60"/>
      </w:pPr>
      <w:r>
        <w:rPr>
          <w:rFonts w:ascii="Arial" w:cs="Arial" w:eastAsia="Arial" w:hAnsi="Arial"/>
          <w:b/>
          <w:bCs/>
          <w:color w:val="2C4A7C"/>
          <w:sz w:val="18"/>
          <w:szCs w:val="18"/>
        </w:rPr>
        <w:t xml:space="preserve">Amendment 3: </w:t>
      </w:r>
      <w:r>
        <w:rPr>
          <w:rFonts w:ascii="Arial" w:cs="Arial" w:eastAsia="Arial" w:hAnsi="Arial"/>
          <w:color w:val="1A1A2E"/>
          <w:sz w:val="18"/>
          <w:szCs w:val="18"/>
        </w:rPr>
        <w:t xml:space="preserve">Dual source_tier semantics documented: fidelity source_tier cannot be lower (more trustworthy) than provenance source_tier. They can legitimately differ (Tier 1 geometry + Tier 3 ML texture). Both subject to Tier 4 exclusion.</w:t>
      </w:r>
    </w:p>
    <w:p>
      <w:pPr>
        <w:pStyle w:val="ListParagraph"/>
        <w:numPr>
          <w:ilvl w:val="0"/>
          <w:numId w:val="2"/>
        </w:numPr>
        <w:spacing w:after="60" w:before="60"/>
      </w:pPr>
      <w:r>
        <w:rPr>
          <w:rFonts w:ascii="Arial" w:cs="Arial" w:eastAsia="Arial" w:hAnsi="Arial"/>
          <w:b/>
          <w:bCs/>
          <w:color w:val="2C4A7C"/>
          <w:sz w:val="18"/>
          <w:szCs w:val="18"/>
        </w:rPr>
        <w:t xml:space="preserve">Amendment 4: </w:t>
      </w:r>
      <w:r>
        <w:rPr>
          <w:rFonts w:ascii="Arial" w:cs="Arial" w:eastAsia="Arial" w:hAnsi="Arial"/>
          <w:color w:val="1A1A2E"/>
          <w:sz w:val="18"/>
          <w:szCs w:val="18"/>
        </w:rPr>
        <w:t xml:space="preserve">lod_chain minimum cardinality: must contain at least one entry. An empty lod_chain array is invalid — absence of the bundle is the correct signal for no geometry.</w:t>
      </w:r>
    </w:p>
    <w:p>
      <w:pPr>
        <w:spacing w:after="0" w:before="120"/>
      </w:pPr>
      <w:r>
        <w:t xml:space="preserve"/>
      </w:r>
    </w:p>
    <w:p>
      <w:pPr>
        <w:pStyle w:val="Heading2"/>
      </w:pPr>
      <w:r>
        <w:rPr>
          <w:rFonts w:ascii="Arial" w:cs="Arial" w:eastAsia="Arial" w:hAnsi="Arial"/>
          <w:b/>
          <w:bCs/>
          <w:color w:val="2C4A7C"/>
          <w:sz w:val="23"/>
          <w:szCs w:val="23"/>
        </w:rPr>
        <w:t xml:space="preserve">3.2  ADR-023 — Five Standards Compliance Additions</w:t>
      </w:r>
    </w:p>
    <w:p>
      <w:pPr>
        <w:spacing w:after="80" w:before="80"/>
      </w:pPr>
      <w:r>
        <w:rPr>
          <w:rFonts w:ascii="Arial" w:cs="Arial" w:eastAsia="Arial" w:hAnsi="Arial"/>
          <w:i w:val="false"/>
          <w:iCs w:val="false"/>
          <w:color w:val="1A1A2E"/>
          <w:sz w:val="19"/>
          <w:szCs w:val="19"/>
        </w:rPr>
        <w:t xml:space="preserve">Dr. Kofi Boateng identified five schema gaps relative to ISO, ANZLIC, and OGC standards after reviewing the ADF geospatial ecosystem. Dr. Voss must answer four binding questions (S1-S4) before ADR-023 is finalised. The five additions are:</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30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Var</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Name</w:t>
            </w:r>
          </w:p>
        </w:tc>
        <w:tc>
          <w:tcPr>
            <w:tcW w:type="dxa" w:w="4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Changes</w:t>
            </w:r>
          </w:p>
        </w:tc>
        <w:tc>
          <w:tcPr>
            <w:tcW w:type="dxa" w:w="3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Blocks</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STD-V01</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 Lineage Structure</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Expand source field from a string to a structured object: source_dataset_id, source_dataset_date, source_organisation, source_licence, process_steps[], processing_organisation, processing_date. ISO 19115 / ANZLIC compliance.</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start</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STD-V02</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 Quality Declaration</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Add data_quality object to cell record: completeness_percent (int, nullable), positional_accuracy_metres (float, nullable), last_validated (datetime, nullable). ISO 19157 minimum viable quality record.</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start</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STD-V03</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Formal CRS Declaration</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Add crs_authority (string, default 'EPSG') and crs_code (integer, default 4326) to cell geometry record. ISO 19111. Engineering cost near zero — documents existing behaviour.</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 Features certification</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STD-V04</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ANZLIC File Identifier Mapping</w:t>
            </w:r>
          </w:p>
        </w:tc>
        <w:tc>
          <w:tcPr>
            <w:tcW w:type="dxa" w:w="4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Map canonical_id as ISO 19115 fileIdentifier in all metadata exports and OGC API Features responses. Mapping rule — no new fields. Required for GA validator.</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GA partnership</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STD-V05</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Temporal Population Mandate</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Elevate valid_from population from recommended to mandatory for all features where source dataset carries a feature date. Source-specific temporal field mappings defined per dataset in manifest schema.</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 Connected Systems</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9A6B00"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FFFBF0" w:val="clear"/>
            <w:tcMar>
              <w:top w:type="dxa" w:w="140"/>
              <w:left w:type="dxa" w:w="200"/>
              <w:bottom w:type="dxa" w:w="140"/>
              <w:right w:type="dxa" w:w="200"/>
            </w:tcMar>
          </w:tcPr>
          <w:p>
            <w:pPr>
              <w:spacing w:after="60" w:before="0"/>
            </w:pPr>
            <w:r>
              <w:rPr>
                <w:rFonts w:ascii="Arial" w:cs="Arial" w:eastAsia="Arial" w:hAnsi="Arial"/>
                <w:b/>
                <w:bCs/>
                <w:color w:val="9A6B00"/>
                <w:sz w:val="17"/>
                <w:szCs w:val="17"/>
              </w:rPr>
              <w:t xml:space="preserve">Why These Standards Matter Now</w:t>
            </w:r>
          </w:p>
          <w:p>
            <w:pPr>
              <w:spacing w:after="0" w:before="0"/>
            </w:pPr>
            <w:r>
              <w:rPr>
                <w:rFonts w:ascii="Arial" w:cs="Arial" w:eastAsia="Arial" w:hAnsi="Arial"/>
                <w:color w:val="1A1A2E"/>
                <w:sz w:val="17"/>
                <w:szCs w:val="17"/>
              </w:rPr>
              <w:t xml:space="preserve">GA will not endorse Harmony as a data consumer without ANZLIC-compliant lineage. ADF technical assessors check ISO 19157 quality fields first. OGC API Features certification requires formal CRS declaration. Adding these five fields now is two to three days of Marcus's time. Retrofitting onto millions of ingested records is an architectural migration.</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4. The Data Contract — Cell and Entity Record Schema</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Every record written by Pillar 2 must conform to this contract. Fields marked as new in V2.0 were not present in the V1.1 brief.</w:t>
      </w:r>
    </w:p>
    <w:p>
      <w:pPr>
        <w:spacing w:after="0" w:before="120"/>
      </w:pPr>
      <w:r>
        <w:t xml:space="preserve"/>
      </w:r>
    </w:p>
    <w:p>
      <w:pPr>
        <w:pStyle w:val="Heading2"/>
      </w:pPr>
      <w:r>
        <w:rPr>
          <w:rFonts w:ascii="Arial" w:cs="Arial" w:eastAsia="Arial" w:hAnsi="Arial"/>
          <w:b/>
          <w:bCs/>
          <w:color w:val="2C4A7C"/>
          <w:sz w:val="23"/>
          <w:szCs w:val="23"/>
        </w:rPr>
        <w:t xml:space="preserve">4.1  Cell Record — Required Fields at Ingestion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3040"/>
      </w:tblGrid>
      <w:tr>
        <w:trPr>
          <w:tblHeader/>
        </w:trPr>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Field</w:t>
            </w:r>
          </w:p>
        </w:tc>
        <w:tc>
          <w:tcPr>
            <w:tcW w:type="dxa" w:w="1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Type</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Source</w:t>
            </w:r>
          </w:p>
        </w:tc>
        <w:tc>
          <w:tcPr>
            <w:tcW w:type="dxa" w:w="3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New in V2.0</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cell_key</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Derived deterministically via BLAKE3 from geometry</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canonical_id</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System-assigned UUID. Maps to ISO 19115 fileIdentifier (STD-V04)</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geometry_inferred</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boolean</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True when geometry is procedurally generated, not captured. Atomically forces splat_pending (ADR-022)</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geometry_source_url</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 nullable</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URL of source geometry where captured. Null for inferred geometry</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fidelity_coverage</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jsonb</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Structured object with photorealistic and schematic slots. Each carries status, source_tier (1-4, nullable), confidence, timestamp</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jsonb — lineage object</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Structured lineage: source_dataset_id, source_dataset_date, source_organisation, source_licence, process_steps[], processing_organisation, processing_date (STD-V01)</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V2.0</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data_quality</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jsonb</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Quality declaration: completeness_percent (nullable int), positional_accuracy_metres (nullable float), last_validated (nullable datetime). ISO 19157. (STD-V02)</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V2.0</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crs_authority</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 default 'EPSG'</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 authority registry. Always EPSG for Harmony standard operation (STD-V03)</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V2.0</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crs_code</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integer, default 4326</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EPSG code for the CRS. 4326 = WGS84. 7843 = GDA2020 (STD-V03)</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V2.0</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field_descriptors</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jsonb, empty at activation</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Typed container reserved for HCI physical field sensing. Types: visual_radiance, acoustic, thermal, electromagnetic. Must not be populated at ingestion (ADR-017, ADR-023)</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V2.0</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timestamp</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Mandatory where source dataset carries a feature date. Source-specific mappings in manifest (STD-V05)</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 — but now MANDATORY</w:t>
            </w:r>
          </w:p>
        </w:tc>
      </w:tr>
    </w:tbl>
    <w:p>
      <w:pPr>
        <w:spacing w:after="0" w:before="120"/>
      </w:pPr>
      <w:r>
        <w:t xml:space="preserve"/>
      </w:r>
    </w:p>
    <w:p>
      <w:pPr>
        <w:pStyle w:val="Heading2"/>
      </w:pPr>
      <w:r>
        <w:rPr>
          <w:rFonts w:ascii="Arial" w:cs="Arial" w:eastAsia="Arial" w:hAnsi="Arial"/>
          <w:b/>
          <w:bCs/>
          <w:color w:val="2C4A7C"/>
          <w:sz w:val="23"/>
          <w:szCs w:val="23"/>
        </w:rPr>
        <w:t xml:space="preserve">4.2  Entity Record — Required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3040"/>
      </w:tblGrid>
      <w:tr>
        <w:trPr>
          <w:tblHeader/>
        </w:trPr>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Field</w:t>
            </w:r>
          </w:p>
        </w:tc>
        <w:tc>
          <w:tcPr>
            <w:tcW w:type="dxa" w:w="1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Type</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Rule</w:t>
            </w:r>
          </w:p>
        </w:tc>
        <w:tc>
          <w:tcPr>
            <w:tcW w:type="dxa" w:w="3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Changed in V2.0</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entity_type</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One of: cadastral_lot, zoning_area, building, road_segment</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source_tier</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integer</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1-4. Write-once. System-assigned. Never 0. (ADR-019)</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provenance_hash</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SHA-256 of source record. Immutable after write.</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known_names</w:t>
            </w:r>
          </w:p>
        </w:tc>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array of strings</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MANDATORY. An entity with available source names and empty known_names is a validation failure, not a warning. (HCI-V05, Sprint 2 AC-R5)</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YES — now MANDATORY</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dedup_key</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string</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PCO_REF_KEY for zoning_area. LAM_ID is permanently retired and must not appear in any code or schema.</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 — but PCO_REF_KEY confirmed</w:t>
            </w:r>
          </w:p>
        </w:tc>
      </w:tr>
    </w:tbl>
    <w:p>
      <w:pPr>
        <w:spacing w:after="0" w:before="120"/>
      </w:pPr>
      <w:r>
        <w:t xml:space="preserve"/>
      </w:r>
    </w:p>
    <w:p>
      <w:pPr>
        <w:pStyle w:val="Heading2"/>
      </w:pPr>
      <w:r>
        <w:rPr>
          <w:rFonts w:ascii="Arial" w:cs="Arial" w:eastAsia="Arial" w:hAnsi="Arial"/>
          <w:b/>
          <w:bCs/>
          <w:color w:val="2C4A7C"/>
          <w:sz w:val="23"/>
          <w:szCs w:val="23"/>
        </w:rPr>
        <w:t xml:space="preserve">4.3  Temporal Field Mappings by Source Dataset</w:t>
      </w:r>
    </w:p>
    <w:p>
      <w:pPr>
        <w:spacing w:after="80" w:before="80"/>
      </w:pPr>
      <w:r>
        <w:rPr>
          <w:rFonts w:ascii="Arial" w:cs="Arial" w:eastAsia="Arial" w:hAnsi="Arial"/>
          <w:i w:val="false"/>
          <w:iCs w:val="false"/>
          <w:color w:val="1A1A2E"/>
          <w:sz w:val="19"/>
          <w:szCs w:val="19"/>
        </w:rPr>
        <w:t xml:space="preserve">Per STD-V05, valid_from is mandatory where the source carries a feature date. The following mappings apply to all four Central Coast datasets:</w:t>
      </w:r>
    </w:p>
    <w:p>
      <w:pPr>
        <w:spacing w:after="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440"/>
      </w:tblGrid>
      <w:tr>
        <w:trPr>
          <w:tblHeader/>
        </w:trPr>
        <w:tc>
          <w:tcPr>
            <w:tcW w:type="dxa" w:w="2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Source Dataset</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Source Date Field</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Maps To</w:t>
            </w:r>
          </w:p>
        </w:tc>
        <w:tc>
          <w:tcPr>
            <w:tcW w:type="dxa" w:w="3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Temporal Status</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NSW Valuer General Cadastral</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SURVEY_DATE or LODGEMENT_DATE</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3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As recorded</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NSW Planning Portal (zoning)</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DETERMINATION_DATE</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3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As recorded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OpenStreetMap Buildings</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Dataset extraction timestamp</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3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inferred — dataset-level, not feature-level</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OpenStreetMap Roads</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Dataset extraction timestamp</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inferred — dataset-level, not feature-level</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Procedurally generated</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Ingestion run timestamp</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w:t>
            </w:r>
          </w:p>
        </w:tc>
        <w:tc>
          <w:tcPr>
            <w:tcW w:type="dxa" w:w="3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temporal_status = inferred</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5. Pre-Sprint 1 — Branch B Compliance Audit</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This section defines the mandatory pre-Sprint 1 step. Before any new code is written, Dr. Adeyemi must audit the existing Branch B implementation against the current ADR set and produce a gap report.</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7A5200"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FFF8E8" w:val="clear"/>
            <w:tcMar>
              <w:top w:type="dxa" w:w="140"/>
              <w:left w:type="dxa" w:w="200"/>
              <w:bottom w:type="dxa" w:w="140"/>
              <w:right w:type="dxa" w:w="200"/>
            </w:tcMar>
          </w:tcPr>
          <w:p>
            <w:pPr>
              <w:spacing w:after="60" w:before="0"/>
            </w:pPr>
            <w:r>
              <w:rPr>
                <w:rFonts w:ascii="Arial" w:cs="Arial" w:eastAsia="Arial" w:hAnsi="Arial"/>
                <w:b/>
                <w:bCs/>
                <w:color w:val="7A5200"/>
                <w:sz w:val="17"/>
                <w:szCs w:val="17"/>
              </w:rPr>
              <w:t xml:space="preserve">Why This Step Exists</w:t>
            </w:r>
          </w:p>
          <w:p>
            <w:pPr>
              <w:spacing w:after="0" w:before="0"/>
            </w:pPr>
            <w:r>
              <w:rPr>
                <w:rFonts w:ascii="Arial" w:cs="Arial" w:eastAsia="Arial" w:hAnsi="Arial"/>
                <w:color w:val="1A1A2E"/>
                <w:sz w:val="17"/>
                <w:szCs w:val="17"/>
              </w:rPr>
              <w:t xml:space="preserve">Branch B (origin/claude/pillar-2-sprint-1-m1m2-ef4b6132) was built prior to ADR-022 Voss amendments, STD-V01 through STD-V05, ADR-023, and the known_names mandatory requirement. It may contain 70-90% of what Sprint 1 needs. Building fresh without auditing it first creates duplication, divergent implementations, and wasted effort. The audit takes one session and determines whether Sprint 1 is a patch operation or a fresh build.</w:t>
            </w:r>
          </w:p>
        </w:tc>
      </w:tr>
    </w:tbl>
    <w:p>
      <w:pPr>
        <w:spacing w:after="0" w:before="120"/>
      </w:pPr>
      <w:r>
        <w:t xml:space="preserve"/>
      </w:r>
    </w:p>
    <w:p>
      <w:pPr>
        <w:pStyle w:val="Heading2"/>
      </w:pPr>
      <w:r>
        <w:rPr>
          <w:rFonts w:ascii="Arial" w:cs="Arial" w:eastAsia="Arial" w:hAnsi="Arial"/>
          <w:b/>
          <w:bCs/>
          <w:color w:val="2C4A7C"/>
          <w:sz w:val="23"/>
          <w:szCs w:val="23"/>
        </w:rPr>
        <w:t xml:space="preserve">5.1  Branch B Contents (Confirmed by Claude Code Audit — April 29,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840"/>
      </w:tblGrid>
      <w:tr>
        <w:trPr>
          <w:tblHeader/>
        </w:trPr>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File / Module</w:t>
            </w:r>
          </w:p>
        </w:tc>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Lines</w:t>
            </w:r>
          </w:p>
        </w:tc>
        <w:tc>
          <w:tcPr>
            <w:tcW w:type="dxa" w:w="58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Scope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harmony/pipelines/adapters/ (base, arcgis_rest, file, osm)</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~800</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 — four of five adapters (no WFS)</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harmony/pipelines/normalise.py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299</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M2 — CRS normalisation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harmony/pipelines/validate.py</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376</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 — geometry validation</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harmony/pipelines/quarantine.py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190</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 — quarantine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harmony/pipelines/cell_key.py + assign.py</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457</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M3/M5 — cell assignment</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harmony/pipelines/extract.py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346</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 — entity extraction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harmony/pipelines/dedup.py</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252</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 — deduplication</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harmony/pipelines/manifest.py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270</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 — manifest system</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harmony/pipelines/registry.py</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247</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 — entity/cell registry interface</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harmony/pipelines/runner.py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411</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 — end-to-end orchestrator</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harmony/pipelines/multi_runner.py</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288</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 — multi-dataset runner</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harmony/pipelines/p1_client.py</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157</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Pillar 1 API client</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manifests/ (4 yaml files)</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~80</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Central Coast datasets defined</w:t>
            </w:r>
          </w:p>
        </w:tc>
      </w:tr>
      <w:tr>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PM/sessions/ (3 session reports)</w:t>
            </w:r>
          </w:p>
        </w:tc>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w:t>
            </w:r>
          </w:p>
        </w:tc>
        <w:tc>
          <w:tcPr>
            <w:tcW w:type="dxa" w:w="5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 M3-M5, Sprint 2 M6 complete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TOTAL</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~7,126 lines</w:t>
            </w:r>
          </w:p>
        </w:tc>
        <w:tc>
          <w:tcPr>
            <w:tcW w:type="dxa" w:w="5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 through M6</w:t>
            </w:r>
          </w:p>
        </w:tc>
      </w:tr>
    </w:tbl>
    <w:p>
      <w:pPr>
        <w:spacing w:after="0" w:before="80"/>
      </w:pPr>
      <w:r>
        <w:t xml:space="preserve"/>
      </w:r>
    </w:p>
    <w:p>
      <w:pPr>
        <w:spacing w:after="80" w:before="80"/>
      </w:pPr>
      <w:r>
        <w:rPr>
          <w:rFonts w:ascii="Arial" w:cs="Arial" w:eastAsia="Arial" w:hAnsi="Arial"/>
          <w:i/>
          <w:iCs/>
          <w:color w:val="4A4A6A"/>
          <w:sz w:val="19"/>
          <w:szCs w:val="19"/>
        </w:rPr>
        <w:t xml:space="preserve">Branch A (origin/claude/p2-m1-source-adapters) also exists with M1-M3 and the harmony-ingest CLI packaging (setup.py). Branch B does not have setup.py. The CLI entry point must be harvested from Branch A or rewritten if Branch B is used as the base.</w:t>
      </w:r>
    </w:p>
    <w:p>
      <w:pPr>
        <w:spacing w:after="0" w:before="120"/>
      </w:pPr>
      <w:r>
        <w:t xml:space="preserve"/>
      </w:r>
    </w:p>
    <w:p>
      <w:pPr>
        <w:pStyle w:val="Heading2"/>
      </w:pPr>
      <w:r>
        <w:rPr>
          <w:rFonts w:ascii="Arial" w:cs="Arial" w:eastAsia="Arial" w:hAnsi="Arial"/>
          <w:b/>
          <w:bCs/>
          <w:color w:val="2C4A7C"/>
          <w:sz w:val="23"/>
          <w:szCs w:val="23"/>
        </w:rPr>
        <w:t xml:space="preserve">5.2  The Audit Checklist</w:t>
      </w:r>
    </w:p>
    <w:p>
      <w:pPr>
        <w:spacing w:after="80" w:before="80"/>
      </w:pPr>
      <w:r>
        <w:rPr>
          <w:rFonts w:ascii="Arial" w:cs="Arial" w:eastAsia="Arial" w:hAnsi="Arial"/>
          <w:i w:val="false"/>
          <w:iCs w:val="false"/>
          <w:color w:val="1A1A2E"/>
          <w:sz w:val="19"/>
          <w:szCs w:val="19"/>
        </w:rPr>
        <w:t xml:space="preserve">Dr. Adeyemi checks Branch B against each of the following before Sprint 1 dispatches:</w:t>
      </w:r>
    </w:p>
    <w:p>
      <w:pPr>
        <w:spacing w:after="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6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Check</w:t>
            </w:r>
          </w:p>
        </w:tc>
        <w:tc>
          <w:tcPr>
            <w:tcW w:type="dxa" w:w="4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to Look For</w:t>
            </w:r>
          </w:p>
        </w:tc>
        <w:tc>
          <w:tcPr>
            <w:tcW w:type="dxa" w:w="4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Gap Level</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A1</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Tier 4 fidelity exclusion CHECK constraints present on photorealistic and schematic slots?</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Critical if missing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A2</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source_tier range enforced as 1-4 (not 0-4) throughout? Fidelity source_tier nullable?</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A3</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Dual source_tier semantics documented? Fidelity tier cannot be lower than provenance tier?</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A4</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lod_chain minimum cardinality &gt;= 1 enforced?</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Moderate if missing</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STD-V01</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 field is structured lineage object (not a string)?</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Critical if missing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STD-V02</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data_quality object present on cell records?</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Critical if missing</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STD-V03</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crs_authority and crs_code fields present on geometry record?</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STD-V05</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 population mandatory where source carries feature date? Temporal mappings in manifests?</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ADR-023</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field_descriptors column reserved on cell schema? Empty at ingestion?</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known_names</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Mandatory enforcement active? Validation failure (not warning) for empty known_names where source names available?</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Major if missing</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PCO_REF_KEY</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LAM_ID completely absent from code? PCO_REF_KEY used as zoning_area dedup key?</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Moderate (already fixed in entity schemas)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M7 reconciliation</w:t>
            </w:r>
          </w:p>
        </w:tc>
        <w:tc>
          <w:tcPr>
            <w:tcW w:type="dxa" w:w="4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Does Branch B adapters/base.py conflict with main's temporal/adapter.py? Is a shared BaseAdapter needed?</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Assess only</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CLI packaging</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 setup.py in Branch B. Confirm harmony-ingest CLI can be brought from Branch A.</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Required for Sprint 1 completion</w:t>
            </w:r>
          </w:p>
        </w:tc>
      </w:tr>
    </w:tbl>
    <w:p>
      <w:pPr>
        <w:spacing w:after="0" w:before="120"/>
      </w:pPr>
      <w:r>
        <w:t xml:space="preserve"/>
      </w:r>
    </w:p>
    <w:p>
      <w:pPr>
        <w:pStyle w:val="Heading2"/>
      </w:pPr>
      <w:r>
        <w:rPr>
          <w:rFonts w:ascii="Arial" w:cs="Arial" w:eastAsia="Arial" w:hAnsi="Arial"/>
          <w:b/>
          <w:bCs/>
          <w:color w:val="2C4A7C"/>
          <w:sz w:val="23"/>
          <w:szCs w:val="23"/>
        </w:rPr>
        <w:t xml:space="preserve">5.3  Audit Outcomes</w:t>
      </w:r>
    </w:p>
    <w:p>
      <w:pPr>
        <w:spacing w:after="80" w:before="80"/>
      </w:pPr>
      <w:r>
        <w:rPr>
          <w:rFonts w:ascii="Arial" w:cs="Arial" w:eastAsia="Arial" w:hAnsi="Arial"/>
          <w:i w:val="false"/>
          <w:iCs w:val="false"/>
          <w:color w:val="1A1A2E"/>
          <w:sz w:val="19"/>
          <w:szCs w:val="19"/>
        </w:rPr>
        <w:t xml:space="preserve">The audit produces one of three rulings:</w:t>
      </w:r>
    </w:p>
    <w:p>
      <w:pPr>
        <w:spacing w:after="0" w:before="60"/>
      </w:pPr>
      <w:r>
        <w:t xml:space="preserve"/>
      </w:r>
    </w:p>
    <w:p>
      <w:pPr>
        <w:pStyle w:val="ListParagraph"/>
        <w:numPr>
          <w:ilvl w:val="0"/>
          <w:numId w:val="2"/>
        </w:numPr>
        <w:spacing w:after="60" w:before="60"/>
      </w:pPr>
      <w:r>
        <w:rPr>
          <w:rFonts w:ascii="Arial" w:cs="Arial" w:eastAsia="Arial" w:hAnsi="Arial"/>
          <w:b/>
          <w:bCs/>
          <w:color w:val="2C4A7C"/>
          <w:sz w:val="18"/>
          <w:szCs w:val="18"/>
        </w:rPr>
        <w:t xml:space="preserve">Option A: </w:t>
      </w:r>
      <w:r>
        <w:rPr>
          <w:rFonts w:ascii="Arial" w:cs="Arial" w:eastAsia="Arial" w:hAnsi="Arial"/>
          <w:color w:val="1A1A2E"/>
          <w:sz w:val="18"/>
          <w:szCs w:val="18"/>
        </w:rPr>
        <w:t xml:space="preserve">Branch B is the Sprint 1 baseline — patch the identified gaps, add missing fields, merge.</w:t>
      </w:r>
    </w:p>
    <w:p>
      <w:pPr>
        <w:pStyle w:val="ListParagraph"/>
        <w:numPr>
          <w:ilvl w:val="0"/>
          <w:numId w:val="2"/>
        </w:numPr>
        <w:spacing w:after="60" w:before="60"/>
      </w:pPr>
      <w:r>
        <w:rPr>
          <w:rFonts w:ascii="Arial" w:cs="Arial" w:eastAsia="Arial" w:hAnsi="Arial"/>
          <w:b/>
          <w:bCs/>
          <w:color w:val="2C4A7C"/>
          <w:sz w:val="18"/>
          <w:szCs w:val="18"/>
        </w:rPr>
        <w:t xml:space="preserve">Option B: </w:t>
      </w:r>
      <w:r>
        <w:rPr>
          <w:rFonts w:ascii="Arial" w:cs="Arial" w:eastAsia="Arial" w:hAnsi="Arial"/>
          <w:color w:val="1A1A2E"/>
          <w:sz w:val="18"/>
          <w:szCs w:val="18"/>
        </w:rPr>
        <w:t xml:space="preserve">Branch B logic is sound but structure needs reorganisation — cherry-pick modules into a fresh Sprint 1 branch.</w:t>
      </w:r>
    </w:p>
    <w:p>
      <w:pPr>
        <w:pStyle w:val="ListParagraph"/>
        <w:numPr>
          <w:ilvl w:val="0"/>
          <w:numId w:val="2"/>
        </w:numPr>
        <w:spacing w:after="60" w:before="60"/>
      </w:pPr>
      <w:r>
        <w:rPr>
          <w:rFonts w:ascii="Arial" w:cs="Arial" w:eastAsia="Arial" w:hAnsi="Arial"/>
          <w:b/>
          <w:bCs/>
          <w:color w:val="2C4A7C"/>
          <w:sz w:val="18"/>
          <w:szCs w:val="18"/>
        </w:rPr>
        <w:t xml:space="preserve">Option C: </w:t>
      </w:r>
      <w:r>
        <w:rPr>
          <w:rFonts w:ascii="Arial" w:cs="Arial" w:eastAsia="Arial" w:hAnsi="Arial"/>
          <w:color w:val="1A1A2E"/>
          <w:sz w:val="18"/>
          <w:szCs w:val="18"/>
        </w:rPr>
        <w:t xml:space="preserve">Branch B has structural conflicts with the current ADR set — archive it and build Sprint 1 fresh against the full V2.0 data contract.</w:t>
      </w:r>
    </w:p>
    <w:p>
      <w:pPr>
        <w:spacing w:after="0" w:before="80"/>
      </w:pPr>
      <w:r>
        <w:t xml:space="preserve"/>
      </w:r>
    </w:p>
    <w:p>
      <w:pPr>
        <w:spacing w:after="80" w:before="80"/>
      </w:pPr>
      <w:r>
        <w:rPr>
          <w:rFonts w:ascii="Arial" w:cs="Arial" w:eastAsia="Arial" w:hAnsi="Arial"/>
          <w:i/>
          <w:iCs/>
          <w:color w:val="4A4A6A"/>
          <w:sz w:val="19"/>
          <w:szCs w:val="19"/>
        </w:rPr>
        <w:t xml:space="preserve">Dr. Adeyemi makes the recommendation. Marcus routes to Dr. Voss if Option C requires an architectural ruling.</w:t>
      </w:r>
    </w:p>
    <w:p>
      <w:r>
        <w:br w:type="page"/>
      </w:r>
    </w:p>
    <w:p>
      <w:pPr>
        <w:spacing w:after="0" w:before="160"/>
      </w:pPr>
      <w:r>
        <w:t xml:space="preserve"/>
      </w:r>
    </w:p>
    <w:p>
      <w:pPr>
        <w:pStyle w:val="Heading1"/>
      </w:pPr>
      <w:r>
        <w:rPr>
          <w:rFonts w:ascii="Arial" w:cs="Arial" w:eastAsia="Arial" w:hAnsi="Arial"/>
          <w:b/>
          <w:bCs/>
          <w:color w:val="0D1B2A"/>
          <w:sz w:val="30"/>
          <w:szCs w:val="30"/>
        </w:rPr>
        <w:t xml:space="preserve">6. Sprint Structure and Acceptance Criteria</w:t>
      </w:r>
    </w:p>
    <w:p>
      <w:pPr>
        <w:pBdr>
          <w:bottom w:val="single" w:color="3B82C4" w:sz="8" w:space="1"/>
        </w:pBdr>
        <w:spacing w:after="160" w:before="0"/>
      </w:pPr>
      <w:r>
        <w:t xml:space="preserve"/>
      </w:r>
    </w:p>
    <w:p>
      <w:pPr>
        <w:pStyle w:val="Heading2"/>
      </w:pPr>
      <w:r>
        <w:rPr>
          <w:rFonts w:ascii="Arial" w:cs="Arial" w:eastAsia="Arial" w:hAnsi="Arial"/>
          <w:b/>
          <w:bCs/>
          <w:color w:val="2C4A7C"/>
          <w:sz w:val="23"/>
          <w:szCs w:val="23"/>
        </w:rPr>
        <w:t xml:space="preserve">6.1  Pre-Sprint 1 — Branch B Audit</w:t>
      </w:r>
    </w:p>
    <w:p>
      <w:pPr>
        <w:spacing w:after="80" w:before="80"/>
      </w:pPr>
      <w:r>
        <w:rPr>
          <w:rFonts w:ascii="Arial" w:cs="Arial" w:eastAsia="Arial" w:hAnsi="Arial"/>
          <w:i w:val="false"/>
          <w:iCs w:val="false"/>
          <w:color w:val="1A1A2E"/>
          <w:sz w:val="19"/>
          <w:szCs w:val="19"/>
        </w:rPr>
        <w:t xml:space="preserve">Owner: Dr. Adeyemi. Output: gap report at PM/sessions/2026-04-29-branch-b-audit.md. Decision: Option A, B, or C ruling. Estimated duration: one session.</w:t>
      </w:r>
    </w:p>
    <w:p>
      <w:pPr>
        <w:spacing w:after="0" w:before="120"/>
      </w:pPr>
      <w:r>
        <w:t xml:space="preserve"/>
      </w:r>
    </w:p>
    <w:p>
      <w:pPr>
        <w:pStyle w:val="Heading2"/>
      </w:pPr>
      <w:r>
        <w:rPr>
          <w:rFonts w:ascii="Arial" w:cs="Arial" w:eastAsia="Arial" w:hAnsi="Arial"/>
          <w:b/>
          <w:bCs/>
          <w:color w:val="2C4A7C"/>
          <w:sz w:val="23"/>
          <w:szCs w:val="23"/>
        </w:rPr>
        <w:t xml:space="preserve">6.2  Sprint 1 — Foundation Pipeline (M1, M2, M3)</w:t>
      </w:r>
    </w:p>
    <w:p>
      <w:pPr>
        <w:spacing w:after="80" w:before="80"/>
      </w:pPr>
      <w:r>
        <w:rPr>
          <w:rFonts w:ascii="Arial" w:cs="Arial" w:eastAsia="Arial" w:hAnsi="Arial"/>
          <w:i w:val="false"/>
          <w:iCs w:val="false"/>
          <w:color w:val="1A1A2E"/>
          <w:sz w:val="19"/>
          <w:szCs w:val="19"/>
        </w:rPr>
        <w:t xml:space="preserve">Dispatches after: Branch B audit complete, ADR-020 and ADR-021 accepted by Dr. Voss.</w:t>
      </w:r>
    </w:p>
    <w:p>
      <w:pPr>
        <w:spacing w:after="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w:t>
            </w:r>
          </w:p>
        </w:tc>
        <w:tc>
          <w:tcPr>
            <w:tcW w:type="dxa" w:w="9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Acceptance Criterion</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M1-AC1</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Five source adapters operational: GeoPackage/Shapefile/GeoJSON (file), ArcGIS REST, Overpass/OSM</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M1-AC2</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harmony-ingest CLI functional via setup.py entry point</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M1-AC3</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Manifests present for all four Central Coast datasets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M1-AC4</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Live endpoint validation: NSW Planning Portal (3,866 features), NSW Spatial Services (133,943 features), OSM buildings (47,319), OSM roads (32,712)</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M2-AC1</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GDA2020 and GDA94 to WGS84 via NTv2 grid. always_xy=True confirmed.</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M2-AC2</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source_crs preserved on output record. crs_authority and crs_code fields populated (STD-V03)</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M2-AC3</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Gosford CBD reference point (lon=151.3428, lat=-33.4271) transformation verified</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M3-AC1</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Seven validation checks in order. Auto-repair for minor issues with 1% area delta guard on buffer(0)</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M3-AC2</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Quarantine partition active with six reason codes (Q1-Q4). 90-day retention per ADR-021</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M3-AC3</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ValidationReport includes threshold_exceeded flag. Default quarantine rate threshold: 5%</w:t>
            </w:r>
          </w:p>
        </w:tc>
      </w:tr>
    </w:tbl>
    <w:p>
      <w:pPr>
        <w:spacing w:after="0" w:before="120"/>
      </w:pPr>
      <w:r>
        <w:t xml:space="preserve"/>
      </w:r>
    </w:p>
    <w:p>
      <w:pPr>
        <w:pStyle w:val="Heading2"/>
      </w:pPr>
      <w:r>
        <w:rPr>
          <w:rFonts w:ascii="Arial" w:cs="Arial" w:eastAsia="Arial" w:hAnsi="Arial"/>
          <w:b/>
          <w:bCs/>
          <w:color w:val="2C4A7C"/>
          <w:sz w:val="23"/>
          <w:szCs w:val="23"/>
        </w:rPr>
        <w:t xml:space="preserve">6.3  Sprint 2 — Entity Extraction and Cell Assignment (M4, M5)</w:t>
      </w:r>
    </w:p>
    <w:p>
      <w:pPr>
        <w:spacing w:after="80" w:before="80"/>
      </w:pPr>
      <w:r>
        <w:rPr>
          <w:rFonts w:ascii="Arial" w:cs="Arial" w:eastAsia="Arial" w:hAnsi="Arial"/>
          <w:i w:val="false"/>
          <w:iCs w:val="false"/>
          <w:color w:val="1A1A2E"/>
          <w:sz w:val="19"/>
          <w:szCs w:val="19"/>
        </w:rPr>
        <w:t xml:space="preserve">Dispatches after: ADR-018, 019, 022 accepted, ADR-023 finalised (S1-S4 answered by Dr. Voss), ADR-017 accepted.</w:t>
      </w:r>
    </w:p>
    <w:p>
      <w:pPr>
        <w:spacing w:after="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w:t>
            </w:r>
          </w:p>
        </w:tc>
        <w:tc>
          <w:tcPr>
            <w:tcW w:type="dxa" w:w="9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Acceptance Criterion</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M4-AC1</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Entity extraction for all four entity types: cadastral_lot, zoning_area, building, road_segment</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M4-AC2</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PCO_REF_KEY used as zoning_area dedup key. No reference to LAM_ID in any code.</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M4-AC3</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known_names populated as MANDATORY. Entity with available source names and empty known_names fails validation.</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M4-AC4</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 field is structured lineage object per STD-V01. All seven sub-fields present.</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M4-AC5</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data_quality object present on all cell records. completeness_percent, positional_accuracy_metres, last_validated populated where known. Nullable where not (STD-V02).</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M4-AC6</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source_tier assigned as 1-4. Never 0. Write-once. Tier 4 entities cannot have fidelity status = available (ADR-022 A1).</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M4-AC7</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field_descriptors present on cell records. Empty jsonb. Must not be populated at ingestion (ADR-023/ADR-017).</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M4-AC8</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valid_from populated for all entities where source carries a feature date. Temporal mappings from Section 4.3 applied (STD-V05).</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M5-AC1</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Cell assignment correct for polygon, line, and point geometries at appropriate LOD levels.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M5-AC2</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All writes via Pillar 1 HTTP API. No direct database access.</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M5-AC3</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Idempotency verified: re-ingestion of same dataset produces zero new entities.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AC-R1</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 registered cell with geometry produces a retrievable asset bundle record keyed by cell_key and fidelity_class.</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AC-R2</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Asset bundle record contains: format=glTF, compression=Draco, lod_level, captured_at, source.</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AC-R3</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geometry_inferred flag correctly set: true for procedural, false for captured.</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AC-R4</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 asset bundle stored with bounding-box or zoom-level key. All bundles keyed by cell_key.</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AC-R5</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Every ingested entity with a human-readable name has a populated known_names field (duplicate of M4-AC3 — intentional).</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AC-R6</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fidelity_coverage.photorealistic.status is set to splat_pending for all procedurally generated cells.</w:t>
            </w:r>
          </w:p>
        </w:tc>
      </w:tr>
    </w:tbl>
    <w:p>
      <w:pPr>
        <w:spacing w:after="0" w:before="120"/>
      </w:pPr>
      <w:r>
        <w:t xml:space="preserve"/>
      </w:r>
    </w:p>
    <w:p>
      <w:pPr>
        <w:pStyle w:val="Heading2"/>
      </w:pPr>
      <w:r>
        <w:rPr>
          <w:rFonts w:ascii="Arial" w:cs="Arial" w:eastAsia="Arial" w:hAnsi="Arial"/>
          <w:b/>
          <w:bCs/>
          <w:color w:val="2C4A7C"/>
          <w:sz w:val="23"/>
          <w:szCs w:val="23"/>
        </w:rPr>
        <w:t xml:space="preserve">6.4  Sprint 3 — Full-Scale Central Coast Ingestion (M6)</w:t>
      </w:r>
    </w:p>
    <w:p>
      <w:pPr>
        <w:spacing w:after="80" w:before="80"/>
      </w:pPr>
      <w:r>
        <w:rPr>
          <w:rFonts w:ascii="Arial" w:cs="Arial" w:eastAsia="Arial" w:hAnsi="Arial"/>
          <w:i w:val="false"/>
          <w:iCs w:val="false"/>
          <w:color w:val="1A1A2E"/>
          <w:sz w:val="19"/>
          <w:szCs w:val="19"/>
        </w:rPr>
        <w:t xml:space="preserve">Dispatches after: M1 through M5 complete with all acceptance criteria passing. Branch B audit resolved.</w:t>
      </w:r>
    </w:p>
    <w:p>
      <w:pPr>
        <w:spacing w:after="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w:t>
            </w:r>
          </w:p>
        </w:tc>
        <w:tc>
          <w:tcPr>
            <w:tcW w:type="dxa" w:w="9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Acceptance Criterion</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M6-AC1</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All four datasets ingested at full Central Coast scale: ~217,840 total features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M6-AC2</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Multi-source coexistence: cells carrying entities from 2+ source types present and queryable</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M6-AC3</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fidelity_coverage populated on all cells: structural.status = available, photorealistic.status = pending</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M6-AC4</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known_names coverage &gt;= 90% per entity type</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M6-AC5</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Idempotency: re-run of zoning dataset produces zero new entities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M6-AC6</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compliance verified across all ingested records: source_tier 1-4, no Tier 4 available fidelity</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M6-AC7</w:t>
            </w:r>
          </w:p>
        </w:tc>
        <w:tc>
          <w:tcPr>
            <w:tcW w:type="dxa" w:w="9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STD-V01 lineage objects present on all records. STD-V02 data_quality populated where source metadata available.</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M6-AC8</w:t>
            </w:r>
          </w:p>
        </w:tc>
        <w:tc>
          <w:tcPr>
            <w:tcW w:type="dxa" w:w="9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Performance: throughput measured and reported (features/second at each pipeline stage)</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7. Human Decision Gates</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These are the points where Mikey's direct input is required. Everything else can be delegated to the agent team.</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3640"/>
      </w:tblGrid>
      <w:tr>
        <w:trPr>
          <w:tblHeader/>
        </w:trPr>
        <w:tc>
          <w:tcPr>
            <w:tcW w:type="dxa" w:w="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Gate</w:t>
            </w:r>
          </w:p>
        </w:tc>
        <w:tc>
          <w:tcPr>
            <w:tcW w:type="dxa" w:w="3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Decision or Action</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When</w:t>
            </w:r>
          </w:p>
        </w:tc>
        <w:tc>
          <w:tcPr>
            <w:tcW w:type="dxa" w:w="3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Blocks</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G1</w:t>
            </w:r>
          </w:p>
        </w:tc>
        <w:tc>
          <w:tcPr>
            <w:tcW w:type="dxa" w:w="3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Approve Branch B audit outcome — Option A, B, or C ruling</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Before Sprint 1 dispatches</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w:t>
            </w:r>
          </w:p>
        </w:tc>
      </w:tr>
      <w:tr>
        <w:tc>
          <w:tcPr>
            <w:tcW w:type="dxa" w:w="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G2</w:t>
            </w:r>
          </w:p>
        </w:tc>
        <w:tc>
          <w:tcPr>
            <w:tcW w:type="dxa" w:w="3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Review and confirm Dr. Voss answers to S1-S4 (standards questions)</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Before Sprint 2 schema is finalised</w:t>
            </w:r>
          </w:p>
        </w:tc>
        <w:tc>
          <w:tcPr>
            <w:tcW w:type="dxa" w:w="3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G3</w:t>
            </w:r>
          </w:p>
        </w:tc>
        <w:tc>
          <w:tcPr>
            <w:tcW w:type="dxa" w:w="3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Approve Migration 004 execution — geometry_inferred, geometry_source_url, splat_pending columns</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Before Sprint 2 data writes begin</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M4</w:t>
            </w:r>
          </w:p>
        </w:tc>
      </w:tr>
      <w:tr>
        <w:tc>
          <w:tcPr>
            <w:tcW w:type="dxa" w:w="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G4</w:t>
            </w:r>
          </w:p>
        </w:tc>
        <w:tc>
          <w:tcPr>
            <w:tcW w:type="dxa" w:w="3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Approve Migration 005 execution — STD-V01 through V05 schema changes (pending ADR-023 finalisation)</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Before Sprint 2 data writes begin</w:t>
            </w:r>
          </w:p>
        </w:tc>
        <w:tc>
          <w:tcPr>
            <w:tcW w:type="dxa" w:w="3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M4</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G5</w:t>
            </w:r>
          </w:p>
        </w:tc>
        <w:tc>
          <w:tcPr>
            <w:tcW w:type="dxa" w:w="3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Commission Gosford CBD photogrammetric capture ($5-20K)</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This week</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D6 reconstruction research and Option C demo</w:t>
            </w:r>
          </w:p>
        </w:tc>
      </w:tr>
      <w:tr>
        <w:tc>
          <w:tcPr>
            <w:tcW w:type="dxa" w:w="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G6</w:t>
            </w:r>
          </w:p>
        </w:tc>
        <w:tc>
          <w:tcPr>
            <w:tcW w:type="dxa" w:w="3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Set up Mapillary API access and pull Gosford CBD imagery</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This week</w:t>
            </w:r>
          </w:p>
        </w:tc>
        <w:tc>
          <w:tcPr>
            <w:tcW w:type="dxa" w:w="3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WS-F Experiment F1</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G7</w:t>
            </w:r>
          </w:p>
        </w:tc>
        <w:tc>
          <w:tcPr>
            <w:tcW w:type="dxa" w:w="3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Review low-confidence dedup matches flagged during M6 ingestion</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After Sprint 3</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Data quality sign-off</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8. Standards Compliance — What Harmony Aligns Against</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Harmony's substrate must be compliant with the standards that every government agency, defence organisation, and enterprise GIS platform uses to evaluate data quality and interoperability. This is not a compliance formality — it determines whether Harmony is trusted infrastructure or a proprietary format.</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4440"/>
      </w:tblGrid>
      <w:tr>
        <w:trPr>
          <w:tblHeader/>
        </w:trPr>
        <w:tc>
          <w:tcPr>
            <w:tcW w:type="dxa" w:w="1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Standard</w:t>
            </w:r>
          </w:p>
        </w:tc>
        <w:tc>
          <w:tcPr>
            <w:tcW w:type="dxa" w:w="1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Body</w:t>
            </w:r>
          </w:p>
        </w:tc>
        <w:tc>
          <w:tcPr>
            <w:tcW w:type="dxa" w:w="2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It Governs</w:t>
            </w:r>
          </w:p>
        </w:tc>
        <w:tc>
          <w:tcPr>
            <w:tcW w:type="dxa" w:w="4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Harmony Implication</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19115</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TC/211</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Geospatial metadata — lineage, quality, temporal schema</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STD-V01 lineage object and STD-V04 file identifier mapping. GA endorsement gated on this.</w:t>
            </w:r>
          </w:p>
        </w:tc>
      </w:tr>
      <w:tr>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19157</w:t>
            </w:r>
          </w:p>
        </w:tc>
        <w:tc>
          <w:tcPr>
            <w:tcW w:type="dxa" w:w="1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TC/211</w:t>
            </w:r>
          </w:p>
        </w:tc>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Geographic data quality</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STD-V02 data_quality declaration. ADF technical assessors check this first.</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19111</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ISO TC/211</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Spatial referencing by coordinates</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STD-V03 crs_authority and crs_code fields. Required for OGC API Features certification.</w:t>
            </w:r>
          </w:p>
        </w:tc>
      </w:tr>
      <w:tr>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AS/NZS ISO 19115.1:2015</w:t>
            </w:r>
          </w:p>
        </w:tc>
        <w:tc>
          <w:tcPr>
            <w:tcW w:type="dxa" w:w="1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ANZLIC</w:t>
            </w:r>
          </w:p>
        </w:tc>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Australian and NZ national metadata standard</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STD-V04 file identifier mapping. ANZLIC validator at anzlic.gov.au must pass.</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 API Connected Systems v1.0</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4D spatial framework for autonomous systems — North Star II in standard form</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STD-V05 valid_from mandatory. Direct Pillar 4 dependency.</w:t>
            </w:r>
          </w:p>
        </w:tc>
      </w:tr>
      <w:tr>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 API Features</w:t>
            </w:r>
          </w:p>
        </w:tc>
        <w:tc>
          <w:tcPr>
            <w:tcW w:type="dxa" w:w="1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OGC</w:t>
            </w:r>
          </w:p>
        </w:tc>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Uniform REST interface for spatial feature access</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STD-V03 CRS declaration required for certification. MCP server demo target.</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DGIWG DGRA</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DGIWG</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Five Eyes defence geospatial interoperability</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Dr. Voss DGRA mapping assessment required before ADSTAR August 2026.</w:t>
            </w:r>
          </w:p>
        </w:tc>
      </w:tr>
    </w:tbl>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1A5E3A"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5E3A"/>
                <w:sz w:val="17"/>
                <w:szCs w:val="17"/>
              </w:rPr>
              <w:t xml:space="preserve">The Strategic Unlock</w:t>
            </w:r>
          </w:p>
          <w:p>
            <w:pPr>
              <w:spacing w:after="0" w:before="0"/>
            </w:pPr>
            <w:r>
              <w:rPr>
                <w:rFonts w:ascii="Arial" w:cs="Arial" w:eastAsia="Arial" w:hAnsi="Arial"/>
                <w:color w:val="1A1A2E"/>
                <w:sz w:val="17"/>
                <w:szCs w:val="17"/>
              </w:rPr>
              <w:t xml:space="preserve">Five standards additions (STD-V01 through STD-V05) unlock three commercially significant outcomes simultaneously: GA formal data partnership endorsement, OGC API Features compliance certification, and ADF/ASCA technical credibility. Cost: two to three days of Marcus's time. Every day this is deferred, the retrofit cost grows with data volume.</w:t>
            </w:r>
          </w:p>
        </w:tc>
      </w:tr>
    </w:tbl>
    <w:p>
      <w:r>
        <w:br w:type="page"/>
      </w:r>
    </w:p>
    <w:p>
      <w:pPr>
        <w:spacing w:after="0" w:before="160"/>
      </w:pPr>
      <w:r>
        <w:t xml:space="preserve"/>
      </w:r>
    </w:p>
    <w:p>
      <w:pPr>
        <w:pStyle w:val="Heading1"/>
      </w:pPr>
      <w:r>
        <w:rPr>
          <w:rFonts w:ascii="Arial" w:cs="Arial" w:eastAsia="Arial" w:hAnsi="Arial"/>
          <w:b/>
          <w:bCs/>
          <w:color w:val="0D1B2A"/>
          <w:sz w:val="30"/>
          <w:szCs w:val="30"/>
        </w:rPr>
        <w:t xml:space="preserve">9. Change Log — V1.1 to V2.0</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19"/>
          <w:szCs w:val="19"/>
        </w:rPr>
        <w:t xml:space="preserve">Every significant change from V1.1 to V2.0 is documented here for traceability.</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040"/>
      </w:tblGrid>
      <w:tr>
        <w:trPr>
          <w:tblHeader/>
        </w:trPr>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Change</w:t>
            </w:r>
          </w:p>
        </w:tc>
        <w:tc>
          <w:tcPr>
            <w:tcW w:type="dxa" w:w="4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3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Source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Pre-Sprint 1 audit added</w:t>
            </w:r>
          </w:p>
        </w:tc>
        <w:tc>
          <w:tcPr>
            <w:tcW w:type="dxa" w:w="4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Branch B (M1-M6, ~7,000 lines) discovered in unmerged branches. Sprint 1 begins with compliance audit, not fresh build.</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Claude Code audit, April 29, 2026</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ADR-022 Voss amendments incorporated</w:t>
            </w:r>
          </w:p>
        </w:tc>
        <w:tc>
          <w:tcPr>
            <w:tcW w:type="dxa" w:w="4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Four mandatory amendments: Tier 4 fidelity exclusion, source_tier 1-4, dual source_tier semantics, lod_chain minimum cardinality</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Dr. Voss acceptance review, April 2026</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STD-V01 through STD-V05 added</w:t>
            </w:r>
          </w:p>
        </w:tc>
        <w:tc>
          <w:tcPr>
            <w:tcW w:type="dxa" w:w="4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Five ISO/ANZLIC/OGC compliance additions from Kofi's standards research. Schema contract updated.</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HARMONY_STANDARDS_HANDOVER_VOSS_V1_0.docx, April 2026</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known_names mandatory</w:t>
            </w:r>
          </w:p>
        </w:tc>
        <w:tc>
          <w:tcPr>
            <w:tcW w:type="dxa" w:w="4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Upgraded from recommended to mandatory. Validation failure (not warning) for empty known_names where source names available.</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2 brief amendment, April 2026</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PCO_REF_KEY confirmed</w:t>
            </w:r>
          </w:p>
        </w:tc>
        <w:tc>
          <w:tcPr>
            <w:tcW w:type="dxa" w:w="4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LAM_ID permanently retired as zoning_area dedup key. PCO_REF_KEY confirmed by live endpoint validation.</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Sprint 1 M1 validation, April 2026</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ADR-017 and ADR-023 added</w:t>
            </w:r>
          </w:p>
        </w:tc>
        <w:tc>
          <w:tcPr>
            <w:tcW w:type="dxa" w:w="4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HCI field_descriptors reservation and geospatial standards compliance ADRs. Both pending Voss acceptance.</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April 2026 sessions</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Commercial context updated</w:t>
            </w:r>
          </w:p>
        </w:tc>
        <w:tc>
          <w:tcPr>
            <w:tcW w:type="dxa" w:w="4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Reagent repositioned as vertical demo. Integration with consumer platforms (Cesium, Mapbox, Overture) is the primary commercial motion.</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CRO handoff, April 2026</w:t>
            </w:r>
          </w:p>
        </w:tc>
      </w:tr>
      <w:tr>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Temporal field mappings added</w:t>
            </w:r>
          </w:p>
        </w:tc>
        <w:tc>
          <w:tcPr>
            <w:tcW w:type="dxa" w:w="4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Source-specific valid_from mappings for all four Central Coast datasets per STD-V05.</w:t>
            </w:r>
          </w:p>
        </w:tc>
        <w:tc>
          <w:tcPr>
            <w:tcW w:type="dxa" w:w="3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Standards addendum, April 2026</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Branch A CLI packaging noted</w:t>
            </w:r>
          </w:p>
        </w:tc>
        <w:tc>
          <w:tcPr>
            <w:tcW w:type="dxa" w:w="4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setup.py and harmony-ingest entry point exist in Branch A only. Must be harvested into Sprint 1 baseline.</w:t>
            </w:r>
          </w:p>
        </w:tc>
        <w:tc>
          <w:tcPr>
            <w:tcW w:type="dxa" w:w="3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Claude Code audit, April 29, 2026</w:t>
            </w:r>
          </w:p>
        </w:tc>
      </w:tr>
    </w:tbl>
    <w:p>
      <w:pPr>
        <w:spacing w:after="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D1B2A" w:val="clear"/>
            <w:tcMar>
              <w:top w:type="dxa" w:w="260"/>
              <w:left w:type="dxa" w:w="300"/>
              <w:bottom w:type="dxa" w:w="260"/>
              <w:right w:type="dxa" w:w="300"/>
            </w:tcMar>
          </w:tcPr>
          <w:p>
            <w:pPr>
              <w:spacing w:after="80" w:before="0"/>
            </w:pPr>
            <w:r>
              <w:rPr>
                <w:rFonts w:ascii="Arial" w:cs="Arial" w:eastAsia="Arial" w:hAnsi="Arial"/>
                <w:b/>
                <w:bCs/>
                <w:color w:val="FFFFFF"/>
                <w:sz w:val="24"/>
                <w:szCs w:val="24"/>
              </w:rPr>
              <w:t xml:space="preserve">The pipeline that fills the substrate with the real world.</w:t>
            </w:r>
          </w:p>
          <w:p>
            <w:pPr>
              <w:spacing w:after="0" w:before="0"/>
            </w:pPr>
            <w:r>
              <w:rPr>
                <w:rFonts w:ascii="Arial" w:cs="Arial" w:eastAsia="Arial" w:hAnsi="Arial"/>
                <w:color w:val="7090B0"/>
                <w:sz w:val="18"/>
                <w:szCs w:val="18"/>
              </w:rPr>
              <w:t xml:space="preserve">Built to the standards that governments, defence organisations, and enterprise platforms trust. Anchored to the addressing layer that makes every record permanent.</w:t>
            </w:r>
          </w:p>
        </w:tc>
      </w:tr>
    </w:tbl>
    <w:p>
      <w:pPr>
        <w:spacing w:after="0" w:before="200"/>
      </w:pPr>
      <w:r>
        <w:t xml:space="preserve"/>
      </w:r>
    </w:p>
    <w:p>
      <w:pPr>
        <w:pBdr>
          <w:top w:val="single" w:color="D0D8E8" w:sz="4" w:space="8"/>
        </w:pBdr>
        <w:spacing w:after="0" w:before="160"/>
        <w:jc w:val="center"/>
      </w:pPr>
      <w:r>
        <w:rPr>
          <w:rFonts w:ascii="Arial" w:cs="Arial" w:eastAsia="Arial" w:hAnsi="Arial"/>
          <w:color w:val="4A4A6A"/>
          <w:sz w:val="15"/>
          <w:szCs w:val="15"/>
        </w:rPr>
        <w:t xml:space="preserve">Harmony Spatial Operating System  ·  Pillar 2 Data Ingestion Pipeline Brief V2.0  ·  April 2026  ·  Confidential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D1B2A"/>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C4A7C"/>
      <w:sz w:val="23"/>
      <w:szCs w:val="23"/>
    </w:rPr>
  </w:style>
  <w:style w:type="paragraph" w:styleId="Heading3">
    <w:name w:val="Heading 3"/>
    <w:basedOn w:val="Normal"/>
    <w:next w:val="Normal"/>
    <w:qFormat/>
    <w:pPr>
      <w:spacing w:after="60" w:before="160"/>
      <w:outlineLvl w:val="2"/>
    </w:pPr>
    <w:rPr>
      <w:rFonts w:ascii="Arial" w:cs="Arial" w:eastAsia="Arial" w:hAnsi="Arial"/>
      <w:b/>
      <w:bCs/>
      <w:color w:val="2C4A7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2026-04-29T04:08:50.069Z</dcterms:created>
  <dcterms:modified xsi:type="dcterms:W3CDTF">2026-04-29T04:08:50.069Z</dcterms:modified>
</cp:coreProperties>
</file>

<file path=docProps/custom.xml><?xml version="1.0" encoding="utf-8"?>
<Properties xmlns="http://schemas.openxmlformats.org/officeDocument/2006/custom-properties" xmlns:vt="http://schemas.openxmlformats.org/officeDocument/2006/docPropsVTypes"/>
</file>