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888888"/>
          <w:sz w:val="18"/>
          <w:szCs w:val="18"/>
        </w:rPr>
        <w:t xml:space="preserve">HARMONY SPATIAL OPERATING SYSTEM — HARMONIC CELL INITIATIVE</w:t>
      </w:r>
    </w:p>
    <w:p>
      <w:pPr>
        <w:spacing w:after="40" w:before="0"/>
      </w:pPr>
      <w:r>
        <w:rPr>
          <w:rFonts w:ascii="Arial" w:cs="Arial" w:eastAsia="Arial" w:hAnsi="Arial"/>
          <w:i/>
          <w:iCs/>
          <w:color w:val="888888"/>
          <w:sz w:val="18"/>
          <w:szCs w:val="18"/>
        </w:rPr>
        <w:t xml:space="preserve">Academic Working Paper | Confidential Pre-Publication Draft | April 2026</w:t>
      </w:r>
    </w:p>
    <w:p>
      <w:pPr>
        <w:pBdr>
          <w:bottom w:val="single" w:color="CCCCCC" w:sz="4" w:space="1"/>
        </w:pBdr>
        <w:spacing w:after="200" w:before="200"/>
      </w:pPr>
      <w:r>
        <w:t xml:space="preserve"/>
      </w:r>
    </w:p>
    <w:p>
      <w:pPr>
        <w:spacing w:after="120" w:before="400"/>
      </w:pPr>
      <w:r>
        <w:rPr>
          <w:rFonts w:ascii="Arial" w:cs="Arial" w:eastAsia="Arial" w:hAnsi="Arial"/>
          <w:b/>
          <w:bCs/>
          <w:color w:val="1A1A2E"/>
          <w:sz w:val="44"/>
          <w:szCs w:val="44"/>
        </w:rPr>
        <w:t xml:space="preserve">Toward a Harmonic Field Theory of Spatial Substrates:</w:t>
      </w:r>
    </w:p>
    <w:p>
      <w:pPr>
        <w:spacing w:after="200" w:before="0"/>
      </w:pPr>
      <w:r>
        <w:rPr>
          <w:rFonts w:ascii="Arial" w:cs="Arial" w:eastAsia="Arial" w:hAnsi="Arial"/>
          <w:b w:val="false"/>
          <w:bCs w:val="false"/>
          <w:color w:val="0F3460"/>
          <w:sz w:val="36"/>
          <w:szCs w:val="36"/>
        </w:rPr>
        <w:t xml:space="preserve">Physical Field Decomposition as a Unified Architecture for Human and Machine Spatial Intelligence</w:t>
      </w:r>
    </w:p>
    <w:p>
      <w:pPr>
        <w:spacing w:after="80" w:before="80"/>
      </w:pPr>
      <w:r>
        <w:t xml:space="preserve"/>
      </w:r>
    </w:p>
    <w:p>
      <w:pPr>
        <w:spacing w:after="80" w:before="0"/>
      </w:pPr>
      <w:r>
        <w:rPr>
          <w:rFonts w:ascii="Arial" w:cs="Arial" w:eastAsia="Arial" w:hAnsi="Arial"/>
          <w:b/>
          <w:bCs/>
          <w:sz w:val="24"/>
          <w:szCs w:val="24"/>
        </w:rPr>
        <w:t xml:space="preserve">Dr. Kofi Boateng</w:t>
      </w:r>
    </w:p>
    <w:p>
      <w:pPr>
        <w:spacing w:after="80" w:before="0"/>
      </w:pPr>
      <w:r>
        <w:rPr>
          <w:rFonts w:ascii="Arial" w:cs="Arial" w:eastAsia="Arial" w:hAnsi="Arial"/>
          <w:i/>
          <w:iCs/>
          <w:sz w:val="22"/>
          <w:szCs w:val="22"/>
        </w:rPr>
        <w:t xml:space="preserve">Chief Geospatial Officer, Harmony Spatial Operating System</w:t>
      </w:r>
    </w:p>
    <w:p>
      <w:pPr>
        <w:spacing w:after="80" w:before="80"/>
      </w:pPr>
      <w:r>
        <w:t xml:space="preserve"/>
      </w:r>
    </w:p>
    <w:p>
      <w:pPr>
        <w:pBdr>
          <w:bottom w:val="single" w:color="CCCCCC" w:sz="4" w:space="1"/>
        </w:pBdr>
        <w:spacing w:after="200" w:before="200"/>
      </w:pPr>
      <w:r>
        <w:t xml:space="preserve"/>
      </w:r>
    </w:p>
    <w:p>
      <w:pPr>
        <w:spacing w:after="80" w:before="160"/>
      </w:pPr>
      <w:r>
        <w:rPr>
          <w:rFonts w:ascii="Arial" w:cs="Arial" w:eastAsia="Arial" w:hAnsi="Arial"/>
          <w:b/>
          <w:bCs/>
          <w:color w:val="0F3460"/>
          <w:sz w:val="22"/>
          <w:szCs w:val="22"/>
        </w:rPr>
        <w:t xml:space="preserve">ABSTRACT</w:t>
      </w:r>
    </w:p>
    <w:p>
      <w:pPr>
        <w:spacing w:after="80" w:before="80"/>
      </w:pPr>
      <w:r>
        <w:rPr>
          <w:rFonts w:ascii="Arial" w:cs="Arial" w:eastAsia="Arial" w:hAnsi="Arial"/>
          <w:i w:val="false"/>
          <w:iCs w:val="false"/>
          <w:sz w:val="22"/>
          <w:szCs w:val="22"/>
        </w:rPr>
        <w:t xml:space="preserve">We propose a theoretical framework for spatial substrates in which the fundamental unit of spatial representation is not a geometric primitive — a polygon, a mesh, a point cloud, or a volumetric blob — but a harmonic field object: a bounded region of physical space whose state is described by a set of coupled spherical harmonic decompositions across multiple physical field types. We term this object a Harmonic Cell. We argue that this framing resolves three structural limitations of existing spatial substrate architectures: the separation between visual representation and physical knowledge, the inability to natively represent dynamic field phenomena, and the architectural incompatibility of current spatial substrates with emerging quantum compute paradigms. We describe the mathematical foundations of the Harmonic Cell, its relationship to existing work in Gaussian splatting and neural radiance fields, the specific physical fields of highest initial utility, and the implications for a unified architecture serving both human experiential rendering and machine autonomous navigation. We further propose that the temporal versioning of harmonic field states constitutes a physically grounded archive of measurable reality — a substrate for machine understanding that is not dependent on explicit knowledge engineering.</w:t>
      </w:r>
    </w:p>
    <w:p>
      <w:pPr>
        <w:spacing w:after="80" w:before="80"/>
      </w:pPr>
      <w:r>
        <w:t xml:space="preserve"/>
      </w:r>
    </w:p>
    <w:p>
      <w:pPr>
        <w:spacing w:after="80" w:before="80"/>
      </w:pPr>
      <w:r>
        <w:rPr>
          <w:rFonts w:ascii="Arial" w:cs="Arial" w:eastAsia="Arial" w:hAnsi="Arial"/>
          <w:b/>
          <w:bCs/>
          <w:sz w:val="22"/>
          <w:szCs w:val="22"/>
        </w:rPr>
        <w:t xml:space="preserve">Keywords: </w:t>
      </w:r>
      <w:r>
        <w:rPr>
          <w:rFonts w:ascii="Arial" w:cs="Arial" w:eastAsia="Arial" w:hAnsi="Arial"/>
          <w:i/>
          <w:iCs/>
          <w:sz w:val="22"/>
          <w:szCs w:val="22"/>
        </w:rPr>
        <w:t xml:space="preserve">spherical harmonics, spatial substrates, neural radiance fields, Gaussian splatting, quantum-compatible computation, physical field theory, spatial knowledge representation, autonomous navigation, Ambisonics</w:t>
      </w:r>
    </w:p>
    <w:p>
      <w:pPr>
        <w:pBdr>
          <w:bottom w:val="single" w:color="CCCCCC" w:sz="4" w:space="1"/>
        </w:pBdr>
        <w:spacing w:after="200" w:before="200"/>
      </w:pPr>
      <w:r>
        <w:t xml:space="preserve"/>
      </w:r>
    </w:p>
    <w:p>
      <w:pPr>
        <w:pStyle w:val="Heading1"/>
        <w:spacing w:after="160" w:before="400"/>
      </w:pPr>
      <w:r>
        <w:rPr>
          <w:rFonts w:ascii="Arial" w:cs="Arial" w:eastAsia="Arial" w:hAnsi="Arial"/>
          <w:b/>
          <w:bCs/>
          <w:color w:val="1A1A2E"/>
          <w:sz w:val="32"/>
          <w:szCs w:val="32"/>
        </w:rPr>
        <w:t xml:space="preserve">1. Introduction</w:t>
      </w:r>
    </w:p>
    <w:p>
      <w:pPr>
        <w:spacing w:after="80" w:before="80"/>
      </w:pPr>
      <w:r>
        <w:rPr>
          <w:rFonts w:ascii="Arial" w:cs="Arial" w:eastAsia="Arial" w:hAnsi="Arial"/>
          <w:i w:val="false"/>
          <w:iCs w:val="false"/>
          <w:sz w:val="22"/>
          <w:szCs w:val="22"/>
        </w:rPr>
        <w:t xml:space="preserve">The past three decades of spatial computing have been governed by a single architectural assumption so pervasive that it has rarely been examined: that physical reality is the primary thing, and digital representation is secondary. Platforms capture the world, process the capture, store the result, and render it for consumption. Reality flows in one direction — from the physical into the digital model. The model is always a derivative of reality, never a description of it at a fundamental level.</w:t>
      </w:r>
    </w:p>
    <w:p>
      <w:pPr>
        <w:spacing w:after="80" w:before="80"/>
      </w:pPr>
      <w:r>
        <w:t xml:space="preserve"/>
      </w:r>
    </w:p>
    <w:p>
      <w:pPr>
        <w:spacing w:after="80" w:before="80"/>
      </w:pPr>
      <w:r>
        <w:rPr>
          <w:rFonts w:ascii="Arial" w:cs="Arial" w:eastAsia="Arial" w:hAnsi="Arial"/>
          <w:i w:val="false"/>
          <w:iCs w:val="false"/>
          <w:sz w:val="22"/>
          <w:szCs w:val="22"/>
        </w:rPr>
        <w:t xml:space="preserve">This assumption has produced platforms of remarkable utility. Geographic Information Systems, photogrammetric reconstruction, tile-based mapping, and most recently neural scene representations have each advanced the state of the art for human spatial interaction. Yet each inherits the same structural limitation: the representation is a snapshot of appearance rather than a model of physical state. A GIS polygon knows where a building is. It does not know what the building is made of, how it responds to light, what its acoustic properties are, or how it has changed over time. A Gaussian splat scene represents how a location appears from every possible viewpoint. It does not represent the physical phenomena — acoustic, thermal, electromagnetic — that coexist with the visual at every point in space.</w:t>
      </w:r>
    </w:p>
    <w:p>
      <w:pPr>
        <w:spacing w:after="80" w:before="80"/>
      </w:pPr>
      <w:r>
        <w:t xml:space="preserve"/>
      </w:r>
    </w:p>
    <w:p>
      <w:pPr>
        <w:spacing w:after="80" w:before="80"/>
      </w:pPr>
      <w:r>
        <w:rPr>
          <w:rFonts w:ascii="Arial" w:cs="Arial" w:eastAsia="Arial" w:hAnsi="Arial"/>
          <w:i w:val="false"/>
          <w:iCs w:val="false"/>
          <w:sz w:val="22"/>
          <w:szCs w:val="22"/>
        </w:rPr>
        <w:t xml:space="preserve">The emergence of autonomous systems as first-class consumers of spatial data sharpens this limitation significantly. A human navigating through a space requires a visual representation of sufficient fidelity to support decision-making. An autonomous system navigating the same space requires something qualitatively different: a physical model of the space — its traversable geometry, its surface material properties, its dynamic state, its response to sensor modalities beyond visible light. The representation that serves the human rendering use case and the representation that serves the autonomous navigation use case are, under the current architectural paradigm, different objects requiring different pipelines, different storage models, and different query interfaces.</w:t>
      </w:r>
    </w:p>
    <w:p>
      <w:pPr>
        <w:spacing w:after="80" w:before="80"/>
      </w:pPr>
      <w:r>
        <w:t xml:space="preserve"/>
      </w:r>
    </w:p>
    <w:p>
      <w:pPr>
        <w:spacing w:after="80" w:before="80"/>
      </w:pPr>
      <w:r>
        <w:rPr>
          <w:rFonts w:ascii="Arial" w:cs="Arial" w:eastAsia="Arial" w:hAnsi="Arial"/>
          <w:i w:val="false"/>
          <w:iCs w:val="false"/>
          <w:sz w:val="22"/>
          <w:szCs w:val="22"/>
        </w:rPr>
        <w:t xml:space="preserve">We propose that this separation is not a necessary feature of spatial substrate design. It is a consequence of the geometric-primitive assumption — the decision, made implicitly at the foundation of spatial computing, that the fundamental unit of spatial representation is a geometric shape. We argue that replacing this assumption with a field-theoretic foundation — specifically, with spherical harmonic decompositions of physical fields — produces a unified substrate in which visual representation and physical knowledge are not separate layers but different projections of the same underlying mathematical object.</w:t>
      </w:r>
    </w:p>
    <w:p>
      <w:pPr>
        <w:spacing w:after="80" w:before="80"/>
      </w:pPr>
      <w:r>
        <w:t xml:space="preserve"/>
      </w:r>
    </w:p>
    <w:p>
      <w:pPr>
        <w:spacing w:after="80" w:before="80"/>
      </w:pPr>
      <w:r>
        <w:rPr>
          <w:rFonts w:ascii="Arial" w:cs="Arial" w:eastAsia="Arial" w:hAnsi="Arial"/>
          <w:i w:val="false"/>
          <w:iCs w:val="false"/>
          <w:sz w:val="22"/>
          <w:szCs w:val="22"/>
        </w:rPr>
        <w:t xml:space="preserve">This paper proceeds as follows. Section 2 reviews the mathematical foundations of spherical harmonic decomposition and its existing applications in rendering and audio. Section 3 introduces the Harmonic Cell as a formal object and describes its relationship to existing spatial substrate designs. Section 4 analyses the physical fields of highest utility for initial implementation. Section 5 addresses the temporal dimension and the archive properties of versioned field states. Section 6 discusses the relationship between harmonic field substrates and quantum computational paradigms. Section 7 describes the architectural implications for unified human and machine spatial intelligence. Section 8 outlines the research programme required to validate and implement the framework.</w:t>
      </w:r>
    </w:p>
    <w:p>
      <w:pPr>
        <w:pStyle w:val="Heading1"/>
        <w:spacing w:after="160" w:before="400"/>
      </w:pPr>
      <w:r>
        <w:rPr>
          <w:rFonts w:ascii="Arial" w:cs="Arial" w:eastAsia="Arial" w:hAnsi="Arial"/>
          <w:b/>
          <w:bCs/>
          <w:color w:val="1A1A2E"/>
          <w:sz w:val="32"/>
          <w:szCs w:val="32"/>
        </w:rPr>
        <w:t xml:space="preserve">2. Mathematical Foundations</w:t>
      </w:r>
    </w:p>
    <w:p>
      <w:pPr>
        <w:pStyle w:val="Heading2"/>
        <w:spacing w:after="120" w:before="280"/>
      </w:pPr>
      <w:r>
        <w:rPr>
          <w:rFonts w:ascii="Arial" w:cs="Arial" w:eastAsia="Arial" w:hAnsi="Arial"/>
          <w:b/>
          <w:bCs/>
          <w:color w:val="16213E"/>
          <w:sz w:val="26"/>
          <w:szCs w:val="26"/>
        </w:rPr>
        <w:t xml:space="preserve">2.1 Spherical Harmonic Functions</w:t>
      </w:r>
    </w:p>
    <w:p>
      <w:pPr>
        <w:spacing w:after="80" w:before="80"/>
      </w:pPr>
      <w:r>
        <w:rPr>
          <w:rFonts w:ascii="Arial" w:cs="Arial" w:eastAsia="Arial" w:hAnsi="Arial"/>
          <w:i w:val="false"/>
          <w:iCs w:val="false"/>
          <w:sz w:val="22"/>
          <w:szCs w:val="22"/>
        </w:rPr>
        <w:t xml:space="preserve">Spherical harmonics Y_l^m(θ, φ) are a family of functions defined on the unit sphere S² in three-dimensional space, parameterised by degree l ∈ {0, 1, 2, ...} and order m ∈ {-l, ..., l}. They form a complete orthonormal basis for the space of square-integrable functions on S², meaning that any function f: S² → ℝ can be expressed as:</w:t>
      </w:r>
    </w:p>
    <w:p>
      <w:pPr>
        <w:spacing w:after="120" w:before="120"/>
        <w:ind w:left="720"/>
      </w:pPr>
      <w:r>
        <w:rPr>
          <w:rFonts w:ascii="Courier New" w:cs="Courier New" w:eastAsia="Courier New" w:hAnsi="Courier New"/>
          <w:color w:val="0F3460"/>
          <w:sz w:val="22"/>
          <w:szCs w:val="22"/>
        </w:rPr>
        <w:t xml:space="preserve">f(θ, φ) = Σ_{l=0}^{∞} Σ_{m=-l}^{l} c_l^m · Y_l^m(θ, φ)</w:t>
      </w:r>
    </w:p>
    <w:p>
      <w:pPr>
        <w:spacing w:after="80" w:before="80"/>
      </w:pPr>
      <w:r>
        <w:rPr>
          <w:rFonts w:ascii="Arial" w:cs="Arial" w:eastAsia="Arial" w:hAnsi="Arial"/>
          <w:i w:val="false"/>
          <w:iCs w:val="false"/>
          <w:sz w:val="22"/>
          <w:szCs w:val="22"/>
        </w:rPr>
        <w:t xml:space="preserve">where the coefficients c_l^m are obtained by projection:</w:t>
      </w:r>
    </w:p>
    <w:p>
      <w:pPr>
        <w:spacing w:after="120" w:before="120"/>
        <w:ind w:left="720"/>
      </w:pPr>
      <w:r>
        <w:rPr>
          <w:rFonts w:ascii="Courier New" w:cs="Courier New" w:eastAsia="Courier New" w:hAnsi="Courier New"/>
          <w:color w:val="0F3460"/>
          <w:sz w:val="22"/>
          <w:szCs w:val="22"/>
        </w:rPr>
        <w:t xml:space="preserve">c_l^m = ∫_{S²} f(θ, φ) · Y_l^m(θ, φ) dΩ</w:t>
      </w:r>
    </w:p>
    <w:p>
      <w:pPr>
        <w:spacing w:after="80" w:before="80"/>
      </w:pPr>
      <w:r>
        <w:rPr>
          <w:rFonts w:ascii="Arial" w:cs="Arial" w:eastAsia="Arial" w:hAnsi="Arial"/>
          <w:i w:val="false"/>
          <w:iCs w:val="false"/>
          <w:sz w:val="22"/>
          <w:szCs w:val="22"/>
        </w:rPr>
        <w:t xml:space="preserve">The degree l controls the angular frequency of the basis function — low degrees represent slowly varying directional patterns, high degrees represent rapidly varying ones. This property makes spherical harmonics the natural tool for representing any physical phenomenon that varies with direction in three-dimensional space, at whatever angular resolution is required for the application.</w:t>
      </w:r>
    </w:p>
    <w:p>
      <w:pPr>
        <w:pStyle w:val="Heading2"/>
        <w:spacing w:after="120" w:before="280"/>
      </w:pPr>
      <w:r>
        <w:rPr>
          <w:rFonts w:ascii="Arial" w:cs="Arial" w:eastAsia="Arial" w:hAnsi="Arial"/>
          <w:b/>
          <w:bCs/>
          <w:color w:val="16213E"/>
          <w:sz w:val="26"/>
          <w:szCs w:val="26"/>
        </w:rPr>
        <w:t xml:space="preserve">2.2 Existing Applications in Rendering</w:t>
      </w:r>
    </w:p>
    <w:p>
      <w:pPr>
        <w:spacing w:after="80" w:before="80"/>
      </w:pPr>
      <w:r>
        <w:rPr>
          <w:rFonts w:ascii="Arial" w:cs="Arial" w:eastAsia="Arial" w:hAnsi="Arial"/>
          <w:i w:val="false"/>
          <w:iCs w:val="false"/>
          <w:sz w:val="22"/>
          <w:szCs w:val="22"/>
        </w:rPr>
        <w:t xml:space="preserve">Spherical harmonics have been used in real-time rendering for two decades, primarily for pre-computed radiance transfer (PRT) — the technique of encoding how a surface responds to environmental lighting in a compact harmonic representation. The seminal work of Sloan, Kautz, and Snyder (2002) demonstrated that low-order spherical harmonics (l ≤ 3, yielding 16 coefficients) could represent the irradiance field at a surface point with sufficient fidelity for real-time global illumination, at a fraction of the computational cost of direct light simulation.</w:t>
      </w:r>
    </w:p>
    <w:p>
      <w:pPr>
        <w:spacing w:after="80" w:before="80"/>
      </w:pPr>
      <w:r>
        <w:t xml:space="preserve"/>
      </w:r>
    </w:p>
    <w:p>
      <w:pPr>
        <w:spacing w:after="80" w:before="80"/>
      </w:pPr>
      <w:r>
        <w:rPr>
          <w:rFonts w:ascii="Arial" w:cs="Arial" w:eastAsia="Arial" w:hAnsi="Arial"/>
          <w:i w:val="false"/>
          <w:iCs w:val="false"/>
          <w:sz w:val="22"/>
          <w:szCs w:val="22"/>
        </w:rPr>
        <w:t xml:space="preserve">Gaussian splatting (Kerbl et al., 2023) applies this framework at the level of individual volumetric primitives. Each Gaussian splat carries spherical harmonic coefficients encoding its view-dependent colour — specifically, how the apparent colour of the splat changes depending on the direction from which it is observed. This encodes, in compact form, the surface reflectance properties of the physical matter the splat represents.</w:t>
      </w:r>
    </w:p>
    <w:p>
      <w:pPr>
        <w:spacing w:after="80" w:before="80"/>
      </w:pPr>
      <w:r>
        <w:t xml:space="preserve"/>
      </w:r>
    </w:p>
    <w:p>
      <w:pPr>
        <w:spacing w:after="80" w:before="80"/>
      </w:pPr>
      <w:r>
        <w:rPr>
          <w:rFonts w:ascii="Arial" w:cs="Arial" w:eastAsia="Arial" w:hAnsi="Arial"/>
          <w:i w:val="false"/>
          <w:iCs w:val="false"/>
          <w:sz w:val="22"/>
          <w:szCs w:val="22"/>
        </w:rPr>
        <w:t xml:space="preserve">The key insight we build upon is that these coefficients are not merely rendering parameters. They are physical measurements: a compressed description of how the matter at that location in space interacts with electromagnetic radiation in the visible spectrum. The transition from treating them as rendering parameters to treating them as physical measurements is the foundational move of the Harmonic Cell framework.</w:t>
      </w:r>
    </w:p>
    <w:p>
      <w:pPr>
        <w:pStyle w:val="Heading2"/>
        <w:spacing w:after="120" w:before="280"/>
      </w:pPr>
      <w:r>
        <w:rPr>
          <w:rFonts w:ascii="Arial" w:cs="Arial" w:eastAsia="Arial" w:hAnsi="Arial"/>
          <w:b/>
          <w:bCs/>
          <w:color w:val="16213E"/>
          <w:sz w:val="26"/>
          <w:szCs w:val="26"/>
        </w:rPr>
        <w:t xml:space="preserve">2.3 Ambisonics and Acoustic Field Representation</w:t>
      </w:r>
    </w:p>
    <w:p>
      <w:pPr>
        <w:spacing w:after="80" w:before="80"/>
      </w:pPr>
      <w:r>
        <w:rPr>
          <w:rFonts w:ascii="Arial" w:cs="Arial" w:eastAsia="Arial" w:hAnsi="Arial"/>
          <w:i w:val="false"/>
          <w:iCs w:val="false"/>
          <w:sz w:val="22"/>
          <w:szCs w:val="22"/>
        </w:rPr>
        <w:t xml:space="preserve">In spatial audio, the technique of Ambisonics — developed by Michael Gerzon and Peter Craven in the 1970s and formalised in Higher Order Ambisonics (HOA) — applies precisely the same spherical harmonic framework to acoustic fields. A B-format Ambisonics recording captures the sound field at a point in space as a set of spherical harmonic components, allowing the full three-dimensional acoustic environment to be encoded, transmitted, and reproduced.</w:t>
      </w:r>
    </w:p>
    <w:p>
      <w:pPr>
        <w:spacing w:after="80" w:before="80"/>
      </w:pPr>
      <w:r>
        <w:t xml:space="preserve"/>
      </w:r>
    </w:p>
    <w:p>
      <w:pPr>
        <w:spacing w:after="80" w:before="80"/>
      </w:pPr>
      <w:r>
        <w:rPr>
          <w:rFonts w:ascii="Arial" w:cs="Arial" w:eastAsia="Arial" w:hAnsi="Arial"/>
          <w:i w:val="false"/>
          <w:iCs w:val="false"/>
          <w:sz w:val="22"/>
          <w:szCs w:val="22"/>
        </w:rPr>
        <w:t xml:space="preserve">The mathematical identity between Ambisonic encoding and visual radiance encoding is not coincidental. Both are applications of the same underlying fact: that wave phenomena — whether electromagnetic or acoustic — propagate through space in patterns that are naturally described by spherical harmonic decompositions. The physical reason is that spherical harmonics are the eigenfunctions of the angular part of the Laplace operator, which governs wave propagation in three dimensions.</w:t>
      </w:r>
    </w:p>
    <w:p>
      <w:pPr>
        <w:spacing w:after="80" w:before="80"/>
      </w:pPr>
      <w:r>
        <w:t xml:space="preserve"/>
      </w:r>
    </w:p>
    <w:p>
      <w:pPr>
        <w:spacing w:after="80" w:before="80"/>
      </w:pPr>
      <w:r>
        <w:rPr>
          <w:rFonts w:ascii="Arial" w:cs="Arial" w:eastAsia="Arial" w:hAnsi="Arial"/>
          <w:i w:val="false"/>
          <w:iCs w:val="false"/>
          <w:sz w:val="22"/>
          <w:szCs w:val="22"/>
        </w:rPr>
        <w:t xml:space="preserve">This mathematical identity is the foundation of the Harmonic Cell's unifying claim: that a single representation framework can encode multiple physical field types — visual, acoustic, thermal, electromagnetic — within a single mathematical object, because all of these fields are wave phenomena governed by the same underlying differential geometry.</w:t>
      </w:r>
    </w:p>
    <w:p>
      <w:pPr>
        <w:pStyle w:val="Heading1"/>
        <w:spacing w:after="160" w:before="400"/>
      </w:pPr>
      <w:r>
        <w:rPr>
          <w:rFonts w:ascii="Arial" w:cs="Arial" w:eastAsia="Arial" w:hAnsi="Arial"/>
          <w:b/>
          <w:bCs/>
          <w:color w:val="1A1A2E"/>
          <w:sz w:val="32"/>
          <w:szCs w:val="32"/>
        </w:rPr>
        <w:t xml:space="preserve">3. The Harmonic Cell — Formal Definition</w:t>
      </w:r>
    </w:p>
    <w:p>
      <w:pPr>
        <w:pStyle w:val="Heading2"/>
        <w:spacing w:after="120" w:before="280"/>
      </w:pPr>
      <w:r>
        <w:rPr>
          <w:rFonts w:ascii="Arial" w:cs="Arial" w:eastAsia="Arial" w:hAnsi="Arial"/>
          <w:b/>
          <w:bCs/>
          <w:color w:val="16213E"/>
          <w:sz w:val="26"/>
          <w:szCs w:val="26"/>
        </w:rPr>
        <w:t xml:space="preserve">3.1 Definition</w:t>
      </w:r>
    </w:p>
    <w:p>
      <w:pPr>
        <w:spacing w:after="80" w:before="80"/>
      </w:pPr>
      <w:r>
        <w:rPr>
          <w:rFonts w:ascii="Arial" w:cs="Arial" w:eastAsia="Arial" w:hAnsi="Arial"/>
          <w:i w:val="false"/>
          <w:iCs w:val="false"/>
          <w:sz w:val="22"/>
          <w:szCs w:val="22"/>
        </w:rPr>
        <w:t xml:space="preserve">A Harmonic Cell H is a tuple:</w:t>
      </w:r>
    </w:p>
    <w:p>
      <w:pPr>
        <w:spacing w:after="120" w:before="120"/>
        <w:ind w:left="720"/>
      </w:pPr>
      <w:r>
        <w:rPr>
          <w:rFonts w:ascii="Courier New" w:cs="Courier New" w:eastAsia="Courier New" w:hAnsi="Courier New"/>
          <w:color w:val="0F3460"/>
          <w:sz w:val="22"/>
          <w:szCs w:val="22"/>
        </w:rPr>
        <w:t xml:space="preserve">H = (A, Φ, T, Γ)</w:t>
      </w:r>
    </w:p>
    <w:p>
      <w:pPr>
        <w:spacing w:after="80" w:before="80"/>
      </w:pPr>
      <w:r>
        <w:rPr>
          <w:rFonts w:ascii="Arial" w:cs="Arial" w:eastAsia="Arial" w:hAnsi="Arial"/>
          <w:i w:val="false"/>
          <w:iCs w:val="false"/>
          <w:sz w:val="22"/>
          <w:szCs w:val="22"/>
        </w:rPr>
        <w:t xml:space="preserve">where:</w:t>
      </w:r>
    </w:p>
    <w:p>
      <w:pPr>
        <w:pStyle w:val="ListParagraph"/>
        <w:numPr>
          <w:ilvl w:val="0"/>
          <w:numId w:val="2"/>
        </w:numPr>
        <w:spacing w:after="60" w:before="60"/>
      </w:pPr>
      <w:r>
        <w:rPr>
          <w:rFonts w:ascii="Arial" w:cs="Arial" w:eastAsia="Arial" w:hAnsi="Arial"/>
          <w:sz w:val="22"/>
          <w:szCs w:val="22"/>
        </w:rPr>
        <w:t xml:space="preserve">A is a canonical spatial address — a stable, globally unique identifier for a bounded region of physical space, hierarchically positioned within a multi-resolution spatial indexing system</w:t>
      </w:r>
    </w:p>
    <w:p>
      <w:pPr>
        <w:pStyle w:val="ListParagraph"/>
        <w:numPr>
          <w:ilvl w:val="0"/>
          <w:numId w:val="2"/>
        </w:numPr>
        <w:spacing w:after="60" w:before="60"/>
      </w:pPr>
      <w:r>
        <w:rPr>
          <w:rFonts w:ascii="Arial" w:cs="Arial" w:eastAsia="Arial" w:hAnsi="Arial"/>
          <w:sz w:val="22"/>
          <w:szCs w:val="22"/>
        </w:rPr>
        <w:t xml:space="preserve">Φ = {φ_1, φ_2, ..., φ_n} is a set of field descriptors, where each φ_i = (F_i, {c_l^m}_i, r_i, t_i) encodes a physical field type F_i (e.g., visible radiance, acoustic pressure, thermal radiation), its spherical harmonic coefficients {c_l^m}_i truncated at degree r_i, and its observation timestamp t_i</w:t>
      </w:r>
    </w:p>
    <w:p>
      <w:pPr>
        <w:pStyle w:val="ListParagraph"/>
        <w:numPr>
          <w:ilvl w:val="0"/>
          <w:numId w:val="2"/>
        </w:numPr>
        <w:spacing w:after="60" w:before="60"/>
      </w:pPr>
      <w:r>
        <w:rPr>
          <w:rFonts w:ascii="Arial" w:cs="Arial" w:eastAsia="Arial" w:hAnsi="Arial"/>
          <w:sz w:val="22"/>
          <w:szCs w:val="22"/>
        </w:rPr>
        <w:t xml:space="preserve">T is a bitemporal index (t_valid, t_system) supporting historical state retrieval across both the time at which a field state was physically true and the time at which it was recorded in the system</w:t>
      </w:r>
    </w:p>
    <w:p>
      <w:pPr>
        <w:pStyle w:val="ListParagraph"/>
        <w:numPr>
          <w:ilvl w:val="0"/>
          <w:numId w:val="2"/>
        </w:numPr>
        <w:spacing w:after="60" w:before="60"/>
      </w:pPr>
      <w:r>
        <w:rPr>
          <w:rFonts w:ascii="Arial" w:cs="Arial" w:eastAsia="Arial" w:hAnsi="Arial"/>
          <w:sz w:val="22"/>
          <w:szCs w:val="22"/>
        </w:rPr>
        <w:t xml:space="preserve">Γ is a coupling descriptor encoding the spatial relationships between this cell and its neighbours — the boundary conditions that govern how field states propagate across cell boundaries</w:t>
      </w:r>
    </w:p>
    <w:p>
      <w:pPr>
        <w:spacing w:after="80" w:before="80"/>
      </w:pPr>
      <w:r>
        <w:t xml:space="preserve"/>
      </w:r>
    </w:p>
    <w:p>
      <w:pPr>
        <w:spacing w:after="80" w:before="80"/>
      </w:pPr>
      <w:r>
        <w:rPr>
          <w:rFonts w:ascii="Arial" w:cs="Arial" w:eastAsia="Arial" w:hAnsi="Arial"/>
          <w:i w:val="false"/>
          <w:iCs w:val="false"/>
          <w:sz w:val="22"/>
          <w:szCs w:val="22"/>
        </w:rPr>
        <w:t xml:space="preserve">The critical property of this definition is that the geometric representation of the cell — its physical extent, its shape, its position — is derived from the spatial address A and the field descriptors Φ, rather than stored as primary data. The cell is not a container with a shape that holds field data. The cell is a field object whose spatial properties are emergent.</w:t>
      </w:r>
    </w:p>
    <w:p>
      <w:pPr>
        <w:pStyle w:val="Heading2"/>
        <w:spacing w:after="120" w:before="280"/>
      </w:pPr>
      <w:r>
        <w:rPr>
          <w:rFonts w:ascii="Arial" w:cs="Arial" w:eastAsia="Arial" w:hAnsi="Arial"/>
          <w:b/>
          <w:bCs/>
          <w:color w:val="16213E"/>
          <w:sz w:val="26"/>
          <w:szCs w:val="26"/>
        </w:rPr>
        <w:t xml:space="preserve">3.2 Relationship to Gaussian Splatting</w:t>
      </w:r>
    </w:p>
    <w:p>
      <w:pPr>
        <w:spacing w:after="80" w:before="80"/>
      </w:pPr>
      <w:r>
        <w:rPr>
          <w:rFonts w:ascii="Arial" w:cs="Arial" w:eastAsia="Arial" w:hAnsi="Arial"/>
          <w:i w:val="false"/>
          <w:iCs w:val="false"/>
          <w:sz w:val="22"/>
          <w:szCs w:val="22"/>
        </w:rPr>
        <w:t xml:space="preserve">A Gaussian splat scene can be understood as a special case of the Harmonic Cell framework in which: the spatial address is implicit (derived from the training coordinate system rather than assigned canonically), only the visible radiance field is encoded, the temporal index is a single snapshot, and the coupling descriptor is absent (each splat is independent).</w:t>
      </w:r>
    </w:p>
    <w:p>
      <w:pPr>
        <w:spacing w:after="80" w:before="80"/>
      </w:pPr>
      <w:r>
        <w:t xml:space="preserve"/>
      </w:r>
    </w:p>
    <w:p>
      <w:pPr>
        <w:spacing w:after="80" w:before="80"/>
      </w:pPr>
      <w:r>
        <w:rPr>
          <w:rFonts w:ascii="Arial" w:cs="Arial" w:eastAsia="Arial" w:hAnsi="Arial"/>
          <w:i w:val="false"/>
          <w:iCs w:val="false"/>
          <w:sz w:val="22"/>
          <w:szCs w:val="22"/>
        </w:rPr>
        <w:t xml:space="preserve">The Harmonic Cell generalises this in four directions: canonical addressing replaces implicit coordinates, multiple field types extend beyond visible radiance, bitemporal indexing replaces single snapshots, and coupling descriptors introduce physically grounded inter-cell relationships. Gaussian splatting is thus a degenerate case of the Harmonic Cell — powerful as a rendering technology but missing the properties that make a spatial substrate useful for physical knowledge representation.</w:t>
      </w:r>
    </w:p>
    <w:p>
      <w:pPr>
        <w:pStyle w:val="Heading2"/>
        <w:spacing w:after="120" w:before="280"/>
      </w:pPr>
      <w:r>
        <w:rPr>
          <w:rFonts w:ascii="Arial" w:cs="Arial" w:eastAsia="Arial" w:hAnsi="Arial"/>
          <w:b/>
          <w:bCs/>
          <w:color w:val="16213E"/>
          <w:sz w:val="26"/>
          <w:szCs w:val="26"/>
        </w:rPr>
        <w:t xml:space="preserve">3.3 The Emergence of Objects</w:t>
      </w:r>
    </w:p>
    <w:p>
      <w:pPr>
        <w:spacing w:after="80" w:before="80"/>
      </w:pPr>
      <w:r>
        <w:rPr>
          <w:rFonts w:ascii="Arial" w:cs="Arial" w:eastAsia="Arial" w:hAnsi="Arial"/>
          <w:i w:val="false"/>
          <w:iCs w:val="false"/>
          <w:sz w:val="22"/>
          <w:szCs w:val="22"/>
        </w:rPr>
        <w:t xml:space="preserve">In the geometric-primitive paradigm, objects are primary. A building is stored as geometry. The geometry defines the object. In the Harmonic Cell paradigm, objects are emergent. A building is a stable pattern in the field states of a set of Harmonic Cells — a configuration of electromagnetic, acoustic, and thermal field properties that is sufficiently stable and bounded to merit a named entity reference.</w:t>
      </w:r>
    </w:p>
    <w:p>
      <w:pPr>
        <w:spacing w:after="80" w:before="80"/>
      </w:pPr>
      <w:r>
        <w:t xml:space="preserve"/>
      </w:r>
    </w:p>
    <w:p>
      <w:pPr>
        <w:spacing w:after="80" w:before="80"/>
      </w:pPr>
      <w:r>
        <w:rPr>
          <w:rFonts w:ascii="Arial" w:cs="Arial" w:eastAsia="Arial" w:hAnsi="Arial"/>
          <w:i w:val="false"/>
          <w:iCs w:val="false"/>
          <w:sz w:val="22"/>
          <w:szCs w:val="22"/>
        </w:rPr>
        <w:t xml:space="preserve">This inversion has practical consequences. In the geometric paradigm, detecting that a building has changed requires comparing geometry — a process that is computationally expensive and sensitive to measurement noise. In the harmonic paradigm, detecting change requires comparing field coefficients — a process that is mathematically clean, naturally multi-scale (low-degree coefficients capture large-scale changes, high-degree coefficients capture fine-grained changes), and directly connected to the physical phenomena that produced the change.</w:t>
      </w:r>
    </w:p>
    <w:p>
      <w:pPr>
        <w:pStyle w:val="Heading1"/>
        <w:spacing w:after="160" w:before="400"/>
      </w:pPr>
      <w:r>
        <w:rPr>
          <w:rFonts w:ascii="Arial" w:cs="Arial" w:eastAsia="Arial" w:hAnsi="Arial"/>
          <w:b/>
          <w:bCs/>
          <w:color w:val="1A1A2E"/>
          <w:sz w:val="32"/>
          <w:szCs w:val="32"/>
        </w:rPr>
        <w:t xml:space="preserve">4. Physical Fields of Highest Initial Utility</w:t>
      </w:r>
    </w:p>
    <w:p>
      <w:pPr>
        <w:pStyle w:val="Heading2"/>
        <w:spacing w:after="120" w:before="280"/>
      </w:pPr>
      <w:r>
        <w:rPr>
          <w:rFonts w:ascii="Arial" w:cs="Arial" w:eastAsia="Arial" w:hAnsi="Arial"/>
          <w:b/>
          <w:bCs/>
          <w:color w:val="16213E"/>
          <w:sz w:val="26"/>
          <w:szCs w:val="26"/>
        </w:rPr>
        <w:t xml:space="preserve">4.1 Selection Criteria</w:t>
      </w:r>
    </w:p>
    <w:p>
      <w:pPr>
        <w:spacing w:after="80" w:before="80"/>
      </w:pPr>
      <w:r>
        <w:rPr>
          <w:rFonts w:ascii="Arial" w:cs="Arial" w:eastAsia="Arial" w:hAnsi="Arial"/>
          <w:i w:val="false"/>
          <w:iCs w:val="false"/>
          <w:sz w:val="22"/>
          <w:szCs w:val="22"/>
        </w:rPr>
        <w:t xml:space="preserve">Not all physical fields are equally tractable or equally valuable for initial implementation. We propose four criteria for field selection: sensor availability (can the field be measured with currently available technology at reasonable cost?), harmonic tractability (does the field decompose cleanly in spherical harmonics at useful angular resolution?), commercial utility (does encoding this field create demonstrable value for identified customer segments?), and novelty (is this field currently unaddressed by existing spatial platforms?).</w:t>
      </w:r>
    </w:p>
    <w:p>
      <w:pPr>
        <w:pStyle w:val="Heading2"/>
        <w:spacing w:after="120" w:before="280"/>
      </w:pPr>
      <w:r>
        <w:rPr>
          <w:rFonts w:ascii="Arial" w:cs="Arial" w:eastAsia="Arial" w:hAnsi="Arial"/>
          <w:b/>
          <w:bCs/>
          <w:color w:val="16213E"/>
          <w:sz w:val="26"/>
          <w:szCs w:val="26"/>
        </w:rPr>
        <w:t xml:space="preserve">4.2 Visible Radiance Field — Immediate Priority</w:t>
      </w:r>
    </w:p>
    <w:p>
      <w:pPr>
        <w:spacing w:after="80" w:before="80"/>
      </w:pPr>
      <w:r>
        <w:rPr>
          <w:rFonts w:ascii="Arial" w:cs="Arial" w:eastAsia="Arial" w:hAnsi="Arial"/>
          <w:i w:val="false"/>
          <w:iCs w:val="false"/>
          <w:sz w:val="22"/>
          <w:szCs w:val="22"/>
        </w:rPr>
        <w:t xml:space="preserve">The visible radiance field — how electromagnetic radiation in the 380–700nm range distributes and interacts at a location — is the field currently encoded, in partial and implicit form, by Gaussian splatting. It is the highest priority for initial implementation because the tooling (photogrammetric capture, GPU rendering) is mature, the commercial value (photorealistic rendering for real estate, navigation, digital twins) is established, and the harmonic encoding (spherical harmonic view-dependent colour) is already implemented in existing splat representations.</w:t>
      </w:r>
    </w:p>
    <w:p>
      <w:pPr>
        <w:spacing w:after="80" w:before="80"/>
      </w:pPr>
      <w:r>
        <w:t xml:space="preserve"/>
      </w:r>
    </w:p>
    <w:p>
      <w:pPr>
        <w:spacing w:after="80" w:before="80"/>
      </w:pPr>
      <w:r>
        <w:rPr>
          <w:rFonts w:ascii="Arial" w:cs="Arial" w:eastAsia="Arial" w:hAnsi="Arial"/>
          <w:i w:val="false"/>
          <w:iCs w:val="false"/>
          <w:sz w:val="22"/>
          <w:szCs w:val="22"/>
        </w:rPr>
        <w:t xml:space="preserve">The Harmonic Cell framework adds to this: canonical addressing, temporal versioning, and explicit field-type labelling that enables the radiance field to be queried and compared independently of the rendering pipeline.</w:t>
      </w:r>
    </w:p>
    <w:p>
      <w:pPr>
        <w:pStyle w:val="Heading2"/>
        <w:spacing w:after="120" w:before="280"/>
      </w:pPr>
      <w:r>
        <w:rPr>
          <w:rFonts w:ascii="Arial" w:cs="Arial" w:eastAsia="Arial" w:hAnsi="Arial"/>
          <w:b/>
          <w:bCs/>
          <w:color w:val="16213E"/>
          <w:sz w:val="26"/>
          <w:szCs w:val="26"/>
        </w:rPr>
        <w:t xml:space="preserve">4.3 Acoustic Field — First Novel Implementation</w:t>
      </w:r>
    </w:p>
    <w:p>
      <w:pPr>
        <w:spacing w:after="80" w:before="80"/>
      </w:pPr>
      <w:r>
        <w:rPr>
          <w:rFonts w:ascii="Arial" w:cs="Arial" w:eastAsia="Arial" w:hAnsi="Arial"/>
          <w:i w:val="false"/>
          <w:iCs w:val="false"/>
          <w:sz w:val="22"/>
          <w:szCs w:val="22"/>
        </w:rPr>
        <w:t xml:space="preserve">The acoustic pressure field — the distribution of sound energy and its directional characteristics at a location — is the field with the highest ratio of commercial value to current market penetration. No existing spatial platform carries acoustic data in any form. Yet acoustic properties significantly influence the value, usability, and comfort of built environments across multiple customer segments: architectural design, commercial real estate, recording and performance venues, urban planning, and autonomous vehicle sensor fusion (where acoustic sensing complements visual sensing in low-visibility conditions).</w:t>
      </w:r>
    </w:p>
    <w:p>
      <w:pPr>
        <w:spacing w:after="80" w:before="80"/>
      </w:pPr>
      <w:r>
        <w:t xml:space="preserve"/>
      </w:r>
    </w:p>
    <w:p>
      <w:pPr>
        <w:spacing w:after="80" w:before="80"/>
      </w:pPr>
      <w:r>
        <w:rPr>
          <w:rFonts w:ascii="Arial" w:cs="Arial" w:eastAsia="Arial" w:hAnsi="Arial"/>
          <w:i w:val="false"/>
          <w:iCs w:val="false"/>
          <w:sz w:val="22"/>
          <w:szCs w:val="22"/>
        </w:rPr>
        <w:t xml:space="preserve">The acoustic field decomposes in spherical harmonics via the Ambisonics framework. Capture technology — tetrahedral microphone arrays, em32 Eigenmike, spatial audio recording systems — is commercially available. The harmonic order required for useful spatial resolution is low (order 3–4, yielding 16–25 coefficients) and thus storage-efficient. Room impulse response measurement, a standard acoustic engineering technique, directly produces the data required for harmonic decomposition.</w:t>
      </w:r>
    </w:p>
    <w:p>
      <w:pPr>
        <w:spacing w:after="80" w:before="80"/>
      </w:pPr>
      <w:r>
        <w:t xml:space="preserve"/>
      </w:r>
    </w:p>
    <w:p>
      <w:pPr>
        <w:spacing w:after="80" w:before="80"/>
      </w:pPr>
      <w:r>
        <w:rPr>
          <w:rFonts w:ascii="Arial" w:cs="Arial" w:eastAsia="Arial" w:hAnsi="Arial"/>
          <w:i w:val="false"/>
          <w:iCs w:val="false"/>
          <w:sz w:val="22"/>
          <w:szCs w:val="22"/>
        </w:rPr>
        <w:t xml:space="preserve">We propose the acoustic field as the first novel Harmonic Cell implementation — the demonstration that the framework extends beyond visual rendering to genuine physical field knowledge.</w:t>
      </w:r>
    </w:p>
    <w:p>
      <w:pPr>
        <w:pStyle w:val="Heading2"/>
        <w:spacing w:after="120" w:before="280"/>
      </w:pPr>
      <w:r>
        <w:rPr>
          <w:rFonts w:ascii="Arial" w:cs="Arial" w:eastAsia="Arial" w:hAnsi="Arial"/>
          <w:b/>
          <w:bCs/>
          <w:color w:val="16213E"/>
          <w:sz w:val="26"/>
          <w:szCs w:val="26"/>
        </w:rPr>
        <w:t xml:space="preserve">4.4 Thermal Radiation Field</w:t>
      </w:r>
    </w:p>
    <w:p>
      <w:pPr>
        <w:spacing w:after="80" w:before="80"/>
      </w:pPr>
      <w:r>
        <w:rPr>
          <w:rFonts w:ascii="Arial" w:cs="Arial" w:eastAsia="Arial" w:hAnsi="Arial"/>
          <w:i w:val="false"/>
          <w:iCs w:val="false"/>
          <w:sz w:val="22"/>
          <w:szCs w:val="22"/>
        </w:rPr>
        <w:t xml:space="preserve">The thermal radiation field — the distribution of infrared emission and absorption at a location — encodes surface material properties (emissivity, thermal mass, insulation quality) and dynamic environmental state (solar heating patterns, heat island effects, HVAC performance). Capture technology (thermal imaging cameras, drone-mounted LIDAR with thermal channels) is commercially available. Commercial applications span building energy performance, urban heat island analysis, agricultural monitoring, and autonomous system navigation in low-visibility conditions.</w:t>
      </w:r>
    </w:p>
    <w:p>
      <w:pPr>
        <w:pStyle w:val="Heading2"/>
        <w:spacing w:after="120" w:before="280"/>
      </w:pPr>
      <w:r>
        <w:rPr>
          <w:rFonts w:ascii="Arial" w:cs="Arial" w:eastAsia="Arial" w:hAnsi="Arial"/>
          <w:b/>
          <w:bCs/>
          <w:color w:val="16213E"/>
          <w:sz w:val="26"/>
          <w:szCs w:val="26"/>
        </w:rPr>
        <w:t xml:space="preserve">4.5 Electromagnetic Field</w:t>
      </w:r>
    </w:p>
    <w:p>
      <w:pPr>
        <w:spacing w:after="80" w:before="80"/>
      </w:pPr>
      <w:r>
        <w:rPr>
          <w:rFonts w:ascii="Arial" w:cs="Arial" w:eastAsia="Arial" w:hAnsi="Arial"/>
          <w:i w:val="false"/>
          <w:iCs w:val="false"/>
          <w:sz w:val="22"/>
          <w:szCs w:val="22"/>
        </w:rPr>
        <w:t xml:space="preserve">The radiofrequency electromagnetic field — particularly in the 700MHz–60GHz range relevant to communications — encodes the signal environment at a location: coverage, interference patterns, propagation characteristics. Commercial applications include telecommunications infrastructure planning, autonomous vehicle V2X communication optimisation, and defence spectrum management. Capture requires calibrated antenna arrays with directional sensitivity, which is more specialised than acoustic or thermal capture, making this a later-phase implementation.</w:t>
      </w:r>
    </w:p>
    <w:p>
      <w:pPr>
        <w:pStyle w:val="Heading1"/>
        <w:spacing w:after="160" w:before="400"/>
      </w:pPr>
      <w:r>
        <w:rPr>
          <w:rFonts w:ascii="Arial" w:cs="Arial" w:eastAsia="Arial" w:hAnsi="Arial"/>
          <w:b/>
          <w:bCs/>
          <w:color w:val="1A1A2E"/>
          <w:sz w:val="32"/>
          <w:szCs w:val="32"/>
        </w:rPr>
        <w:t xml:space="preserve">5. The Temporal Dimension — Field Archive as Physical Record</w:t>
      </w:r>
    </w:p>
    <w:p>
      <w:pPr>
        <w:spacing w:after="80" w:before="80"/>
      </w:pPr>
      <w:r>
        <w:rPr>
          <w:rFonts w:ascii="Arial" w:cs="Arial" w:eastAsia="Arial" w:hAnsi="Arial"/>
          <w:i w:val="false"/>
          <w:iCs w:val="false"/>
          <w:sz w:val="22"/>
          <w:szCs w:val="22"/>
        </w:rPr>
        <w:t xml:space="preserve">The bitemporal indexing of Harmonic Cell field states — distinguishing the time at which a field configuration was physically true from the time at which it was recorded — produces a property that has no equivalent in geometric-primitive spatial substrates: a physically grounded archive of measurable reality.</w:t>
      </w:r>
    </w:p>
    <w:p>
      <w:pPr>
        <w:spacing w:after="80" w:before="80"/>
      </w:pPr>
      <w:r>
        <w:t xml:space="preserve"/>
      </w:r>
    </w:p>
    <w:p>
      <w:pPr>
        <w:spacing w:after="80" w:before="80"/>
      </w:pPr>
      <w:r>
        <w:rPr>
          <w:rFonts w:ascii="Arial" w:cs="Arial" w:eastAsia="Arial" w:hAnsi="Arial"/>
          <w:i w:val="false"/>
          <w:iCs w:val="false"/>
          <w:sz w:val="22"/>
          <w:szCs w:val="22"/>
        </w:rPr>
        <w:t xml:space="preserve">Consider what it means to have a versioned archive of acoustic field states for a commercial building over five years. The archive encodes how the acoustic environment changed as the building's occupancy changed, as its fitout was modified, as neighbouring buildings were constructed or demolished. Each change in the acoustic field state is a physical measurement of a real-world event, time-indexed against both when the event occurred and when it was measured.</w:t>
      </w:r>
    </w:p>
    <w:p>
      <w:pPr>
        <w:spacing w:after="80" w:before="80"/>
      </w:pPr>
      <w:r>
        <w:t xml:space="preserve"/>
      </w:r>
    </w:p>
    <w:p>
      <w:pPr>
        <w:spacing w:after="80" w:before="80"/>
      </w:pPr>
      <w:r>
        <w:rPr>
          <w:rFonts w:ascii="Arial" w:cs="Arial" w:eastAsia="Arial" w:hAnsi="Arial"/>
          <w:i w:val="false"/>
          <w:iCs w:val="false"/>
          <w:sz w:val="22"/>
          <w:szCs w:val="22"/>
        </w:rPr>
        <w:t xml:space="preserve">This archive is not a database of facts about the world. It is a database of physical measurements of the world — a fundamentally different epistemic category. Facts can be incorrect, contested, or incomplete. Physical field measurements, properly calibrated and uncertainty-quantified, are ground truth within their measurement error bounds.</w:t>
      </w:r>
    </w:p>
    <w:p>
      <w:pPr>
        <w:spacing w:after="80" w:before="80"/>
      </w:pPr>
      <w:r>
        <w:t xml:space="preserve"/>
      </w:r>
    </w:p>
    <w:p>
      <w:pPr>
        <w:spacing w:after="80" w:before="80"/>
      </w:pPr>
      <w:r>
        <w:rPr>
          <w:rFonts w:ascii="Arial" w:cs="Arial" w:eastAsia="Arial" w:hAnsi="Arial"/>
          <w:i w:val="false"/>
          <w:iCs w:val="false"/>
          <w:sz w:val="22"/>
          <w:szCs w:val="22"/>
        </w:rPr>
        <w:t xml:space="preserve">The implications for machine intelligence are significant. A system trained on geometric representations of the world learns the appearance of things. A system trained on harmonic field archives learns the physical behaviour of things — how they respond to environmental conditions, how they change over time, what their material properties are. This is a qualitatively different and richer form of spatial knowledge.</w:t>
      </w:r>
    </w:p>
    <w:p>
      <w:pPr>
        <w:pStyle w:val="Heading1"/>
        <w:spacing w:after="160" w:before="400"/>
      </w:pPr>
      <w:r>
        <w:rPr>
          <w:rFonts w:ascii="Arial" w:cs="Arial" w:eastAsia="Arial" w:hAnsi="Arial"/>
          <w:b/>
          <w:bCs/>
          <w:color w:val="1A1A2E"/>
          <w:sz w:val="32"/>
          <w:szCs w:val="32"/>
        </w:rPr>
        <w:t xml:space="preserve">6. Quantum Computational Compatibility</w:t>
      </w:r>
    </w:p>
    <w:p>
      <w:pPr>
        <w:spacing w:after="80" w:before="80"/>
      </w:pPr>
      <w:r>
        <w:rPr>
          <w:rFonts w:ascii="Arial" w:cs="Arial" w:eastAsia="Arial" w:hAnsi="Arial"/>
          <w:i w:val="false"/>
          <w:iCs w:val="false"/>
          <w:sz w:val="22"/>
          <w:szCs w:val="22"/>
        </w:rPr>
        <w:t xml:space="preserve">Quantum computers operate natively on quantum states — superpositions of basis states in a Hilbert space, manipulated by unitary operations and measured probabilistically. The mathematical structure of quantum computation is wave-mechanical: interference, superposition, entanglement. These are the same mathematical structures that govern physical field propagation and spherical harmonic decomposition.</w:t>
      </w:r>
    </w:p>
    <w:p>
      <w:pPr>
        <w:spacing w:after="80" w:before="80"/>
      </w:pPr>
      <w:r>
        <w:t xml:space="preserve"/>
      </w:r>
    </w:p>
    <w:p>
      <w:pPr>
        <w:spacing w:after="80" w:before="80"/>
      </w:pPr>
      <w:r>
        <w:rPr>
          <w:rFonts w:ascii="Arial" w:cs="Arial" w:eastAsia="Arial" w:hAnsi="Arial"/>
          <w:i w:val="false"/>
          <w:iCs w:val="false"/>
          <w:sz w:val="22"/>
          <w:szCs w:val="22"/>
        </w:rPr>
        <w:t xml:space="preserve">A spatial substrate whose fundamental representation is a set of coupled spherical harmonic field decompositions is, in a precise mathematical sense, quantum-compatible. The field coefficients are the natural representation for a quantum computation to manipulate. Operations that are exponentially hard on classical hardware — simulating how perturbations propagate through coupled physical fields, computing interference patterns across large spatial domains, optimising field configurations against physical constraints — are polynomial or efficiently approximable on quantum hardware.</w:t>
      </w:r>
    </w:p>
    <w:p>
      <w:pPr>
        <w:spacing w:after="80" w:before="80"/>
      </w:pPr>
      <w:r>
        <w:t xml:space="preserve"/>
      </w:r>
    </w:p>
    <w:p>
      <w:pPr>
        <w:spacing w:after="80" w:before="80"/>
      </w:pPr>
      <w:r>
        <w:rPr>
          <w:rFonts w:ascii="Arial" w:cs="Arial" w:eastAsia="Arial" w:hAnsi="Arial"/>
          <w:i w:val="false"/>
          <w:iCs w:val="false"/>
          <w:sz w:val="22"/>
          <w:szCs w:val="22"/>
        </w:rPr>
        <w:t xml:space="preserve">We do not claim that quantum computation will make the Harmonic Cell substrate practical in the near term. Current quantum hardware is insufficient for the scale of computation required. We claim that the Harmonic Cell architecture is the correct target for the eventual integration of quantum computation into spatial substrate processing — and that designing the substrate with this compatibility in mind now, while the architecture is still plastic, avoids the costly rebuild that would otherwise be required when quantum hardware matures to practical utility.</w:t>
      </w:r>
    </w:p>
    <w:p>
      <w:pPr>
        <w:spacing w:after="80" w:before="80"/>
      </w:pPr>
      <w:r>
        <w:t xml:space="preserve"/>
      </w:r>
    </w:p>
    <w:p>
      <w:pPr>
        <w:spacing w:after="80" w:before="80"/>
      </w:pPr>
      <w:r>
        <w:rPr>
          <w:rFonts w:ascii="Arial" w:cs="Arial" w:eastAsia="Arial" w:hAnsi="Arial"/>
          <w:i w:val="false"/>
          <w:iCs w:val="false"/>
          <w:sz w:val="22"/>
          <w:szCs w:val="22"/>
        </w:rPr>
        <w:t xml:space="preserve">The specific operations that benefit most from quantum acceleration include: coupled field simulation across large spatial domains (exponential classical cost, polynomial quantum cost), spherical harmonic coefficient optimisation against multi-modal sensor data (NP-hard classically, efficiently approximable quantumly via QAOA variants), and temporal field state interpolation across sparse observation records (classically requires numerical PDE integration, quantumly addressable via quantum simulation of wave equations).</w:t>
      </w:r>
    </w:p>
    <w:p>
      <w:pPr>
        <w:pStyle w:val="Heading1"/>
        <w:spacing w:after="160" w:before="400"/>
      </w:pPr>
      <w:r>
        <w:rPr>
          <w:rFonts w:ascii="Arial" w:cs="Arial" w:eastAsia="Arial" w:hAnsi="Arial"/>
          <w:b/>
          <w:bCs/>
          <w:color w:val="1A1A2E"/>
          <w:sz w:val="32"/>
          <w:szCs w:val="32"/>
        </w:rPr>
        <w:t xml:space="preserve">7. Architectural Implications for Unified Spatial Intelligence</w:t>
      </w:r>
    </w:p>
    <w:p>
      <w:pPr>
        <w:spacing w:after="80" w:before="80"/>
      </w:pPr>
      <w:r>
        <w:rPr>
          <w:rFonts w:ascii="Arial" w:cs="Arial" w:eastAsia="Arial" w:hAnsi="Arial"/>
          <w:i w:val="false"/>
          <w:iCs w:val="false"/>
          <w:sz w:val="22"/>
          <w:szCs w:val="22"/>
        </w:rPr>
        <w:t xml:space="preserve">The Harmonic Cell framework implies a specific architectural design for a spatial substrate intended to serve both human experiential rendering and machine autonomous navigation from a single underlying representation.</w:t>
      </w:r>
    </w:p>
    <w:p>
      <w:pPr>
        <w:spacing w:after="80" w:before="80"/>
      </w:pPr>
      <w:r>
        <w:t xml:space="preserve"/>
      </w:r>
    </w:p>
    <w:p>
      <w:pPr>
        <w:spacing w:after="80" w:before="80"/>
      </w:pPr>
      <w:r>
        <w:rPr>
          <w:rFonts w:ascii="Arial" w:cs="Arial" w:eastAsia="Arial" w:hAnsi="Arial"/>
          <w:i w:val="false"/>
          <w:iCs w:val="false"/>
          <w:sz w:val="22"/>
          <w:szCs w:val="22"/>
        </w:rPr>
        <w:t xml:space="preserve">The rendering projection: to produce a visual rendering from a Harmonic Cell, the visible radiance field coefficients are extracted and passed to a rendering engine that reconstructs the view-dependent appearance from any camera position. This is mathematically equivalent to what a Gaussian splat renderer does, but the source data is a canonical, addressed, temporally versioned field object rather than an implicit splat scene.</w:t>
      </w:r>
    </w:p>
    <w:p>
      <w:pPr>
        <w:spacing w:after="80" w:before="80"/>
      </w:pPr>
      <w:r>
        <w:t xml:space="preserve"/>
      </w:r>
    </w:p>
    <w:p>
      <w:pPr>
        <w:spacing w:after="80" w:before="80"/>
      </w:pPr>
      <w:r>
        <w:rPr>
          <w:rFonts w:ascii="Arial" w:cs="Arial" w:eastAsia="Arial" w:hAnsi="Arial"/>
          <w:i w:val="false"/>
          <w:iCs w:val="false"/>
          <w:sz w:val="22"/>
          <w:szCs w:val="22"/>
        </w:rPr>
        <w:t xml:space="preserve">The navigation projection: to serve an autonomous navigation query from a Harmonic Cell, the structural geometry is derived from the field coefficient distribution — regions of high radiance field gradient correspond to surface boundaries, regions of high acoustic absorption correspond to solid material — and the traversability model is constructed from the derived geometry plus the field properties of the boundary surfaces. No separate geometric representation is required.</w:t>
      </w:r>
    </w:p>
    <w:p>
      <w:pPr>
        <w:spacing w:after="80" w:before="80"/>
      </w:pPr>
      <w:r>
        <w:t xml:space="preserve"/>
      </w:r>
    </w:p>
    <w:p>
      <w:pPr>
        <w:spacing w:after="80" w:before="80"/>
      </w:pPr>
      <w:r>
        <w:rPr>
          <w:rFonts w:ascii="Arial" w:cs="Arial" w:eastAsia="Arial" w:hAnsi="Arial"/>
          <w:i w:val="false"/>
          <w:iCs w:val="false"/>
          <w:sz w:val="22"/>
          <w:szCs w:val="22"/>
        </w:rPr>
        <w:t xml:space="preserve">The knowledge projection: to answer a semantic query about a location from a Harmonic Cell, the field states are compared against known field signatures — material type libraries encoded in harmonic coefficient space, change detection models trained on temporal field deltas, anomaly detectors operating on field coefficient distributions. Physical understanding emerges from field measurement rather than from explicit knowledge engineering.</w:t>
      </w:r>
    </w:p>
    <w:p>
      <w:pPr>
        <w:spacing w:after="80" w:before="80"/>
      </w:pPr>
      <w:r>
        <w:t xml:space="preserve"/>
      </w:r>
    </w:p>
    <w:p>
      <w:pPr>
        <w:spacing w:after="80" w:before="80"/>
      </w:pPr>
      <w:r>
        <w:rPr>
          <w:rFonts w:ascii="Arial" w:cs="Arial" w:eastAsia="Arial" w:hAnsi="Arial"/>
          <w:i w:val="false"/>
          <w:iCs w:val="false"/>
          <w:sz w:val="22"/>
          <w:szCs w:val="22"/>
        </w:rPr>
        <w:t xml:space="preserve">These three projections — rendering, navigation, knowledge — are different views of the same underlying Harmonic Cell object. The substrate is unified. The consumers are differentiated by the projection they apply. This is the architectural resolution of the separation between human-facing and machine-facing spatial systems that has characterised the industry since the first GIS platforms were built.</w:t>
      </w:r>
    </w:p>
    <w:p>
      <w:pPr>
        <w:pStyle w:val="Heading1"/>
        <w:spacing w:after="160" w:before="400"/>
      </w:pPr>
      <w:r>
        <w:rPr>
          <w:rFonts w:ascii="Arial" w:cs="Arial" w:eastAsia="Arial" w:hAnsi="Arial"/>
          <w:b/>
          <w:bCs/>
          <w:color w:val="1A1A2E"/>
          <w:sz w:val="32"/>
          <w:szCs w:val="32"/>
        </w:rPr>
        <w:t xml:space="preserve">8. Research Programme</w:t>
      </w:r>
    </w:p>
    <w:p>
      <w:pPr>
        <w:pStyle w:val="Heading2"/>
        <w:spacing w:after="120" w:before="280"/>
      </w:pPr>
      <w:r>
        <w:rPr>
          <w:rFonts w:ascii="Arial" w:cs="Arial" w:eastAsia="Arial" w:hAnsi="Arial"/>
          <w:b/>
          <w:bCs/>
          <w:color w:val="16213E"/>
          <w:sz w:val="26"/>
          <w:szCs w:val="26"/>
        </w:rPr>
        <w:t xml:space="preserve">8.1 Phase 1 — Mathematical Formalisation (Months 1–6)</w:t>
      </w:r>
    </w:p>
    <w:p>
      <w:pPr>
        <w:pStyle w:val="ListParagraph"/>
        <w:numPr>
          <w:ilvl w:val="0"/>
          <w:numId w:val="2"/>
        </w:numPr>
        <w:spacing w:after="60" w:before="60"/>
      </w:pPr>
      <w:r>
        <w:rPr>
          <w:rFonts w:ascii="Arial" w:cs="Arial" w:eastAsia="Arial" w:hAnsi="Arial"/>
          <w:sz w:val="22"/>
          <w:szCs w:val="22"/>
        </w:rPr>
        <w:t xml:space="preserve">Formal specification of Harmonic Cell mathematical object, including coupling descriptor design and boundary condition formalism</w:t>
      </w:r>
    </w:p>
    <w:p>
      <w:pPr>
        <w:pStyle w:val="ListParagraph"/>
        <w:numPr>
          <w:ilvl w:val="0"/>
          <w:numId w:val="2"/>
        </w:numPr>
        <w:spacing w:after="60" w:before="60"/>
      </w:pPr>
      <w:r>
        <w:rPr>
          <w:rFonts w:ascii="Arial" w:cs="Arial" w:eastAsia="Arial" w:hAnsi="Arial"/>
          <w:sz w:val="22"/>
          <w:szCs w:val="22"/>
        </w:rPr>
        <w:t xml:space="preserve">Proof of completeness: demonstration that geometric primitives (meshes, point clouds, Gaussian splats) are special cases of the Harmonic Cell under appropriate constraints</w:t>
      </w:r>
    </w:p>
    <w:p>
      <w:pPr>
        <w:pStyle w:val="ListParagraph"/>
        <w:numPr>
          <w:ilvl w:val="0"/>
          <w:numId w:val="2"/>
        </w:numPr>
        <w:spacing w:after="60" w:before="60"/>
      </w:pPr>
      <w:r>
        <w:rPr>
          <w:rFonts w:ascii="Arial" w:cs="Arial" w:eastAsia="Arial" w:hAnsi="Arial"/>
          <w:sz w:val="22"/>
          <w:szCs w:val="22"/>
        </w:rPr>
        <w:t xml:space="preserve">Tractability analysis: determination of harmonic truncation orders required for each field type at each resolution level of the spatial hierarchy</w:t>
      </w:r>
    </w:p>
    <w:p>
      <w:pPr>
        <w:pStyle w:val="ListParagraph"/>
        <w:numPr>
          <w:ilvl w:val="0"/>
          <w:numId w:val="2"/>
        </w:numPr>
        <w:spacing w:after="60" w:before="60"/>
      </w:pPr>
      <w:r>
        <w:rPr>
          <w:rFonts w:ascii="Arial" w:cs="Arial" w:eastAsia="Arial" w:hAnsi="Arial"/>
          <w:sz w:val="22"/>
          <w:szCs w:val="22"/>
        </w:rPr>
        <w:t xml:space="preserve">Computational cost analysis: classical and quantum complexity of core Harmonic Cell operations</w:t>
      </w:r>
    </w:p>
    <w:p>
      <w:pPr>
        <w:pStyle w:val="Heading2"/>
        <w:spacing w:after="120" w:before="280"/>
      </w:pPr>
      <w:r>
        <w:rPr>
          <w:rFonts w:ascii="Arial" w:cs="Arial" w:eastAsia="Arial" w:hAnsi="Arial"/>
          <w:b/>
          <w:bCs/>
          <w:color w:val="16213E"/>
          <w:sz w:val="26"/>
          <w:szCs w:val="26"/>
        </w:rPr>
        <w:t xml:space="preserve">8.2 Phase 2 — Acoustic Field Prototype (Months 4–10)</w:t>
      </w:r>
    </w:p>
    <w:p>
      <w:pPr>
        <w:pStyle w:val="ListParagraph"/>
        <w:numPr>
          <w:ilvl w:val="0"/>
          <w:numId w:val="2"/>
        </w:numPr>
        <w:spacing w:after="60" w:before="60"/>
      </w:pPr>
      <w:r>
        <w:rPr>
          <w:rFonts w:ascii="Arial" w:cs="Arial" w:eastAsia="Arial" w:hAnsi="Arial"/>
          <w:sz w:val="22"/>
          <w:szCs w:val="22"/>
        </w:rPr>
        <w:t xml:space="preserve">Selection of three pilot sites in Central Coast NSW for acoustic field capture</w:t>
      </w:r>
    </w:p>
    <w:p>
      <w:pPr>
        <w:pStyle w:val="ListParagraph"/>
        <w:numPr>
          <w:ilvl w:val="0"/>
          <w:numId w:val="2"/>
        </w:numPr>
        <w:spacing w:after="60" w:before="60"/>
      </w:pPr>
      <w:r>
        <w:rPr>
          <w:rFonts w:ascii="Arial" w:cs="Arial" w:eastAsia="Arial" w:hAnsi="Arial"/>
          <w:sz w:val="22"/>
          <w:szCs w:val="22"/>
        </w:rPr>
        <w:t xml:space="preserve">Capture protocol design using tetrahedral microphone array and room impulse response measurement</w:t>
      </w:r>
    </w:p>
    <w:p>
      <w:pPr>
        <w:pStyle w:val="ListParagraph"/>
        <w:numPr>
          <w:ilvl w:val="0"/>
          <w:numId w:val="2"/>
        </w:numPr>
        <w:spacing w:after="60" w:before="60"/>
      </w:pPr>
      <w:r>
        <w:rPr>
          <w:rFonts w:ascii="Arial" w:cs="Arial" w:eastAsia="Arial" w:hAnsi="Arial"/>
          <w:sz w:val="22"/>
          <w:szCs w:val="22"/>
        </w:rPr>
        <w:t xml:space="preserve">Implementation of acoustic field harmonic decomposition pipeline</w:t>
      </w:r>
    </w:p>
    <w:p>
      <w:pPr>
        <w:pStyle w:val="ListParagraph"/>
        <w:numPr>
          <w:ilvl w:val="0"/>
          <w:numId w:val="2"/>
        </w:numPr>
        <w:spacing w:after="60" w:before="60"/>
      </w:pPr>
      <w:r>
        <w:rPr>
          <w:rFonts w:ascii="Arial" w:cs="Arial" w:eastAsia="Arial" w:hAnsi="Arial"/>
          <w:sz w:val="22"/>
          <w:szCs w:val="22"/>
        </w:rPr>
        <w:t xml:space="preserve">Integration of acoustic field coefficients into cell schema alongside existing visual field data</w:t>
      </w:r>
    </w:p>
    <w:p>
      <w:pPr>
        <w:pStyle w:val="ListParagraph"/>
        <w:numPr>
          <w:ilvl w:val="0"/>
          <w:numId w:val="2"/>
        </w:numPr>
        <w:spacing w:after="60" w:before="60"/>
      </w:pPr>
      <w:r>
        <w:rPr>
          <w:rFonts w:ascii="Arial" w:cs="Arial" w:eastAsia="Arial" w:hAnsi="Arial"/>
          <w:sz w:val="22"/>
          <w:szCs w:val="22"/>
        </w:rPr>
        <w:t xml:space="preserve">Commercial utility validation: demonstrate acoustic field data enables building acoustic design decisions currently requiring specialist consultancy</w:t>
      </w:r>
    </w:p>
    <w:p>
      <w:pPr>
        <w:pStyle w:val="Heading2"/>
        <w:spacing w:after="120" w:before="280"/>
      </w:pPr>
      <w:r>
        <w:rPr>
          <w:rFonts w:ascii="Arial" w:cs="Arial" w:eastAsia="Arial" w:hAnsi="Arial"/>
          <w:b/>
          <w:bCs/>
          <w:color w:val="16213E"/>
          <w:sz w:val="26"/>
          <w:szCs w:val="26"/>
        </w:rPr>
        <w:t xml:space="preserve">8.3 Phase 3 — Multi-Field Integration (Months 8–18)</w:t>
      </w:r>
    </w:p>
    <w:p>
      <w:pPr>
        <w:pStyle w:val="ListParagraph"/>
        <w:numPr>
          <w:ilvl w:val="0"/>
          <w:numId w:val="2"/>
        </w:numPr>
        <w:spacing w:after="60" w:before="60"/>
      </w:pPr>
      <w:r>
        <w:rPr>
          <w:rFonts w:ascii="Arial" w:cs="Arial" w:eastAsia="Arial" w:hAnsi="Arial"/>
          <w:sz w:val="22"/>
          <w:szCs w:val="22"/>
        </w:rPr>
        <w:t xml:space="preserve">Extension of acoustic prototype to thermal field using drone-mounted thermal imaging</w:t>
      </w:r>
    </w:p>
    <w:p>
      <w:pPr>
        <w:pStyle w:val="ListParagraph"/>
        <w:numPr>
          <w:ilvl w:val="0"/>
          <w:numId w:val="2"/>
        </w:numPr>
        <w:spacing w:after="60" w:before="60"/>
      </w:pPr>
      <w:r>
        <w:rPr>
          <w:rFonts w:ascii="Arial" w:cs="Arial" w:eastAsia="Arial" w:hAnsi="Arial"/>
          <w:sz w:val="22"/>
          <w:szCs w:val="22"/>
        </w:rPr>
        <w:t xml:space="preserve">Demonstration of unified multi-field query: single cell query returning visual, acoustic, and thermal field projections</w:t>
      </w:r>
    </w:p>
    <w:p>
      <w:pPr>
        <w:pStyle w:val="ListParagraph"/>
        <w:numPr>
          <w:ilvl w:val="0"/>
          <w:numId w:val="2"/>
        </w:numPr>
        <w:spacing w:after="60" w:before="60"/>
      </w:pPr>
      <w:r>
        <w:rPr>
          <w:rFonts w:ascii="Arial" w:cs="Arial" w:eastAsia="Arial" w:hAnsi="Arial"/>
          <w:sz w:val="22"/>
          <w:szCs w:val="22"/>
        </w:rPr>
        <w:t xml:space="preserve">Change detection across field types: detect physical events (construction, material change, occupancy change) from temporal field deltas</w:t>
      </w:r>
    </w:p>
    <w:p>
      <w:pPr>
        <w:pStyle w:val="ListParagraph"/>
        <w:numPr>
          <w:ilvl w:val="0"/>
          <w:numId w:val="2"/>
        </w:numPr>
        <w:spacing w:after="60" w:before="60"/>
      </w:pPr>
      <w:r>
        <w:rPr>
          <w:rFonts w:ascii="Arial" w:cs="Arial" w:eastAsia="Arial" w:hAnsi="Arial"/>
          <w:sz w:val="22"/>
          <w:szCs w:val="22"/>
        </w:rPr>
        <w:t xml:space="preserve">Navigation query validation: demonstrate that structural geometry derived from harmonic field data supports autonomous navigation decisions equivalent to explicit geometric representation</w:t>
      </w:r>
    </w:p>
    <w:p>
      <w:pPr>
        <w:pStyle w:val="Heading2"/>
        <w:spacing w:after="120" w:before="280"/>
      </w:pPr>
      <w:r>
        <w:rPr>
          <w:rFonts w:ascii="Arial" w:cs="Arial" w:eastAsia="Arial" w:hAnsi="Arial"/>
          <w:b/>
          <w:bCs/>
          <w:color w:val="16213E"/>
          <w:sz w:val="26"/>
          <w:szCs w:val="26"/>
        </w:rPr>
        <w:t xml:space="preserve">8.4 Phase 4 — Quantum Compatibility Validation (Months 18–36)</w:t>
      </w:r>
    </w:p>
    <w:p>
      <w:pPr>
        <w:pStyle w:val="ListParagraph"/>
        <w:numPr>
          <w:ilvl w:val="0"/>
          <w:numId w:val="2"/>
        </w:numPr>
        <w:spacing w:after="60" w:before="60"/>
      </w:pPr>
      <w:r>
        <w:rPr>
          <w:rFonts w:ascii="Arial" w:cs="Arial" w:eastAsia="Arial" w:hAnsi="Arial"/>
          <w:sz w:val="22"/>
          <w:szCs w:val="22"/>
        </w:rPr>
        <w:t xml:space="preserve">Partnership with quantum computing research group for coupled field simulation experiments</w:t>
      </w:r>
    </w:p>
    <w:p>
      <w:pPr>
        <w:pStyle w:val="ListParagraph"/>
        <w:numPr>
          <w:ilvl w:val="0"/>
          <w:numId w:val="2"/>
        </w:numPr>
        <w:spacing w:after="60" w:before="60"/>
      </w:pPr>
      <w:r>
        <w:rPr>
          <w:rFonts w:ascii="Arial" w:cs="Arial" w:eastAsia="Arial" w:hAnsi="Arial"/>
          <w:sz w:val="22"/>
          <w:szCs w:val="22"/>
        </w:rPr>
        <w:t xml:space="preserve">Benchmark: classical vs. quantum performance on Harmonic Cell operations at increasing spatial domain size</w:t>
      </w:r>
    </w:p>
    <w:p>
      <w:pPr>
        <w:pStyle w:val="ListParagraph"/>
        <w:numPr>
          <w:ilvl w:val="0"/>
          <w:numId w:val="2"/>
        </w:numPr>
        <w:spacing w:after="60" w:before="60"/>
      </w:pPr>
      <w:r>
        <w:rPr>
          <w:rFonts w:ascii="Arial" w:cs="Arial" w:eastAsia="Arial" w:hAnsi="Arial"/>
          <w:sz w:val="22"/>
          <w:szCs w:val="22"/>
        </w:rPr>
        <w:t xml:space="preserve">Specification of quantum-optimised cell schema for post-classical compute environment</w:t>
      </w:r>
    </w:p>
    <w:p>
      <w:pPr>
        <w:pBdr>
          <w:bottom w:val="single" w:color="CCCCCC" w:sz="4" w:space="1"/>
        </w:pBdr>
        <w:spacing w:after="200" w:before="200"/>
      </w:pPr>
      <w:r>
        <w:t xml:space="preserve"/>
      </w:r>
    </w:p>
    <w:p>
      <w:pPr>
        <w:pStyle w:val="Heading1"/>
        <w:spacing w:after="160" w:before="400"/>
      </w:pPr>
      <w:r>
        <w:rPr>
          <w:rFonts w:ascii="Arial" w:cs="Arial" w:eastAsia="Arial" w:hAnsi="Arial"/>
          <w:b/>
          <w:bCs/>
          <w:color w:val="1A1A2E"/>
          <w:sz w:val="32"/>
          <w:szCs w:val="32"/>
        </w:rPr>
        <w:t xml:space="preserve">References</w:t>
      </w:r>
    </w:p>
    <w:p>
      <w:pPr>
        <w:spacing w:after="60" w:before="60"/>
        <w:ind w:left="360"/>
      </w:pPr>
      <w:r>
        <w:rPr>
          <w:rFonts w:ascii="Arial" w:cs="Arial" w:eastAsia="Arial" w:hAnsi="Arial"/>
          <w:color w:val="555555"/>
          <w:sz w:val="18"/>
          <w:szCs w:val="18"/>
        </w:rPr>
        <w:t xml:space="preserve">Kerbl, B., Kopanas, G., Leimkühler, T., &amp; Drettakis, G. (2023). 3D Gaussian Splatting for Real-Time Novel View Synthesis. ACM Transactions on Graphics, 42(4).</w:t>
      </w:r>
    </w:p>
    <w:p>
      <w:pPr>
        <w:spacing w:after="60" w:before="60"/>
        <w:ind w:left="360"/>
      </w:pPr>
      <w:r>
        <w:rPr>
          <w:rFonts w:ascii="Arial" w:cs="Arial" w:eastAsia="Arial" w:hAnsi="Arial"/>
          <w:color w:val="555555"/>
          <w:sz w:val="18"/>
          <w:szCs w:val="18"/>
        </w:rPr>
        <w:t xml:space="preserve">Mildenhall, B., Srinivasan, P. P., Tancik, M., Barron, J. T., Ramamoorthi, R., &amp; Ng, R. (2020). NeRF: Representing Scenes as Neural Radiance Fields for View Synthesis. ECCV 2020.</w:t>
      </w:r>
    </w:p>
    <w:p>
      <w:pPr>
        <w:spacing w:after="60" w:before="60"/>
        <w:ind w:left="360"/>
      </w:pPr>
      <w:r>
        <w:rPr>
          <w:rFonts w:ascii="Arial" w:cs="Arial" w:eastAsia="Arial" w:hAnsi="Arial"/>
          <w:color w:val="555555"/>
          <w:sz w:val="18"/>
          <w:szCs w:val="18"/>
        </w:rPr>
        <w:t xml:space="preserve">Sloan, P.-P., Kautz, J., &amp; Snyder, J. (2002). Precomputed Radiance Transfer for Real-Time Rendering in Dynamic, Low-Frequency Lighting Environments. ACM SIGGRAPH 2002.</w:t>
      </w:r>
    </w:p>
    <w:p>
      <w:pPr>
        <w:spacing w:after="60" w:before="60"/>
        <w:ind w:left="360"/>
      </w:pPr>
      <w:r>
        <w:rPr>
          <w:rFonts w:ascii="Arial" w:cs="Arial" w:eastAsia="Arial" w:hAnsi="Arial"/>
          <w:color w:val="555555"/>
          <w:sz w:val="18"/>
          <w:szCs w:val="18"/>
        </w:rPr>
        <w:t xml:space="preserve">Gerzon, M. A. (1973). Periphony: With-height sound reproduction. Journal of the Audio Engineering Society, 21(1).</w:t>
      </w:r>
    </w:p>
    <w:p>
      <w:pPr>
        <w:spacing w:after="60" w:before="60"/>
        <w:ind w:left="360"/>
      </w:pPr>
      <w:r>
        <w:rPr>
          <w:rFonts w:ascii="Arial" w:cs="Arial" w:eastAsia="Arial" w:hAnsi="Arial"/>
          <w:color w:val="555555"/>
          <w:sz w:val="18"/>
          <w:szCs w:val="18"/>
        </w:rPr>
        <w:t xml:space="preserve">Rafaely, B. (2015). Fundamentals of Spherical Array Processing. Springer.</w:t>
      </w:r>
    </w:p>
    <w:p>
      <w:pPr>
        <w:spacing w:after="60" w:before="60"/>
        <w:ind w:left="360"/>
      </w:pPr>
      <w:r>
        <w:rPr>
          <w:rFonts w:ascii="Arial" w:cs="Arial" w:eastAsia="Arial" w:hAnsi="Arial"/>
          <w:color w:val="555555"/>
          <w:sz w:val="18"/>
          <w:szCs w:val="18"/>
        </w:rPr>
        <w:t xml:space="preserve">Preskill, J. (2018). Quantum Computing in the NISQ Era and Beyond. Quantum, 2, 79.</w:t>
      </w:r>
    </w:p>
    <w:p>
      <w:pPr>
        <w:spacing w:after="60" w:before="60"/>
        <w:ind w:left="360"/>
      </w:pPr>
      <w:r>
        <w:rPr>
          <w:rFonts w:ascii="Arial" w:cs="Arial" w:eastAsia="Arial" w:hAnsi="Arial"/>
          <w:color w:val="555555"/>
          <w:sz w:val="18"/>
          <w:szCs w:val="18"/>
        </w:rPr>
        <w:t xml:space="preserve">Barron, J. T., Mildenhall, B., Tancik, M., Hedman, P., Martin-Brualla, R., &amp; Srinivasan, P. P. (2021). Mip-NeRF: A Multiscale Representation for Anti-Aliasing Neural Radiance Fields. ICCV 2021.</w:t>
      </w:r>
    </w:p>
    <w:p>
      <w:pPr>
        <w:spacing w:after="60" w:before="60"/>
        <w:ind w:left="360"/>
      </w:pPr>
      <w:r>
        <w:rPr>
          <w:rFonts w:ascii="Arial" w:cs="Arial" w:eastAsia="Arial" w:hAnsi="Arial"/>
          <w:color w:val="555555"/>
          <w:sz w:val="18"/>
          <w:szCs w:val="18"/>
        </w:rPr>
        <w:t xml:space="preserve">Yu, A., Li, R., Tancik, M., Li, H., Ng, R., &amp; Kanazawa, A. (2021). PlenOctrees for Real-Time Rendering of Neural Radiance Fields. ICCV 2021.</w:t>
      </w:r>
    </w:p>
    <w:p>
      <w:pPr>
        <w:spacing w:after="80" w:before="80"/>
      </w:pPr>
      <w:r>
        <w:t xml:space="preserve"/>
      </w:r>
    </w:p>
    <w:p>
      <w:pPr>
        <w:spacing w:after="80" w:before="80"/>
      </w:pPr>
      <w:r>
        <w:t xml:space="preserve"/>
      </w:r>
    </w:p>
    <w:p>
      <w:pPr>
        <w:spacing w:after="80" w:before="80"/>
      </w:pPr>
      <w:r>
        <w:rPr>
          <w:rFonts w:ascii="Arial" w:cs="Arial" w:eastAsia="Arial" w:hAnsi="Arial"/>
          <w:color w:val="AAAAAA"/>
          <w:sz w:val="16"/>
          <w:szCs w:val="16"/>
        </w:rPr>
        <w:t xml:space="preserve">HARMONY SPATIAL OPERATING SYSTEM — CONFIDENTIAL PRE-PUBLICATION DRAFT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2026-04-25T04:00:04.849Z</dcterms:created>
  <dcterms:modified xsi:type="dcterms:W3CDTF">2026-04-25T04:00:04.851Z</dcterms:modified>
</cp:coreProperties>
</file>

<file path=docProps/custom.xml><?xml version="1.0" encoding="utf-8"?>
<Properties xmlns="http://schemas.openxmlformats.org/officeDocument/2006/custom-properties" xmlns:vt="http://schemas.openxmlformats.org/officeDocument/2006/docPropsVTypes"/>
</file>