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888888"/>
          <w:sz w:val="24"/>
          <w:szCs w:val="24"/>
        </w:rPr>
        <w:t xml:space="preserve">HARMONY SPATIAL OPERATING SYSTEM</w:t>
      </w:r>
    </w:p>
    <w:p>
      <w:pPr>
        <w:spacing w:after="120" w:before="0"/>
      </w:pPr>
      <w:r>
        <w:rPr>
          <w:rFonts w:ascii="Arial" w:cs="Arial" w:eastAsia="Arial" w:hAnsi="Arial"/>
          <w:b/>
          <w:bCs/>
          <w:color w:val="0D1B2A"/>
          <w:sz w:val="48"/>
          <w:szCs w:val="48"/>
        </w:rPr>
        <w:t xml:space="preserve">Harmonic Cell Initiative:</w:t>
      </w:r>
    </w:p>
    <w:p>
      <w:pPr>
        <w:spacing w:after="200" w:before="0"/>
      </w:pPr>
      <w:r>
        <w:rPr>
          <w:rFonts w:ascii="Arial" w:cs="Arial" w:eastAsia="Arial" w:hAnsi="Arial"/>
          <w:color w:val="555555"/>
          <w:sz w:val="36"/>
          <w:szCs w:val="36"/>
        </w:rPr>
        <w:t xml:space="preserve">Impact on Existing Plans, Recommended Variations &amp; North Star Leverage</w:t>
      </w:r>
    </w:p>
    <w:p>
      <w:pPr>
        <w:pBdr>
          <w:bottom w:val="single" w:color="CCCCC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Kofi Boateng, Chief Geospatial Officer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Validated by</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C0392B"/>
                <w:sz w:val="20"/>
                <w:szCs w:val="20"/>
              </w:rPr>
              <w:t xml:space="preserve">Dr. Mara Voss — VALIDATION REQUIRED before schema changes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April 2026</w:t>
            </w:r>
          </w:p>
        </w:tc>
      </w:tr>
    </w:tbl>
    <w:p>
      <w:r>
        <w:br w:type="page"/>
      </w:r>
    </w:p>
    <w:p>
      <w:pPr>
        <w:pStyle w:val="Heading1"/>
        <w:spacing w:after="160" w:before="400"/>
      </w:pPr>
      <w:r>
        <w:rPr>
          <w:rFonts w:ascii="Arial" w:cs="Arial" w:eastAsia="Arial" w:hAnsi="Arial"/>
          <w:b/>
          <w:bCs/>
          <w:color w:val="0D1B2A"/>
          <w:sz w:val="36"/>
          <w:szCs w:val="36"/>
        </w:rPr>
        <w:t xml:space="preserve">1. Governing Principle</w:t>
      </w:r>
    </w:p>
    <w:p>
      <w:pPr>
        <w:pBdr>
          <w:left w:val="single" w:color="0D1B2A" w:sz="12" w:space="20"/>
        </w:pBdr>
        <w:spacing w:after="160" w:before="160"/>
        <w:ind w:left="720" w:right="720"/>
      </w:pPr>
      <w:r>
        <w:rPr>
          <w:rFonts w:ascii="Arial" w:cs="Arial" w:eastAsia="Arial" w:hAnsi="Arial"/>
          <w:i/>
          <w:iCs/>
          <w:color w:val="0D1B2A"/>
          <w:sz w:val="22"/>
          <w:szCs w:val="22"/>
        </w:rPr>
        <w:t xml:space="preserve">Build one foundation. Design it to carry all three futures from day one. The Harmonic Cell Initiative does not add a sixth pillar. It deepens the five pillars that already exist by ensuring every schema decision, every data contract, and every API design anticipates the physical field future without requiring a rebuild when it arrives.</w:t>
      </w:r>
    </w:p>
    <w:p>
      <w:pPr>
        <w:spacing w:after="80" w:before="80"/>
      </w:pPr>
      <w:r>
        <w:t xml:space="preserve"/>
      </w:r>
    </w:p>
    <w:p>
      <w:pPr>
        <w:spacing w:after="80" w:before="80"/>
      </w:pPr>
      <w:r>
        <w:rPr>
          <w:rFonts w:ascii="Arial" w:cs="Arial" w:eastAsia="Arial" w:hAnsi="Arial"/>
          <w:sz w:val="22"/>
          <w:szCs w:val="22"/>
        </w:rPr>
        <w:t xml:space="preserve">The discipline required here is restraint. The HCI vision is ambitious. The near-term build is what matters. Every HCI influence on the existing programme takes one of two forms only:</w:t>
      </w:r>
    </w:p>
    <w:p>
      <w:pPr>
        <w:pStyle w:val="ListParagraph"/>
        <w:numPr>
          <w:ilvl w:val="0"/>
          <w:numId w:val="2"/>
        </w:numPr>
        <w:spacing w:after="60" w:before="60"/>
      </w:pPr>
      <w:r>
        <w:rPr>
          <w:rFonts w:ascii="Arial" w:cs="Arial" w:eastAsia="Arial" w:hAnsi="Arial"/>
          <w:b w:val="false"/>
          <w:bCs w:val="false"/>
          <w:sz w:val="22"/>
          <w:szCs w:val="22"/>
        </w:rPr>
        <w:t xml:space="preserve">A placeholder — a reserved field, a typed container, a flagged status — that costs almost nothing to add now and costs enormously to add later when data is already in production.</w:t>
      </w:r>
    </w:p>
    <w:p>
      <w:pPr>
        <w:pStyle w:val="ListParagraph"/>
        <w:numPr>
          <w:ilvl w:val="0"/>
          <w:numId w:val="2"/>
        </w:numPr>
        <w:spacing w:after="60" w:before="60"/>
      </w:pPr>
      <w:r>
        <w:rPr>
          <w:rFonts w:ascii="Arial" w:cs="Arial" w:eastAsia="Arial" w:hAnsi="Arial"/>
          <w:b w:val="false"/>
          <w:bCs w:val="false"/>
          <w:sz w:val="22"/>
          <w:szCs w:val="22"/>
        </w:rPr>
        <w:t xml:space="preserve">A data contract change — a format decision, a schema field, a storage model — that must be made before production data accumulates or it becomes a migration problem.</w:t>
      </w:r>
    </w:p>
    <w:p>
      <w:pPr>
        <w:spacing w:after="80" w:before="80"/>
      </w:pPr>
      <w:r>
        <w:t xml:space="preserve"/>
      </w:r>
    </w:p>
    <w:p>
      <w:pPr>
        <w:spacing w:after="80" w:before="80"/>
      </w:pPr>
      <w:r>
        <w:rPr>
          <w:rFonts w:ascii="Arial" w:cs="Arial" w:eastAsia="Arial" w:hAnsi="Arial"/>
          <w:sz w:val="22"/>
          <w:szCs w:val="22"/>
        </w:rPr>
        <w:t xml:space="preserve">There are no third forms. HCI does not add new build tasks to the existing sprints. It adds schema reservations and format constraints. The build programme is unchanged. The schema is deepened.</w:t>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0D1B2A"/>
          <w:sz w:val="36"/>
          <w:szCs w:val="36"/>
        </w:rPr>
        <w:t xml:space="preserve">2. Complete Variations Table — HCI Impact on Existing Plans</w:t>
      </w:r>
    </w:p>
    <w:p>
      <w:pPr>
        <w:spacing w:after="80" w:before="80"/>
      </w:pPr>
      <w:r>
        <w:rPr>
          <w:rFonts w:ascii="Arial" w:cs="Arial" w:eastAsia="Arial" w:hAnsi="Arial"/>
          <w:sz w:val="22"/>
          <w:szCs w:val="22"/>
        </w:rPr>
        <w:t xml:space="preserve">Every change recommended by the HCI session to the existing five-pillar programme. Ordered by urgency. Colour coded: RED = must happen before Sprint 2 begins, ORANGE = must happen within Sprint 2, GREEN = can be deferred to the relevant pillar's build phase.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3744"/>
        <w:gridCol w:w="1404"/>
        <w:gridCol w:w="1404"/>
      </w:tblGrid>
      <w:tr>
        <w:tc>
          <w:tcPr>
            <w:tcW w:type="dxa" w:w="936"/>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VAR</w:t>
            </w:r>
          </w:p>
        </w:tc>
        <w:tc>
          <w:tcPr>
            <w:tcW w:type="dxa" w:w="1872"/>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Pillar / Area</w:t>
            </w:r>
          </w:p>
        </w:tc>
        <w:tc>
          <w:tcPr>
            <w:tcW w:type="dxa" w:w="3744"/>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Change Required</w:t>
            </w:r>
          </w:p>
        </w:tc>
        <w:tc>
          <w:tcPr>
            <w:tcW w:type="dxa" w:w="1404"/>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Urgency</w:t>
            </w:r>
          </w:p>
        </w:tc>
        <w:tc>
          <w:tcPr>
            <w:tcW w:type="dxa" w:w="1404"/>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Blocks</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1 Schema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reserved field: field_descriptors — typed container for harmonic field coefficients, indexed by field_type (visual_radiance | acoustic | thermal | electromagnetic), harmonic_order (integer), and temporal_index. Empty at activation. Must be present before any Pillar 2 data enters production.</w:t>
            </w:r>
          </w:p>
        </w:tc>
        <w:tc>
          <w:tcPr>
            <w:tcW w:type="dxa" w:w="1404"/>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C0392B"/>
                <w:sz w:val="18"/>
                <w:szCs w:val="18"/>
              </w:rPr>
              <w:t xml:space="preserve">IMMEDIATE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Sprint 2 start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HCI-V02</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Pillar 2 Sprint 2</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Add geometry_inferred boolean field to cell and entity records. True where geometry is procedurally generated. False where real photogrammetric capture. Required for consumer-side confidence scoring and for HCI procedural inference pipeline.</w:t>
            </w:r>
          </w:p>
        </w:tc>
        <w:tc>
          <w:tcPr>
            <w:tcW w:type="dxa" w:w="1404"/>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C0392B"/>
                <w:sz w:val="18"/>
                <w:szCs w:val="18"/>
              </w:rPr>
              <w:t xml:space="preserve">IMMEDIATE</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Sprint 2 start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2 Sprint 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Activate references.asset_bundles field. Bundle record schema: { cell_key, fidelity_class, format, compression, lod_level, captured_at, source, field_type (new — defaults to visual_radiance) }. field_type extension allows non-visual asset bundles in future.</w:t>
            </w:r>
          </w:p>
        </w:tc>
        <w:tc>
          <w:tcPr>
            <w:tcW w:type="dxa" w:w="1404"/>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C0392B"/>
                <w:sz w:val="18"/>
                <w:szCs w:val="18"/>
              </w:rPr>
              <w:t xml:space="preserve">IMMEDIATE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Sprint 2 data contract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HCI-V04</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Pillar 2 Sprint 2</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Add splat_pending as a valid status for fidelity_coverage.photorealistic.status. Full status set: available | pending | unavailable | splat_pending. splat_pending indicates cell is reserved for Gaussian splat capture in Track 2 programme.</w:t>
            </w:r>
          </w:p>
        </w:tc>
        <w:tc>
          <w:tcPr>
            <w:tcW w:type="dxa" w:w="1404"/>
            <w:tcBorders>
              <w:top w:val="single" w:color="CCCCCC" w:sz="1"/>
              <w:left w:val="single" w:color="CCCCCC" w:sz="1"/>
              <w:bottom w:val="single" w:color="CCCCCC" w:sz="1"/>
              <w:right w:val="single" w:color="CCCCCC" w:sz="1"/>
            </w:tcBorders>
            <w:shd w:fill="FFF0E6" w:val="clear"/>
            <w:tcMar>
              <w:top w:type="dxa" w:w="80"/>
              <w:left w:type="dxa" w:w="140"/>
              <w:bottom w:type="dxa" w:w="80"/>
              <w:right w:type="dxa" w:w="140"/>
            </w:tcMar>
          </w:tcPr>
          <w:p>
            <w:r>
              <w:rPr>
                <w:rFonts w:ascii="Arial" w:cs="Arial" w:eastAsia="Arial" w:hAnsi="Arial"/>
                <w:b/>
                <w:bCs/>
                <w:color w:val="E8630A"/>
                <w:sz w:val="18"/>
                <w:szCs w:val="18"/>
              </w:rPr>
              <w:t xml:space="preserve">Sprint 2</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Track 2 migration</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2 Sprint 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known_names population is mandatory (not recommended) at Sprint 2 for all ingested entities with human-readable names. Required for LLM spatial transition latency model — pre-fetching begins at name extraction, not at full resolution.</w:t>
            </w:r>
          </w:p>
        </w:tc>
        <w:tc>
          <w:tcPr>
            <w:tcW w:type="dxa" w:w="1404"/>
            <w:tcBorders>
              <w:top w:val="single" w:color="CCCCCC" w:sz="1"/>
              <w:left w:val="single" w:color="CCCCCC" w:sz="1"/>
              <w:bottom w:val="single" w:color="CCCCCC" w:sz="1"/>
              <w:right w:val="single" w:color="CCCCCC" w:sz="1"/>
            </w:tcBorders>
            <w:shd w:fill="FFF0E6" w:val="clear"/>
            <w:tcMar>
              <w:top w:type="dxa" w:w="80"/>
              <w:left w:type="dxa" w:w="140"/>
              <w:bottom w:type="dxa" w:w="80"/>
              <w:right w:type="dxa" w:w="140"/>
            </w:tcMar>
          </w:tcPr>
          <w:p>
            <w:r>
              <w:rPr>
                <w:rFonts w:ascii="Arial" w:cs="Arial" w:eastAsia="Arial" w:hAnsi="Arial"/>
                <w:b/>
                <w:bCs/>
                <w:color w:val="E8630A"/>
                <w:sz w:val="18"/>
                <w:szCs w:val="18"/>
              </w:rPr>
              <w:t xml:space="preserve">Sprint 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5 latency</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HCI-V06</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Pillar 3</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Renderer must accept pre-fetch signals from partial entity resolution — not only from complete resolution. The moment a candidate cell is identified at any confidence level, pre-fetching begins. Architecture requirement, not implementation detail.</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Pillar 3 build</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North Star III latency</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3</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Rendering architecture is two-track: Track 1 (glTF/Draco progressive mesh, production), Track 2 (Gaussian splatting, parallel research). Data contract for both tracks uses same cell_key + fidelity_class keying model. No tile-based formats at either track.</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Pillar 3 build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North Star I</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HCI-V08</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Pillar 4</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Spatial Knowledge Layer query model must anticipate field_descriptors as a queryable attribute. Schema design must not assume all cell attributes are geometric. Field type, harmonic order, and temporal index must be first-class query dimensions.</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Pillar 4 build</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HCI Phase 1-2</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HCI-V09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Pillar 4</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Gaussian-to-knowledge extraction pipeline outputs (material classification, change signatures, structural geometry from splat coefficients) must have defined schema slots in the Spatial Knowledge Layer. These are knowledge claims derived from physical measurement — distinct from geometry-derived knowledge.</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Pillar 4 build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HCI Phase 2</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HCI-V10</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Pillar 5</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Conversational Spatial Agent (Class III) triggering protocol must define a partial-resolution pre-fetch signal — a structured message from the semantic extraction pipeline to the renderer carrying: candidate_cell_id, confidence_score, resolution_status (partial | complete). Renderer acts on partial signals.</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Pillar 5 build</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North Star III</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Pillars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North Star I definition updated: the Seamless World is not only freedom from tile-switching. It is the beginning of field-continuous rendering — a world that resolves not just geometrically but physically, where material properties, light response, and acoustic character are part of the continuous experience. This does not change near-term build. It changes the evaluation criterion for 'done'.</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Living document update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Long horizon alignment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HCI-V12</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Gap Register</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Add Gap 7: Harmonic Cell Field Sensing Architecture. Status: Open. Formally deferred until HCI Phase 4 technology conditions are met. Does not block any pillar build. Documents the architectural dependency so it is not forgotten.</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Gap Register update</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None — documentation only</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ADR Index</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ADR-017: Harmonic Cell Field Descriptor Schema Reservation. Documents the addition of field_descriptors reserved field, its type contract, and the conditions under which it will be activated by HCI Phase 1. Required before Sprint 2.</w:t>
            </w:r>
          </w:p>
        </w:tc>
        <w:tc>
          <w:tcPr>
            <w:tcW w:type="dxa" w:w="1404"/>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b/>
                <w:bCs/>
                <w:color w:val="C0392B"/>
                <w:sz w:val="18"/>
                <w:szCs w:val="18"/>
              </w:rPr>
              <w:t xml:space="preserve">IMMEDIATE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Sprint 2 schema audit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HCI-V14</w:t>
            </w:r>
          </w:p>
        </w:tc>
        <w:tc>
          <w:tcPr>
            <w:tcW w:type="dxa" w:w="1872"/>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Master Spec</w:t>
            </w:r>
          </w:p>
        </w:tc>
        <w:tc>
          <w:tcPr>
            <w:tcW w:type="dxa" w:w="374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Add North Star I extension note: North Star I — The Seamless World now carries a long-horizon extension toward field-continuous rendering. The elimination of tile-switching is the near-term achievement. The full harmonic field rendering experience is the 2030-2035 target. Both are part of the same North Star.</w:t>
            </w:r>
          </w:p>
        </w:tc>
        <w:tc>
          <w:tcPr>
            <w:tcW w:type="dxa" w:w="1404"/>
            <w:tcBorders>
              <w:top w:val="single" w:color="CCCCCC" w:sz="1"/>
              <w:left w:val="single" w:color="CCCCCC" w:sz="1"/>
              <w:bottom w:val="single" w:color="CCCCCC" w:sz="1"/>
              <w:right w:val="single" w:color="CCCCCC" w:sz="1"/>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Next spec revision</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Master Spec V1.1</w:t>
            </w:r>
          </w:p>
        </w:tc>
      </w:tr>
    </w:tbl>
    <w:p>
      <w:r>
        <w:br w:type="page"/>
      </w:r>
    </w:p>
    <w:p>
      <w:pPr>
        <w:pStyle w:val="Heading1"/>
        <w:spacing w:after="160" w:before="400"/>
      </w:pPr>
      <w:r>
        <w:rPr>
          <w:rFonts w:ascii="Arial" w:cs="Arial" w:eastAsia="Arial" w:hAnsi="Arial"/>
          <w:b/>
          <w:bCs/>
          <w:color w:val="0D1B2A"/>
          <w:sz w:val="36"/>
          <w:szCs w:val="36"/>
        </w:rPr>
        <w:t xml:space="preserve">3. Pillar-by-Pillar Impact Analysis</w:t>
      </w:r>
    </w:p>
    <w:p>
      <w:pPr>
        <w:pStyle w:val="Heading2"/>
        <w:spacing w:after="120" w:before="280"/>
      </w:pPr>
      <w:r>
        <w:rPr>
          <w:rFonts w:ascii="Arial" w:cs="Arial" w:eastAsia="Arial" w:hAnsi="Arial"/>
          <w:b/>
          <w:bCs/>
          <w:color w:val="1B4332"/>
          <w:sz w:val="28"/>
          <w:szCs w:val="28"/>
        </w:rPr>
        <w:t xml:space="preserve">Pillar 1 — Spatial Substrate</w:t>
      </w:r>
    </w:p>
    <w:p>
      <w:pPr>
        <w:spacing w:after="80" w:before="80"/>
      </w:pPr>
      <w:r>
        <w:rPr>
          <w:rFonts w:ascii="Arial" w:cs="Arial" w:eastAsia="Arial" w:hAnsi="Arial"/>
          <w:sz w:val="22"/>
          <w:szCs w:val="22"/>
        </w:rPr>
        <w:t xml:space="preserve">Pillar 1 is complete. The changes required are additive schema reservations, not architectural changes. The cell_id / cell_key dual-identifier model, the six-layer identity system, the bitemporal schema, the adjacency model — all of these are correct and HCI-compatible.</w:t>
      </w:r>
    </w:p>
    <w:p>
      <w:pPr>
        <w:spacing w:after="80" w:before="80"/>
      </w:pPr>
      <w:r>
        <w:t xml:space="preserve"/>
      </w:r>
    </w:p>
    <w:p>
      <w:pPr>
        <w:spacing w:after="80" w:before="200"/>
      </w:pPr>
      <w:r>
        <w:rPr>
          <w:rFonts w:ascii="Arial" w:cs="Arial" w:eastAsia="Arial" w:hAnsi="Arial"/>
          <w:b/>
          <w:bCs/>
          <w:color w:val="0D1B2A"/>
          <w:sz w:val="22"/>
          <w:szCs w:val="22"/>
        </w:rPr>
        <w:t xml:space="preserve">What changes</w:t>
      </w:r>
    </w:p>
    <w:p>
      <w:pPr>
        <w:pStyle w:val="ListParagraph"/>
        <w:numPr>
          <w:ilvl w:val="0"/>
          <w:numId w:val="2"/>
        </w:numPr>
        <w:spacing w:after="60" w:before="60"/>
      </w:pPr>
      <w:r>
        <w:rPr>
          <w:rFonts w:ascii="Arial" w:cs="Arial" w:eastAsia="Arial" w:hAnsi="Arial"/>
          <w:b w:val="false"/>
          <w:bCs w:val="false"/>
          <w:sz w:val="22"/>
          <w:szCs w:val="22"/>
        </w:rPr>
        <w:t xml:space="preserve">Add field_descriptors reserved field (HCI-V01). This is the only schema change required in Pillar 1.</w:t>
      </w:r>
    </w:p>
    <w:p>
      <w:pPr>
        <w:pStyle w:val="ListParagraph"/>
        <w:numPr>
          <w:ilvl w:val="0"/>
          <w:numId w:val="2"/>
        </w:numPr>
        <w:spacing w:after="60" w:before="60"/>
      </w:pPr>
      <w:r>
        <w:rPr>
          <w:rFonts w:ascii="Arial" w:cs="Arial" w:eastAsia="Arial" w:hAnsi="Arial"/>
          <w:b w:val="false"/>
          <w:bCs w:val="false"/>
          <w:sz w:val="22"/>
          <w:szCs w:val="22"/>
        </w:rPr>
        <w:t xml:space="preserve">Document in ADR-017 that field_descriptors is reserved for HCI Phase 1 activation, with the type contract and activation conditions specified.</w:t>
      </w:r>
    </w:p>
    <w:p>
      <w:pPr>
        <w:spacing w:after="80" w:before="80"/>
      </w:pPr>
      <w:r>
        <w:t xml:space="preserve"/>
      </w:r>
    </w:p>
    <w:p>
      <w:pPr>
        <w:spacing w:after="80" w:before="200"/>
      </w:pPr>
      <w:r>
        <w:rPr>
          <w:rFonts w:ascii="Arial" w:cs="Arial" w:eastAsia="Arial" w:hAnsi="Arial"/>
          <w:b/>
          <w:bCs/>
          <w:color w:val="0D1B2A"/>
          <w:sz w:val="22"/>
          <w:szCs w:val="22"/>
        </w:rPr>
        <w:t xml:space="preserve">What does not change</w:t>
      </w:r>
    </w:p>
    <w:p>
      <w:pPr>
        <w:pStyle w:val="ListParagraph"/>
        <w:numPr>
          <w:ilvl w:val="0"/>
          <w:numId w:val="2"/>
        </w:numPr>
        <w:spacing w:after="60" w:before="60"/>
      </w:pPr>
      <w:r>
        <w:rPr>
          <w:rFonts w:ascii="Arial" w:cs="Arial" w:eastAsia="Arial" w:hAnsi="Arial"/>
          <w:b w:val="false"/>
          <w:bCs w:val="false"/>
          <w:sz w:val="22"/>
          <w:szCs w:val="22"/>
        </w:rPr>
        <w:t xml:space="preserve">Cell registration is idempotent — unchanged</w:t>
      </w:r>
    </w:p>
    <w:p>
      <w:pPr>
        <w:pStyle w:val="ListParagraph"/>
        <w:numPr>
          <w:ilvl w:val="0"/>
          <w:numId w:val="2"/>
        </w:numPr>
        <w:spacing w:after="60" w:before="60"/>
      </w:pPr>
      <w:r>
        <w:rPr>
          <w:rFonts w:ascii="Arial" w:cs="Arial" w:eastAsia="Arial" w:hAnsi="Arial"/>
          <w:b w:val="false"/>
          <w:bCs w:val="false"/>
          <w:sz w:val="22"/>
          <w:szCs w:val="22"/>
        </w:rPr>
        <w:t xml:space="preserve">Entity registration is non-idempotent — unchanged</w:t>
      </w:r>
    </w:p>
    <w:p>
      <w:pPr>
        <w:pStyle w:val="ListParagraph"/>
        <w:numPr>
          <w:ilvl w:val="0"/>
          <w:numId w:val="2"/>
        </w:numPr>
        <w:spacing w:after="60" w:before="60"/>
      </w:pPr>
      <w:r>
        <w:rPr>
          <w:rFonts w:ascii="Arial" w:cs="Arial" w:eastAsia="Arial" w:hAnsi="Arial"/>
          <w:b w:val="false"/>
          <w:bCs w:val="false"/>
          <w:sz w:val="22"/>
          <w:szCs w:val="22"/>
        </w:rPr>
        <w:t xml:space="preserve">BLAKE3 cell key derivation — unchanged</w:t>
      </w:r>
    </w:p>
    <w:p>
      <w:pPr>
        <w:pStyle w:val="ListParagraph"/>
        <w:numPr>
          <w:ilvl w:val="0"/>
          <w:numId w:val="2"/>
        </w:numPr>
        <w:spacing w:after="60" w:before="60"/>
      </w:pPr>
      <w:r>
        <w:rPr>
          <w:rFonts w:ascii="Arial" w:cs="Arial" w:eastAsia="Arial" w:hAnsi="Arial"/>
          <w:b w:val="false"/>
          <w:bCs w:val="false"/>
          <w:sz w:val="22"/>
          <w:szCs w:val="22"/>
        </w:rPr>
        <w:t xml:space="preserve">12-level hierarchy, 16-child fan-out — unchanged</w:t>
      </w:r>
    </w:p>
    <w:p>
      <w:pPr>
        <w:pStyle w:val="ListParagraph"/>
        <w:numPr>
          <w:ilvl w:val="0"/>
          <w:numId w:val="2"/>
        </w:numPr>
        <w:spacing w:after="60" w:before="60"/>
      </w:pPr>
      <w:r>
        <w:rPr>
          <w:rFonts w:ascii="Arial" w:cs="Arial" w:eastAsia="Arial" w:hAnsi="Arial"/>
          <w:b w:val="false"/>
          <w:bCs w:val="false"/>
          <w:sz w:val="22"/>
          <w:szCs w:val="22"/>
        </w:rPr>
        <w:t xml:space="preserve">Adjacency ring API — unchanged, and now even more important: it is the pre-fetch mechanism for both visual rendering and future acoustic field streaming</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II</w:t>
      </w:r>
    </w:p>
    <w:p>
      <w:pPr>
        <w:spacing w:after="80" w:before="80"/>
      </w:pPr>
      <w:r>
        <w:rPr>
          <w:rFonts w:ascii="Arial" w:cs="Arial" w:eastAsia="Arial" w:hAnsi="Arial"/>
          <w:sz w:val="22"/>
          <w:szCs w:val="22"/>
        </w:rPr>
        <w:t xml:space="preserve">The adjacency ring API, built for visual LOD pre-fetching, is exactly the mechanism needed for multi-field harmonic pre-fetching. A Navigation Agent querying acoustic field data across a spatial window uses the same adjacency traversal model as a renderer querying visual geometry. No additional API work required. The infrastructure already serves the future use case.</w:t>
      </w:r>
    </w:p>
    <w:p>
      <w:pPr>
        <w:pBdr>
          <w:bottom w:val="single" w:color="CCCCCC" w:sz="4" w:space="1"/>
        </w:pBdr>
        <w:spacing w:after="200" w:before="200"/>
      </w:pPr>
      <w:r>
        <w:t xml:space="preserve"/>
      </w:r>
    </w:p>
    <w:p>
      <w:pPr>
        <w:pStyle w:val="Heading2"/>
        <w:spacing w:after="120" w:before="280"/>
      </w:pPr>
      <w:r>
        <w:rPr>
          <w:rFonts w:ascii="Arial" w:cs="Arial" w:eastAsia="Arial" w:hAnsi="Arial"/>
          <w:b/>
          <w:bCs/>
          <w:color w:val="E8630A"/>
          <w:sz w:val="28"/>
          <w:szCs w:val="28"/>
        </w:rPr>
        <w:t xml:space="preserve">Pillar 2 — Data Ingestion Pipeline</w:t>
      </w:r>
    </w:p>
    <w:p>
      <w:pPr>
        <w:spacing w:after="80" w:before="80"/>
      </w:pPr>
      <w:r>
        <w:rPr>
          <w:rFonts w:ascii="Arial" w:cs="Arial" w:eastAsia="Arial" w:hAnsi="Arial"/>
          <w:sz w:val="22"/>
          <w:szCs w:val="22"/>
        </w:rPr>
        <w:t xml:space="preserve">Pillar 2 Sprint 2 has the most immediate impact. The data contract changes (HCI-V02 through HCI-V05) must be incorporated before Sprint 2 writes any production data. After those changes, Sprint 2 proceeds as planned.</w:t>
      </w:r>
    </w:p>
    <w:p>
      <w:pPr>
        <w:spacing w:after="80" w:before="80"/>
      </w:pPr>
      <w:r>
        <w:t xml:space="preserve"/>
      </w:r>
    </w:p>
    <w:p>
      <w:pPr>
        <w:spacing w:after="80" w:before="200"/>
      </w:pPr>
      <w:r>
        <w:rPr>
          <w:rFonts w:ascii="Arial" w:cs="Arial" w:eastAsia="Arial" w:hAnsi="Arial"/>
          <w:b/>
          <w:bCs/>
          <w:color w:val="0D1B2A"/>
          <w:sz w:val="22"/>
          <w:szCs w:val="22"/>
        </w:rPr>
        <w:t xml:space="preserve">What changes — before Sprint 2 starts</w:t>
      </w:r>
    </w:p>
    <w:p>
      <w:pPr>
        <w:pStyle w:val="ListParagraph"/>
        <w:numPr>
          <w:ilvl w:val="0"/>
          <w:numId w:val="2"/>
        </w:numPr>
        <w:spacing w:after="60" w:before="60"/>
      </w:pPr>
      <w:r>
        <w:rPr>
          <w:rFonts w:ascii="Arial" w:cs="Arial" w:eastAsia="Arial" w:hAnsi="Arial"/>
          <w:b w:val="false"/>
          <w:bCs w:val="false"/>
          <w:sz w:val="22"/>
          <w:szCs w:val="22"/>
        </w:rPr>
        <w:t xml:space="preserve">geometry_inferred flag added (HCI-V02)</w:t>
      </w:r>
    </w:p>
    <w:p>
      <w:pPr>
        <w:pStyle w:val="ListParagraph"/>
        <w:numPr>
          <w:ilvl w:val="0"/>
          <w:numId w:val="2"/>
        </w:numPr>
        <w:spacing w:after="60" w:before="60"/>
      </w:pPr>
      <w:r>
        <w:rPr>
          <w:rFonts w:ascii="Arial" w:cs="Arial" w:eastAsia="Arial" w:hAnsi="Arial"/>
          <w:b w:val="false"/>
          <w:bCs w:val="false"/>
          <w:sz w:val="22"/>
          <w:szCs w:val="22"/>
        </w:rPr>
        <w:t xml:space="preserve">references.asset_bundles activated with field_type extension (HCI-V03)</w:t>
      </w:r>
    </w:p>
    <w:p>
      <w:pPr>
        <w:pStyle w:val="ListParagraph"/>
        <w:numPr>
          <w:ilvl w:val="0"/>
          <w:numId w:val="2"/>
        </w:numPr>
        <w:spacing w:after="60" w:before="60"/>
      </w:pPr>
      <w:r>
        <w:rPr>
          <w:rFonts w:ascii="Arial" w:cs="Arial" w:eastAsia="Arial" w:hAnsi="Arial"/>
          <w:b w:val="false"/>
          <w:bCs w:val="false"/>
          <w:sz w:val="22"/>
          <w:szCs w:val="22"/>
        </w:rPr>
        <w:t xml:space="preserve">splat_pending status added to fidelity_coverage model (HCI-V04)</w:t>
      </w:r>
    </w:p>
    <w:p>
      <w:pPr>
        <w:pStyle w:val="ListParagraph"/>
        <w:numPr>
          <w:ilvl w:val="0"/>
          <w:numId w:val="2"/>
        </w:numPr>
        <w:spacing w:after="60" w:before="60"/>
      </w:pPr>
      <w:r>
        <w:rPr>
          <w:rFonts w:ascii="Arial" w:cs="Arial" w:eastAsia="Arial" w:hAnsi="Arial"/>
          <w:b w:val="false"/>
          <w:bCs w:val="false"/>
          <w:sz w:val="22"/>
          <w:szCs w:val="22"/>
        </w:rPr>
        <w:t xml:space="preserve">known_names population made mandatory (HCI-V05)</w:t>
      </w:r>
    </w:p>
    <w:p>
      <w:pPr>
        <w:spacing w:after="80" w:before="80"/>
      </w:pPr>
      <w:r>
        <w:t xml:space="preserve"/>
      </w:r>
    </w:p>
    <w:p>
      <w:pPr>
        <w:spacing w:after="80" w:before="200"/>
      </w:pPr>
      <w:r>
        <w:rPr>
          <w:rFonts w:ascii="Arial" w:cs="Arial" w:eastAsia="Arial" w:hAnsi="Arial"/>
          <w:b/>
          <w:bCs/>
          <w:color w:val="0D1B2A"/>
          <w:sz w:val="22"/>
          <w:szCs w:val="22"/>
        </w:rPr>
        <w:t xml:space="preserve">What does not change</w:t>
      </w:r>
    </w:p>
    <w:p>
      <w:pPr>
        <w:pStyle w:val="ListParagraph"/>
        <w:numPr>
          <w:ilvl w:val="0"/>
          <w:numId w:val="2"/>
        </w:numPr>
        <w:spacing w:after="60" w:before="60"/>
      </w:pPr>
      <w:r>
        <w:rPr>
          <w:rFonts w:ascii="Arial" w:cs="Arial" w:eastAsia="Arial" w:hAnsi="Arial"/>
          <w:b w:val="false"/>
          <w:bCs w:val="false"/>
          <w:sz w:val="22"/>
          <w:szCs w:val="22"/>
        </w:rPr>
        <w:t xml:space="preserve">CRS normalisation pipeline — unchanged</w:t>
      </w:r>
    </w:p>
    <w:p>
      <w:pPr>
        <w:pStyle w:val="ListParagraph"/>
        <w:numPr>
          <w:ilvl w:val="0"/>
          <w:numId w:val="2"/>
        </w:numPr>
        <w:spacing w:after="60" w:before="60"/>
      </w:pPr>
      <w:r>
        <w:rPr>
          <w:rFonts w:ascii="Arial" w:cs="Arial" w:eastAsia="Arial" w:hAnsi="Arial"/>
          <w:b w:val="false"/>
          <w:bCs w:val="false"/>
          <w:sz w:val="22"/>
          <w:szCs w:val="22"/>
        </w:rPr>
        <w:t xml:space="preserve">Entity deduplication strategy — unchanged</w:t>
      </w:r>
    </w:p>
    <w:p>
      <w:pPr>
        <w:pStyle w:val="ListParagraph"/>
        <w:numPr>
          <w:ilvl w:val="0"/>
          <w:numId w:val="2"/>
        </w:numPr>
        <w:spacing w:after="60" w:before="60"/>
      </w:pPr>
      <w:r>
        <w:rPr>
          <w:rFonts w:ascii="Arial" w:cs="Arial" w:eastAsia="Arial" w:hAnsi="Arial"/>
          <w:b w:val="false"/>
          <w:bCs w:val="false"/>
          <w:sz w:val="22"/>
          <w:szCs w:val="22"/>
        </w:rPr>
        <w:t xml:space="preserve">Dataset manifest format — unchanged</w:t>
      </w:r>
    </w:p>
    <w:p>
      <w:pPr>
        <w:pStyle w:val="ListParagraph"/>
        <w:numPr>
          <w:ilvl w:val="0"/>
          <w:numId w:val="2"/>
        </w:numPr>
        <w:spacing w:after="60" w:before="60"/>
      </w:pPr>
      <w:r>
        <w:rPr>
          <w:rFonts w:ascii="Arial" w:cs="Arial" w:eastAsia="Arial" w:hAnsi="Arial"/>
          <w:b w:val="false"/>
          <w:bCs w:val="false"/>
          <w:sz w:val="22"/>
          <w:szCs w:val="22"/>
        </w:rPr>
        <w:t xml:space="preserve">Resolution level assignment — unchanged</w:t>
      </w:r>
    </w:p>
    <w:p>
      <w:pPr>
        <w:pStyle w:val="ListParagraph"/>
        <w:numPr>
          <w:ilvl w:val="0"/>
          <w:numId w:val="2"/>
        </w:numPr>
        <w:spacing w:after="60" w:before="60"/>
      </w:pPr>
      <w:r>
        <w:rPr>
          <w:rFonts w:ascii="Arial" w:cs="Arial" w:eastAsia="Arial" w:hAnsi="Arial"/>
          <w:b w:val="false"/>
          <w:bCs w:val="false"/>
          <w:sz w:val="22"/>
          <w:szCs w:val="22"/>
        </w:rPr>
        <w:t xml:space="preserve">Quarantine error model — unchanged</w:t>
      </w:r>
    </w:p>
    <w:p>
      <w:pPr>
        <w:pStyle w:val="ListParagraph"/>
        <w:numPr>
          <w:ilvl w:val="0"/>
          <w:numId w:val="2"/>
        </w:numPr>
        <w:spacing w:after="60" w:before="60"/>
      </w:pPr>
      <w:r>
        <w:rPr>
          <w:rFonts w:ascii="Arial" w:cs="Arial" w:eastAsia="Arial" w:hAnsi="Arial"/>
          <w:b w:val="false"/>
          <w:bCs w:val="false"/>
          <w:sz w:val="22"/>
          <w:szCs w:val="22"/>
        </w:rPr>
        <w:t xml:space="preserve">NSW Valuer General as primary Tier 1 source — unchanged</w:t>
      </w:r>
    </w:p>
    <w:p>
      <w:pPr>
        <w:pStyle w:val="ListParagraph"/>
        <w:numPr>
          <w:ilvl w:val="0"/>
          <w:numId w:val="2"/>
        </w:numPr>
        <w:spacing w:after="60" w:before="60"/>
      </w:pPr>
      <w:r>
        <w:rPr>
          <w:rFonts w:ascii="Arial" w:cs="Arial" w:eastAsia="Arial" w:hAnsi="Arial"/>
          <w:b w:val="false"/>
          <w:bCs w:val="false"/>
          <w:sz w:val="22"/>
          <w:szCs w:val="22"/>
        </w:rPr>
        <w:t xml:space="preserve">Overture Maps as Tier 2 baseline — unchanged</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w:t>
      </w:r>
    </w:p>
    <w:p>
      <w:pPr>
        <w:spacing w:after="80" w:before="80"/>
      </w:pPr>
      <w:r>
        <w:rPr>
          <w:rFonts w:ascii="Arial" w:cs="Arial" w:eastAsia="Arial" w:hAnsi="Arial"/>
          <w:sz w:val="22"/>
          <w:szCs w:val="22"/>
        </w:rPr>
        <w:t xml:space="preserve">The geometry_inferred flag directly enables the procedural inference track — the methodology for generating plausible high-fidelity geometry from open-source data where real capture does not yet exist. Every procedurally generated cell is flagged. Every real capture cell is flagged. The substrate knows the difference. This is the foundation of the Track 2 migration: you always know which cells need real splat capture and which are currently running on procedural fallback.</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III</w:t>
      </w:r>
    </w:p>
    <w:p>
      <w:pPr>
        <w:spacing w:after="80" w:before="80"/>
      </w:pPr>
      <w:r>
        <w:rPr>
          <w:rFonts w:ascii="Arial" w:cs="Arial" w:eastAsia="Arial" w:hAnsi="Arial"/>
          <w:sz w:val="22"/>
          <w:szCs w:val="22"/>
        </w:rPr>
        <w:t xml:space="preserve">Mandatory known_names population is the single highest-leverage HCI change in the near term for North Star III. The LLM spatial transition latency model depends on pre-fetching beginning at the moment a place name is extracted from the LLM response — before full cell resolution. That pre-fetch requires known_names to be populated. Every entity ingested in Sprint 2 without a known_names entry is a cell that cannot participate in the sub-500ms transition experience.</w:t>
      </w:r>
    </w:p>
    <w:p>
      <w:pPr>
        <w:pBdr>
          <w:bottom w:val="single" w:color="CCCCCC" w:sz="4" w:space="1"/>
        </w:pBdr>
        <w:spacing w:after="200" w:before="200"/>
      </w:pPr>
      <w:r>
        <w:t xml:space="preserve"/>
      </w:r>
    </w:p>
    <w:p>
      <w:pPr>
        <w:pStyle w:val="Heading2"/>
        <w:spacing w:after="120" w:before="280"/>
      </w:pPr>
      <w:r>
        <w:rPr>
          <w:rFonts w:ascii="Arial" w:cs="Arial" w:eastAsia="Arial" w:hAnsi="Arial"/>
          <w:b/>
          <w:bCs/>
          <w:color w:val="2E4057"/>
          <w:sz w:val="28"/>
          <w:szCs w:val="28"/>
        </w:rPr>
        <w:t xml:space="preserve">Pillar 3 — Rendering Interface</w:t>
      </w:r>
    </w:p>
    <w:p>
      <w:pPr>
        <w:spacing w:after="80" w:before="80"/>
      </w:pPr>
      <w:r>
        <w:rPr>
          <w:rFonts w:ascii="Arial" w:cs="Arial" w:eastAsia="Arial" w:hAnsi="Arial"/>
          <w:sz w:val="22"/>
          <w:szCs w:val="22"/>
        </w:rPr>
        <w:t xml:space="preserve">Pillar 3 is not yet in build. The HCI session has resolved Gap 1 (rendering philosophy) and defined the two-track architecture. The HCI additions are two architectural requirements that must be incorporated into the Pillar 3 specification before build begins.</w:t>
      </w:r>
    </w:p>
    <w:p>
      <w:pPr>
        <w:spacing w:after="80" w:before="80"/>
      </w:pPr>
      <w:r>
        <w:t xml:space="preserve"/>
      </w:r>
    </w:p>
    <w:p>
      <w:pPr>
        <w:spacing w:after="80" w:before="200"/>
      </w:pPr>
      <w:r>
        <w:rPr>
          <w:rFonts w:ascii="Arial" w:cs="Arial" w:eastAsia="Arial" w:hAnsi="Arial"/>
          <w:b/>
          <w:bCs/>
          <w:color w:val="0D1B2A"/>
          <w:sz w:val="22"/>
          <w:szCs w:val="22"/>
        </w:rPr>
        <w:t xml:space="preserve">What changes</w:t>
      </w:r>
    </w:p>
    <w:p>
      <w:pPr>
        <w:pStyle w:val="ListParagraph"/>
        <w:numPr>
          <w:ilvl w:val="0"/>
          <w:numId w:val="2"/>
        </w:numPr>
        <w:spacing w:after="60" w:before="60"/>
      </w:pPr>
      <w:r>
        <w:rPr>
          <w:rFonts w:ascii="Arial" w:cs="Arial" w:eastAsia="Arial" w:hAnsi="Arial"/>
          <w:b w:val="false"/>
          <w:bCs w:val="false"/>
          <w:sz w:val="22"/>
          <w:szCs w:val="22"/>
        </w:rPr>
        <w:t xml:space="preserve">Partial-resolution pre-fetch signal requirement (HCI-V06): the renderer architecture must accept pre-fetch signals at any confidence level, not only after complete cell resolution.</w:t>
      </w:r>
    </w:p>
    <w:p>
      <w:pPr>
        <w:pStyle w:val="ListParagraph"/>
        <w:numPr>
          <w:ilvl w:val="0"/>
          <w:numId w:val="2"/>
        </w:numPr>
        <w:spacing w:after="60" w:before="60"/>
      </w:pPr>
      <w:r>
        <w:rPr>
          <w:rFonts w:ascii="Arial" w:cs="Arial" w:eastAsia="Arial" w:hAnsi="Arial"/>
          <w:b w:val="false"/>
          <w:bCs w:val="false"/>
          <w:sz w:val="22"/>
          <w:szCs w:val="22"/>
        </w:rPr>
        <w:t xml:space="preserve">Two-track architecture (HCI-V07): Track 1 (glTF/Draco) and Track 2 (Gaussian splatting) must share the same cell_key + fidelity_class + field_type keying model. Both tracks are first-class. Neither is a fallback.</w:t>
      </w:r>
    </w:p>
    <w:p>
      <w:pPr>
        <w:spacing w:after="80" w:before="80"/>
      </w:pPr>
      <w:r>
        <w:t xml:space="preserve"/>
      </w:r>
    </w:p>
    <w:p>
      <w:pPr>
        <w:spacing w:after="80" w:before="200"/>
      </w:pPr>
      <w:r>
        <w:rPr>
          <w:rFonts w:ascii="Arial" w:cs="Arial" w:eastAsia="Arial" w:hAnsi="Arial"/>
          <w:b/>
          <w:bCs/>
          <w:color w:val="0D1B2A"/>
          <w:sz w:val="22"/>
          <w:szCs w:val="22"/>
        </w:rPr>
        <w:t xml:space="preserve">What does not change</w:t>
      </w:r>
    </w:p>
    <w:p>
      <w:pPr>
        <w:pStyle w:val="ListParagraph"/>
        <w:numPr>
          <w:ilvl w:val="0"/>
          <w:numId w:val="2"/>
        </w:numPr>
        <w:spacing w:after="60" w:before="60"/>
      </w:pPr>
      <w:r>
        <w:rPr>
          <w:rFonts w:ascii="Arial" w:cs="Arial" w:eastAsia="Arial" w:hAnsi="Arial"/>
          <w:b w:val="false"/>
          <w:bCs w:val="false"/>
          <w:sz w:val="22"/>
          <w:szCs w:val="22"/>
        </w:rPr>
        <w:t xml:space="preserve">Continuous LOD streaming — the core philosophy is unchanged and reinforced</w:t>
      </w:r>
    </w:p>
    <w:p>
      <w:pPr>
        <w:pStyle w:val="ListParagraph"/>
        <w:numPr>
          <w:ilvl w:val="0"/>
          <w:numId w:val="2"/>
        </w:numPr>
        <w:spacing w:after="60" w:before="60"/>
      </w:pPr>
      <w:r>
        <w:rPr>
          <w:rFonts w:ascii="Arial" w:cs="Arial" w:eastAsia="Arial" w:hAnsi="Arial"/>
          <w:b w:val="false"/>
          <w:bCs w:val="false"/>
          <w:sz w:val="22"/>
          <w:szCs w:val="22"/>
        </w:rPr>
        <w:t xml:space="preserve">No tile-based rendering — hard non-negotiable, unchanged</w:t>
      </w:r>
    </w:p>
    <w:p>
      <w:pPr>
        <w:pStyle w:val="ListParagraph"/>
        <w:numPr>
          <w:ilvl w:val="0"/>
          <w:numId w:val="2"/>
        </w:numPr>
        <w:spacing w:after="60" w:before="60"/>
      </w:pPr>
      <w:r>
        <w:rPr>
          <w:rFonts w:ascii="Arial" w:cs="Arial" w:eastAsia="Arial" w:hAnsi="Arial"/>
          <w:b w:val="false"/>
          <w:bCs w:val="false"/>
          <w:sz w:val="22"/>
          <w:szCs w:val="22"/>
        </w:rPr>
        <w:t xml:space="preserve">Adjacency ring pre-fetch model — unchanged</w:t>
      </w:r>
    </w:p>
    <w:p>
      <w:pPr>
        <w:pStyle w:val="ListParagraph"/>
        <w:numPr>
          <w:ilvl w:val="0"/>
          <w:numId w:val="2"/>
        </w:numPr>
        <w:spacing w:after="60" w:before="60"/>
      </w:pPr>
      <w:r>
        <w:rPr>
          <w:rFonts w:ascii="Arial" w:cs="Arial" w:eastAsia="Arial" w:hAnsi="Arial"/>
          <w:b w:val="false"/>
          <w:bCs w:val="false"/>
          <w:sz w:val="22"/>
          <w:szCs w:val="22"/>
        </w:rPr>
        <w:t xml:space="preserve">WebGL for MVP, WebGPU migration path preserved — unchanged</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w:t>
      </w:r>
    </w:p>
    <w:p>
      <w:pPr>
        <w:spacing w:after="80" w:before="80"/>
      </w:pPr>
      <w:r>
        <w:rPr>
          <w:rFonts w:ascii="Arial" w:cs="Arial" w:eastAsia="Arial" w:hAnsi="Arial"/>
          <w:sz w:val="22"/>
          <w:szCs w:val="22"/>
        </w:rPr>
        <w:t xml:space="preserve">The two-track architecture is not a compromise — it is the correct design for North Star I. Track 1 delivers perceptual continuity now. Track 2 delivers field-continuous rendering when the Gaussian splatting tooling matures. Both tracks serve the same North Star. The cell is the unit. The renderer is the projection. The substrate carries both.</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III — the most important connection</w:t>
      </w:r>
    </w:p>
    <w:p>
      <w:pPr>
        <w:spacing w:after="80" w:before="80"/>
      </w:pPr>
      <w:r>
        <w:rPr>
          <w:rFonts w:ascii="Arial" w:cs="Arial" w:eastAsia="Arial" w:hAnsi="Arial"/>
          <w:sz w:val="22"/>
          <w:szCs w:val="22"/>
        </w:rPr>
        <w:t xml:space="preserve">The partial-resolution pre-fetch signal is the architectural change that makes North Star III feel seamless rather than merely functional. The difference between a 600ms transition delay and a transition that feels immediate is entirely determined by whether pre-fetching begins at name extraction or at cell resolution. That gap is approximately 200-400ms. At human perception timescales, that is the difference between magic and software.</w:t>
      </w:r>
    </w:p>
    <w:p>
      <w:pPr>
        <w:pBdr>
          <w:bottom w:val="single" w:color="CCCCCC" w:sz="4" w:space="1"/>
        </w:pBdr>
        <w:spacing w:after="200" w:before="200"/>
      </w:pPr>
      <w:r>
        <w:t xml:space="preserve"/>
      </w:r>
    </w:p>
    <w:p>
      <w:pPr>
        <w:pStyle w:val="Heading2"/>
        <w:spacing w:after="120" w:before="280"/>
      </w:pPr>
      <w:r>
        <w:rPr>
          <w:rFonts w:ascii="Arial" w:cs="Arial" w:eastAsia="Arial" w:hAnsi="Arial"/>
          <w:b/>
          <w:bCs/>
          <w:color w:val="4A1942"/>
          <w:sz w:val="28"/>
          <w:szCs w:val="28"/>
        </w:rPr>
        <w:t xml:space="preserve">Pillar 4 — Spatial Knowledge Layer</w:t>
      </w:r>
    </w:p>
    <w:p>
      <w:pPr>
        <w:spacing w:after="80" w:before="80"/>
      </w:pPr>
      <w:r>
        <w:rPr>
          <w:rFonts w:ascii="Arial" w:cs="Arial" w:eastAsia="Arial" w:hAnsi="Arial"/>
          <w:sz w:val="22"/>
          <w:szCs w:val="22"/>
        </w:rPr>
        <w:t xml:space="preserve">Pillar 4 is not yet in build. The HCI changes are schema design requirements that must be incorporated before the knowledge layer schema is finalised. They do not change the scope of Pillar 4 — they add two additional knowledge source types.</w:t>
      </w:r>
    </w:p>
    <w:p>
      <w:pPr>
        <w:spacing w:after="80" w:before="80"/>
      </w:pPr>
      <w:r>
        <w:t xml:space="preserve"/>
      </w:r>
    </w:p>
    <w:p>
      <w:pPr>
        <w:spacing w:after="80" w:before="200"/>
      </w:pPr>
      <w:r>
        <w:rPr>
          <w:rFonts w:ascii="Arial" w:cs="Arial" w:eastAsia="Arial" w:hAnsi="Arial"/>
          <w:b/>
          <w:bCs/>
          <w:color w:val="0D1B2A"/>
          <w:sz w:val="22"/>
          <w:szCs w:val="22"/>
        </w:rPr>
        <w:t xml:space="preserve">What changes</w:t>
      </w:r>
    </w:p>
    <w:p>
      <w:pPr>
        <w:pStyle w:val="ListParagraph"/>
        <w:numPr>
          <w:ilvl w:val="0"/>
          <w:numId w:val="2"/>
        </w:numPr>
        <w:spacing w:after="60" w:before="60"/>
      </w:pPr>
      <w:r>
        <w:rPr>
          <w:rFonts w:ascii="Arial" w:cs="Arial" w:eastAsia="Arial" w:hAnsi="Arial"/>
          <w:b w:val="false"/>
          <w:bCs w:val="false"/>
          <w:sz w:val="22"/>
          <w:szCs w:val="22"/>
        </w:rPr>
        <w:t xml:space="preserve">Field descriptor queryability (HCI-V08): the knowledge layer schema must treat field_type, harmonic_order, and temporal_index as first-class query dimensions alongside geometric attributes.</w:t>
      </w:r>
    </w:p>
    <w:p>
      <w:pPr>
        <w:pStyle w:val="ListParagraph"/>
        <w:numPr>
          <w:ilvl w:val="0"/>
          <w:numId w:val="2"/>
        </w:numPr>
        <w:spacing w:after="60" w:before="60"/>
      </w:pPr>
      <w:r>
        <w:rPr>
          <w:rFonts w:ascii="Arial" w:cs="Arial" w:eastAsia="Arial" w:hAnsi="Arial"/>
          <w:b w:val="false"/>
          <w:bCs w:val="false"/>
          <w:sz w:val="22"/>
          <w:szCs w:val="22"/>
        </w:rPr>
        <w:t xml:space="preserve">Gaussian extraction knowledge slots (HCI-V09): knowledge claims derived from Gaussian-to-knowledge extraction (material classification, change signatures, structural geometry from SH coefficients) must have defined schema slots, with provenance tracking indicating they are derived from physical measurement rather than geometric inference.</w:t>
      </w:r>
    </w:p>
    <w:p>
      <w:pPr>
        <w:spacing w:after="80" w:before="80"/>
      </w:pPr>
      <w:r>
        <w:t xml:space="preserve"/>
      </w:r>
    </w:p>
    <w:p>
      <w:pPr>
        <w:spacing w:after="80" w:before="200"/>
      </w:pPr>
      <w:r>
        <w:rPr>
          <w:rFonts w:ascii="Arial" w:cs="Arial" w:eastAsia="Arial" w:hAnsi="Arial"/>
          <w:b/>
          <w:bCs/>
          <w:color w:val="0D1B2A"/>
          <w:sz w:val="22"/>
          <w:szCs w:val="22"/>
        </w:rPr>
        <w:t xml:space="preserve">What does not change</w:t>
      </w:r>
    </w:p>
    <w:p>
      <w:pPr>
        <w:pStyle w:val="ListParagraph"/>
        <w:numPr>
          <w:ilvl w:val="0"/>
          <w:numId w:val="2"/>
        </w:numPr>
        <w:spacing w:after="60" w:before="60"/>
      </w:pPr>
      <w:r>
        <w:rPr>
          <w:rFonts w:ascii="Arial" w:cs="Arial" w:eastAsia="Arial" w:hAnsi="Arial"/>
          <w:b w:val="false"/>
          <w:bCs w:val="false"/>
          <w:sz w:val="22"/>
          <w:szCs w:val="22"/>
        </w:rPr>
        <w:t xml:space="preserve">Bitemporal versioning activation — owned by Pillar 4, unchanged</w:t>
      </w:r>
    </w:p>
    <w:p>
      <w:pPr>
        <w:pStyle w:val="ListParagraph"/>
        <w:numPr>
          <w:ilvl w:val="0"/>
          <w:numId w:val="2"/>
        </w:numPr>
        <w:spacing w:after="60" w:before="60"/>
      </w:pPr>
      <w:r>
        <w:rPr>
          <w:rFonts w:ascii="Arial" w:cs="Arial" w:eastAsia="Arial" w:hAnsi="Arial"/>
          <w:b w:val="false"/>
          <w:bCs w:val="false"/>
          <w:sz w:val="22"/>
          <w:szCs w:val="22"/>
        </w:rPr>
        <w:t xml:space="preserve">Semantic labels field — AI-managed, unchanged</w:t>
      </w:r>
    </w:p>
    <w:p>
      <w:pPr>
        <w:pStyle w:val="ListParagraph"/>
        <w:numPr>
          <w:ilvl w:val="0"/>
          <w:numId w:val="2"/>
        </w:numPr>
        <w:spacing w:after="60" w:before="60"/>
      </w:pPr>
      <w:r>
        <w:rPr>
          <w:rFonts w:ascii="Arial" w:cs="Arial" w:eastAsia="Arial" w:hAnsi="Arial"/>
          <w:b w:val="false"/>
          <w:bCs w:val="false"/>
          <w:sz w:val="22"/>
          <w:szCs w:val="22"/>
        </w:rPr>
        <w:t xml:space="preserve">Machine query latency target — Gap 2 remains open; 100ms provisional target proposed for Dr. Voss validation</w:t>
      </w:r>
    </w:p>
    <w:p>
      <w:pPr>
        <w:pStyle w:val="ListParagraph"/>
        <w:numPr>
          <w:ilvl w:val="0"/>
          <w:numId w:val="2"/>
        </w:numPr>
        <w:spacing w:after="60" w:before="60"/>
      </w:pPr>
      <w:r>
        <w:rPr>
          <w:rFonts w:ascii="Arial" w:cs="Arial" w:eastAsia="Arial" w:hAnsi="Arial"/>
          <w:b w:val="false"/>
          <w:bCs w:val="false"/>
          <w:sz w:val="22"/>
          <w:szCs w:val="22"/>
        </w:rPr>
        <w:t xml:space="preserve">Class I Spatial Agent query model — unchanged</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II</w:t>
      </w:r>
    </w:p>
    <w:p>
      <w:pPr>
        <w:spacing w:after="80" w:before="80"/>
      </w:pPr>
      <w:r>
        <w:rPr>
          <w:rFonts w:ascii="Arial" w:cs="Arial" w:eastAsia="Arial" w:hAnsi="Arial"/>
          <w:sz w:val="22"/>
          <w:szCs w:val="22"/>
        </w:rPr>
        <w:t xml:space="preserve">The Gaussian-to-knowledge extraction pipeline produces structural geometry derived from physical field measurement rather than photogrammetric capture. This is a second, independent source of structural geometry for Class II Navigation Agents. Where photogrammetric capture is unavailable or stale, the Gaussian field extraction provides a physically grounded alternative. Two independent geometry sources, both available in the same cell, increases the navigation confidence model's reliability.</w:t>
      </w:r>
    </w:p>
    <w:p>
      <w:pPr>
        <w:pBdr>
          <w:bottom w:val="single" w:color="CCCCCC" w:sz="4" w:space="1"/>
        </w:pBdr>
        <w:spacing w:after="200" w:before="200"/>
      </w:pPr>
      <w:r>
        <w:t xml:space="preserve"/>
      </w:r>
    </w:p>
    <w:p>
      <w:pPr>
        <w:pStyle w:val="Heading2"/>
        <w:spacing w:after="120" w:before="280"/>
      </w:pPr>
      <w:r>
        <w:rPr>
          <w:rFonts w:ascii="Arial" w:cs="Arial" w:eastAsia="Arial" w:hAnsi="Arial"/>
          <w:b/>
          <w:bCs/>
          <w:color w:val="C0392B"/>
          <w:sz w:val="28"/>
          <w:szCs w:val="28"/>
        </w:rPr>
        <w:t xml:space="preserve">Pillar 5 — Interaction Layer</w:t>
      </w:r>
    </w:p>
    <w:p>
      <w:pPr>
        <w:spacing w:after="80" w:before="80"/>
      </w:pPr>
      <w:r>
        <w:rPr>
          <w:rFonts w:ascii="Arial" w:cs="Arial" w:eastAsia="Arial" w:hAnsi="Arial"/>
          <w:sz w:val="22"/>
          <w:szCs w:val="22"/>
        </w:rPr>
        <w:t xml:space="preserve">Pillar 5 is not yet in build. The HCI change is a single architectural requirement for the Class III agent triggering protocol.</w:t>
      </w:r>
    </w:p>
    <w:p>
      <w:pPr>
        <w:spacing w:after="80" w:before="80"/>
      </w:pPr>
      <w:r>
        <w:t xml:space="preserve"/>
      </w:r>
    </w:p>
    <w:p>
      <w:pPr>
        <w:spacing w:after="80" w:before="200"/>
      </w:pPr>
      <w:r>
        <w:rPr>
          <w:rFonts w:ascii="Arial" w:cs="Arial" w:eastAsia="Arial" w:hAnsi="Arial"/>
          <w:b/>
          <w:bCs/>
          <w:color w:val="0D1B2A"/>
          <w:sz w:val="22"/>
          <w:szCs w:val="22"/>
        </w:rPr>
        <w:t xml:space="preserve">What changes</w:t>
      </w:r>
    </w:p>
    <w:p>
      <w:pPr>
        <w:pStyle w:val="ListParagraph"/>
        <w:numPr>
          <w:ilvl w:val="0"/>
          <w:numId w:val="2"/>
        </w:numPr>
        <w:spacing w:after="60" w:before="60"/>
      </w:pPr>
      <w:r>
        <w:rPr>
          <w:rFonts w:ascii="Arial" w:cs="Arial" w:eastAsia="Arial" w:hAnsi="Arial"/>
          <w:b w:val="false"/>
          <w:bCs w:val="false"/>
          <w:sz w:val="22"/>
          <w:szCs w:val="22"/>
        </w:rPr>
        <w:t xml:space="preserve">Partial-resolution triggering protocol (HCI-V10): the Conversational Spatial Agent must define and emit a partial-resolution pre-fetch signal — carrying candidate_cell_id, confidence_score, and resolution_status — to the renderer as soon as a candidate place is identified, before full resolution is confirmed.</w:t>
      </w:r>
    </w:p>
    <w:p>
      <w:pPr>
        <w:spacing w:after="80" w:before="80"/>
      </w:pPr>
      <w:r>
        <w:t xml:space="preserve"/>
      </w:r>
    </w:p>
    <w:p>
      <w:pPr>
        <w:spacing w:after="80" w:before="200"/>
      </w:pPr>
      <w:r>
        <w:rPr>
          <w:rFonts w:ascii="Arial" w:cs="Arial" w:eastAsia="Arial" w:hAnsi="Arial"/>
          <w:b/>
          <w:bCs/>
          <w:color w:val="0D1B2A"/>
          <w:sz w:val="22"/>
          <w:szCs w:val="22"/>
        </w:rPr>
        <w:t xml:space="preserve">What does not change</w:t>
      </w:r>
    </w:p>
    <w:p>
      <w:pPr>
        <w:pStyle w:val="ListParagraph"/>
        <w:numPr>
          <w:ilvl w:val="0"/>
          <w:numId w:val="2"/>
        </w:numPr>
        <w:spacing w:after="60" w:before="60"/>
      </w:pPr>
      <w:r>
        <w:rPr>
          <w:rFonts w:ascii="Arial" w:cs="Arial" w:eastAsia="Arial" w:hAnsi="Arial"/>
          <w:b w:val="false"/>
          <w:bCs w:val="false"/>
          <w:sz w:val="22"/>
          <w:szCs w:val="22"/>
        </w:rPr>
        <w:t xml:space="preserve">Semantic extraction pipeline — design unchanged</w:t>
      </w:r>
    </w:p>
    <w:p>
      <w:pPr>
        <w:pStyle w:val="ListParagraph"/>
        <w:numPr>
          <w:ilvl w:val="0"/>
          <w:numId w:val="2"/>
        </w:numPr>
        <w:spacing w:after="60" w:before="60"/>
      </w:pPr>
      <w:r>
        <w:rPr>
          <w:rFonts w:ascii="Arial" w:cs="Arial" w:eastAsia="Arial" w:hAnsi="Arial"/>
          <w:b w:val="false"/>
          <w:bCs w:val="false"/>
          <w:sz w:val="22"/>
          <w:szCs w:val="22"/>
        </w:rPr>
        <w:t xml:space="preserve">Continuity model — the conversational context is not interrupted — unchanged</w:t>
      </w:r>
    </w:p>
    <w:p>
      <w:pPr>
        <w:pStyle w:val="ListParagraph"/>
        <w:numPr>
          <w:ilvl w:val="0"/>
          <w:numId w:val="2"/>
        </w:numPr>
        <w:spacing w:after="60" w:before="60"/>
      </w:pPr>
      <w:r>
        <w:rPr>
          <w:rFonts w:ascii="Arial" w:cs="Arial" w:eastAsia="Arial" w:hAnsi="Arial"/>
          <w:b w:val="false"/>
          <w:bCs w:val="false"/>
          <w:sz w:val="22"/>
          <w:szCs w:val="22"/>
        </w:rPr>
        <w:t xml:space="preserve">Identity Registry name-lookup primitives — already delivered in Pillar 1</w:t>
      </w:r>
    </w:p>
    <w:p>
      <w:pPr>
        <w:spacing w:after="80" w:before="80"/>
      </w:pPr>
      <w:r>
        <w:t xml:space="preserve"/>
      </w:r>
    </w:p>
    <w:p>
      <w:pPr>
        <w:spacing w:after="80" w:before="200"/>
      </w:pPr>
      <w:r>
        <w:rPr>
          <w:rFonts w:ascii="Arial" w:cs="Arial" w:eastAsia="Arial" w:hAnsi="Arial"/>
          <w:b/>
          <w:bCs/>
          <w:color w:val="0D1B2A"/>
          <w:sz w:val="22"/>
          <w:szCs w:val="22"/>
        </w:rPr>
        <w:t xml:space="preserve">HCI leverage on North Star III — full chain</w:t>
      </w:r>
    </w:p>
    <w:p>
      <w:pPr>
        <w:spacing w:after="80" w:before="80"/>
      </w:pPr>
      <w:r>
        <w:rPr>
          <w:rFonts w:ascii="Arial" w:cs="Arial" w:eastAsia="Arial" w:hAnsi="Arial"/>
          <w:sz w:val="22"/>
          <w:szCs w:val="22"/>
        </w:rPr>
        <w:t xml:space="preserve">With HCI-V05 (known_names mandatory), HCI-V06 (renderer accepts partial signals), and HCI-V10 (Class III emits partial signals), the full North Star III latency chain is complete. User asks a spatial question. LLM begins responding. Semantic extraction identifies a candidate place name. Class III emits a partial pre-fetch signal with candidate_cell_id. Renderer begins loading geometry. LLM response completes. Class III confirms full resolution. Camera begins moving. Geometry is already resident. The transition is seamless. This is the architecture that makes North Star III feel like the world recognises the question.</w:t>
      </w:r>
    </w:p>
    <w:p>
      <w:r>
        <w:br w:type="page"/>
      </w:r>
    </w:p>
    <w:p>
      <w:pPr>
        <w:pStyle w:val="Heading1"/>
        <w:spacing w:after="160" w:before="400"/>
      </w:pPr>
      <w:r>
        <w:rPr>
          <w:rFonts w:ascii="Arial" w:cs="Arial" w:eastAsia="Arial" w:hAnsi="Arial"/>
          <w:b/>
          <w:bCs/>
          <w:color w:val="0D1B2A"/>
          <w:sz w:val="36"/>
          <w:szCs w:val="36"/>
        </w:rPr>
        <w:t xml:space="preserve">4. North Star Leverage — How HCI Changes the Ceiling</w:t>
      </w:r>
    </w:p>
    <w:p>
      <w:pPr>
        <w:spacing w:after="80" w:before="80"/>
      </w:pPr>
      <w:r>
        <w:rPr>
          <w:rFonts w:ascii="Arial" w:cs="Arial" w:eastAsia="Arial" w:hAnsi="Arial"/>
          <w:sz w:val="22"/>
          <w:szCs w:val="22"/>
        </w:rPr>
        <w:t xml:space="preserve">The HCI session does not change the North Stars. It changes what achieving them means in the long run, and it adds concrete leverage points in the near-term build that make each North Star more deliverable.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North Star</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Original Definition</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HCI Extension (Long Horizon)</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Near-Term Leverage Added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North Star I — The Seamless World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Elimination of tile-switching. Continuous LOD. Perceptual continuity.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Field-continuous rendering: the world resolves not just geometrically but physically. Material properties, light response, acoustic character are part of the seamless experience. Gaussian splatting is the bridge. Harmonic field rendering is the destination.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Two-track architecture. geometry_inferred flag enables coverage transparency. splat_pending status enables migration planning. Track 2 research programme running in parallel.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North Star II — GPS-Free Substrate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Harmony Cell as machine-readable spatial reference frame for autonomous navigation.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Multi-field harmonic navigation: autonomous systems localise not only by visual geometry but by acoustic and electromagnetic field signatures. Multiple independent sensing modalities. Robust in GPS-denied, low-visibility, electromagnetically contested environments.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field_descriptors reservation. Gaussian extraction knowledge slots provide second independent geometry source. Adjacency API serves multi-field pre-fetching without modification.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North Star III — Spatial Knowledge Interface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Conversational AI triggers spatial transition. World transforms around the answer.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 world knowledge interface: the AI doesn't just know where a place is. It knows what it sounds like, what its materials are, how it changes seasonally, what its light quality is at different times of day. The answer is spatially grounded AND physically grounded.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known_names mandatory (latency). Partial pre-fetch signal (seamlessness). Gaussian extraction knowledge enriches what the AI can say about any place before it has been explicitly described.</w:t>
            </w:r>
          </w:p>
        </w:tc>
      </w:tr>
    </w:tbl>
    <w:p>
      <w:pPr>
        <w:pBdr>
          <w:bottom w:val="single" w:color="CCCCCC" w:sz="4" w:space="1"/>
        </w:pBdr>
        <w:spacing w:after="200" w:before="200"/>
      </w:pPr>
      <w:r>
        <w:t xml:space="preserve"/>
      </w:r>
    </w:p>
    <w:p>
      <w:pPr>
        <w:pStyle w:val="Heading1"/>
        <w:spacing w:after="160" w:before="400"/>
      </w:pPr>
      <w:r>
        <w:rPr>
          <w:rFonts w:ascii="Arial" w:cs="Arial" w:eastAsia="Arial" w:hAnsi="Arial"/>
          <w:b/>
          <w:bCs/>
          <w:color w:val="0D1B2A"/>
          <w:sz w:val="36"/>
          <w:szCs w:val="36"/>
        </w:rPr>
        <w:t xml:space="preserve">5. Gap Register — Proposed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4680"/>
        <w:gridCol w:w="1404"/>
      </w:tblGrid>
      <w:tr>
        <w:tc>
          <w:tcPr>
            <w:tcW w:type="dxa" w:w="936"/>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4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Proposed Update</w:t>
            </w:r>
          </w:p>
        </w:tc>
        <w:tc>
          <w:tcPr>
            <w:tcW w:type="dxa" w:w="1404"/>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ADR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Gap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Rendering Philosophy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 — Two-track architecture adopted. Track 1: glTF/Draco progressive mesh. Track 2: Gaussian splatting (HCI research track). No tile-based rendering at either track. See Rendering Architecture Plan V1.0.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ADR-016</w:t>
            </w:r>
          </w:p>
        </w:tc>
      </w:tr>
      <w:tr>
        <w:tc>
          <w:tcPr>
            <w:tcW w:type="dxa" w:w="93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Gap 2</w:t>
            </w:r>
          </w:p>
        </w:tc>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Machine Query Latency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PARTIAL CLOSE — Human-facing spatial transition target: 100ms renderer response after cell resolution. Class II Navigation Agent target remains open.</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ADR-016 partial</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Gap 7 (NEW)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Harmonic Cell Field Sensing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 FORMALLY DEFERRED. The architecture for autonomous Harmonic Cell field sensing (energy, transduction, transmission, interpretation) is documented in HCI programme materials. Technology dependencies not expected until 2029-2032. Does not block any pillar. Reviewed quarterly against HCI Future Milestones document.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ADR-017</w:t>
            </w:r>
          </w:p>
        </w:tc>
      </w:tr>
    </w:tbl>
    <w:p>
      <w:pPr>
        <w:pBdr>
          <w:bottom w:val="single" w:color="CCCCCC" w:sz="4" w:space="1"/>
        </w:pBdr>
        <w:spacing w:after="200" w:before="200"/>
      </w:pPr>
      <w:r>
        <w:t xml:space="preserve"/>
      </w:r>
    </w:p>
    <w:p>
      <w:pPr>
        <w:pStyle w:val="Heading1"/>
        <w:spacing w:after="160" w:before="400"/>
      </w:pPr>
      <w:r>
        <w:rPr>
          <w:rFonts w:ascii="Arial" w:cs="Arial" w:eastAsia="Arial" w:hAnsi="Arial"/>
          <w:b/>
          <w:bCs/>
          <w:color w:val="0D1B2A"/>
          <w:sz w:val="36"/>
          <w:szCs w:val="36"/>
        </w:rPr>
        <w:t xml:space="preserve">6. Immediate Action List — Before Sprint 2 Begins</w:t>
      </w:r>
    </w:p>
    <w:p>
      <w:pPr>
        <w:spacing w:after="80" w:before="80"/>
      </w:pPr>
      <w:r>
        <w:rPr>
          <w:rFonts w:ascii="Arial" w:cs="Arial" w:eastAsia="Arial" w:hAnsi="Arial"/>
          <w:sz w:val="22"/>
          <w:szCs w:val="22"/>
        </w:rPr>
        <w:t xml:space="preserve">These actions must be completed before any Pillar 2 Sprint 2 data is written to production. They are listed in dependency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1404"/>
        <w:gridCol w:w="1404"/>
      </w:tblGrid>
      <w:tr>
        <w:tc>
          <w:tcPr>
            <w:tcW w:type="dxa" w:w="936"/>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616"/>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404"/>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404"/>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 Voss validates HCI-V01 through HCI-V05 schema changes — confirms field_descriptors type contract, asset bundle field_type extension, geometry_inferred flag, splat_pending status, known_names mandate.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 Voss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Blocks all below</w:t>
            </w:r>
          </w:p>
        </w:tc>
      </w:tr>
      <w:tr>
        <w:tc>
          <w:tcPr>
            <w:tcW w:type="dxa" w:w="93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2</w:t>
            </w:r>
          </w:p>
        </w:tc>
        <w:tc>
          <w:tcPr>
            <w:tcW w:type="dxa" w:w="56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Draft ADR-017: Harmonic Cell Field Descriptor Schema Reservation. Documents field_descriptors reserved field, activation conditions, type contract.</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ADR Agent / Marcus Webb</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Requires Voss validation</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 Sprint 2 acceptance criteria to include HCI-V02 through HCI-V05 (AC-R1 through AC-R6 from Rendering Architecture Plan plus HCI additions).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Marcus Webb</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Requires ADR-017 draft</w:t>
            </w:r>
          </w:p>
        </w:tc>
      </w:tr>
      <w:tr>
        <w:tc>
          <w:tcPr>
            <w:tcW w:type="dxa" w:w="93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4</w:t>
            </w:r>
          </w:p>
        </w:tc>
        <w:tc>
          <w:tcPr>
            <w:tcW w:type="dxa" w:w="56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File provisional patent for multi-field Harmonic Cell concept — brief to IP counsel with HCI Academic Paper as technical basis.</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Mikey</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Immediate — independent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HCI deep research prompt (from Agent Prompts document) in new Claude session with web search enabled. Share output with Dr. Nakamura upon deployment.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Mikey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 independent</w:t>
            </w:r>
          </w:p>
        </w:tc>
      </w:tr>
      <w:tr>
        <w:tc>
          <w:tcPr>
            <w:tcW w:type="dxa" w:w="93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6</w:t>
            </w:r>
          </w:p>
        </w:tc>
        <w:tc>
          <w:tcPr>
            <w:tcW w:type="dxa" w:w="561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Deploy three HCI research agents (Nakamura, Osei, Vasquez) in Claude Managed Agents using prompts from Agent Prompts document.</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Mikey</w:t>
            </w:r>
          </w:p>
        </w:tc>
        <w:tc>
          <w:tcPr>
            <w:tcW w:type="dxa" w:w="1404"/>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After research prompt output reviewed</w:t>
            </w:r>
          </w:p>
        </w:tc>
      </w:tr>
    </w:tbl>
    <w:p>
      <w:pPr>
        <w:pBdr>
          <w:bottom w:val="single" w:color="CCCCCC" w:sz="4" w:space="1"/>
        </w:pBdr>
        <w:spacing w:after="200" w:before="200"/>
      </w:pPr>
      <w:r>
        <w:t xml:space="preserve"/>
      </w:r>
    </w:p>
    <w:p>
      <w:pPr>
        <w:spacing w:after="80" w:before="80"/>
      </w:pPr>
      <w:r>
        <w:t xml:space="preserve"/>
      </w:r>
    </w:p>
    <w:p>
      <w:pPr>
        <w:spacing w:after="80" w:before="80"/>
      </w:pPr>
      <w:r>
        <w:rPr>
          <w:rFonts w:ascii="Arial" w:cs="Arial" w:eastAsia="Arial" w:hAnsi="Arial"/>
          <w:color w:val="AAAAAA"/>
          <w:sz w:val="16"/>
          <w:szCs w:val="16"/>
        </w:rPr>
        <w:t xml:space="preserve">HARMONY SPATIAL OPERATING SYSTEM — CONFIDENTIAL — April 2026</w:t>
      </w:r>
    </w:p>
    <w:p>
      <w:pPr>
        <w:spacing w:after="80" w:before="40"/>
      </w:pPr>
      <w:r>
        <w:rPr>
          <w:rFonts w:ascii="Arial" w:cs="Arial" w:eastAsia="Arial" w:hAnsi="Arial"/>
          <w:i/>
          <w:iCs/>
          <w:color w:val="AAAAAA"/>
          <w:sz w:val="16"/>
          <w:szCs w:val="16"/>
        </w:rPr>
        <w:t xml:space="preserve">Harmonic Cell Initiative: Impact on Existing Plans — Dr. Kofi Boateng, CGO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2026-04-25T05:05:20.715Z</dcterms:created>
  <dcterms:modified xsi:type="dcterms:W3CDTF">2026-04-25T05:05:20.716Z</dcterms:modified>
</cp:coreProperties>
</file>

<file path=docProps/custom.xml><?xml version="1.0" encoding="utf-8"?>
<Properties xmlns="http://schemas.openxmlformats.org/officeDocument/2006/custom-properties" xmlns:vt="http://schemas.openxmlformats.org/officeDocument/2006/docPropsVTypes"/>
</file>